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ind w:left="0"/>
        <w:rPr>
          <w:rFonts w:ascii="Times New Roman"/>
          <w:sz w:val="20"/>
        </w:rPr>
      </w:pPr>
    </w:p>
    <w:p>
      <w:pPr>
        <w:pStyle w:val="14"/>
        <w:ind w:left="0"/>
        <w:rPr>
          <w:rFonts w:ascii="Times New Roman"/>
          <w:sz w:val="20"/>
        </w:rPr>
      </w:pPr>
    </w:p>
    <w:p>
      <w:pPr>
        <w:pStyle w:val="14"/>
        <w:ind w:left="0"/>
        <w:rPr>
          <w:rFonts w:ascii="Times New Roman"/>
          <w:sz w:val="20"/>
        </w:rPr>
      </w:pPr>
    </w:p>
    <w:p>
      <w:pPr>
        <w:pStyle w:val="14"/>
        <w:ind w:left="0"/>
        <w:rPr>
          <w:rFonts w:ascii="Times New Roman"/>
          <w:sz w:val="20"/>
        </w:rPr>
      </w:pPr>
    </w:p>
    <w:p>
      <w:pPr>
        <w:pStyle w:val="14"/>
        <w:ind w:left="0"/>
        <w:rPr>
          <w:rFonts w:ascii="Times New Roman"/>
          <w:sz w:val="20"/>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b/>
          <w:sz w:val="36"/>
          <w:szCs w:val="36"/>
          <w:lang w:eastAsia="zh-CN"/>
        </w:rPr>
      </w:pPr>
      <w:r>
        <w:rPr>
          <w:rFonts w:hint="eastAsia"/>
          <w:b/>
          <w:sz w:val="36"/>
          <w:szCs w:val="36"/>
          <w:lang w:eastAsia="zh-CN"/>
        </w:rPr>
        <w:t>中粮糖业控股股份有限公司额敏糖业分公司</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eastAsia="宋体"/>
          <w:b/>
          <w:sz w:val="48"/>
          <w:lang w:eastAsia="zh-CN"/>
        </w:rPr>
      </w:pPr>
      <w:r>
        <w:rPr>
          <w:rFonts w:hint="eastAsia"/>
          <w:b/>
          <w:sz w:val="36"/>
          <w:szCs w:val="36"/>
          <w:lang w:eastAsia="zh-CN"/>
        </w:rPr>
        <w:t>90吨/小时锅炉技改项目</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ascii="楷体" w:eastAsia="楷体"/>
          <w:b/>
          <w:sz w:val="56"/>
        </w:rPr>
      </w:pPr>
      <w:r>
        <w:rPr>
          <w:rFonts w:hint="eastAsia" w:ascii="楷体" w:eastAsia="楷体"/>
          <w:b/>
          <w:sz w:val="56"/>
        </w:rPr>
        <w:t>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b/>
          <w:bCs/>
          <w:sz w:val="28"/>
          <w:szCs w:val="28"/>
        </w:rPr>
      </w:pPr>
      <w:r>
        <w:rPr>
          <w:b/>
          <w:bCs/>
          <w:sz w:val="28"/>
          <w:szCs w:val="28"/>
        </w:rPr>
        <w:t>（</w:t>
      </w:r>
      <w:r>
        <w:rPr>
          <w:rFonts w:hint="eastAsia"/>
          <w:b/>
          <w:bCs/>
          <w:sz w:val="28"/>
          <w:szCs w:val="28"/>
          <w:lang w:eastAsia="zh-CN"/>
        </w:rPr>
        <w:t>报批</w:t>
      </w:r>
      <w:r>
        <w:rPr>
          <w:b/>
          <w:bCs/>
          <w:sz w:val="28"/>
          <w:szCs w:val="28"/>
        </w:rPr>
        <w:t>稿）</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outlineLvl w:val="9"/>
        <w:rPr>
          <w:b/>
          <w:sz w:val="28"/>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eastAsia="宋体"/>
          <w:b/>
          <w:sz w:val="32"/>
          <w:lang w:eastAsia="zh-CN"/>
        </w:rPr>
      </w:pPr>
      <w:r>
        <w:rPr>
          <w:rFonts w:hint="eastAsia"/>
          <w:b/>
          <w:sz w:val="32"/>
          <w:lang w:eastAsia="zh-CN"/>
        </w:rPr>
        <w:t>中粮糖业控股股份有限公司额敏糖业分公司</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b/>
          <w:sz w:val="32"/>
        </w:rPr>
      </w:pPr>
      <w:r>
        <w:rPr>
          <w:b/>
          <w:sz w:val="32"/>
        </w:rPr>
        <w:t>二〇二</w:t>
      </w:r>
      <w:r>
        <w:rPr>
          <w:rFonts w:hint="eastAsia"/>
          <w:b/>
          <w:sz w:val="32"/>
          <w:lang w:eastAsia="zh-CN"/>
        </w:rPr>
        <w:t>四</w:t>
      </w:r>
      <w:r>
        <w:rPr>
          <w:b/>
          <w:sz w:val="32"/>
        </w:rPr>
        <w:t>年</w:t>
      </w:r>
      <w:r>
        <w:rPr>
          <w:rFonts w:hint="eastAsia"/>
          <w:b/>
          <w:sz w:val="32"/>
          <w:lang w:eastAsia="zh-CN"/>
        </w:rPr>
        <w:t>四</w:t>
      </w:r>
      <w:r>
        <w:rPr>
          <w:b/>
          <w:sz w:val="32"/>
        </w:rPr>
        <w:t>月</w:t>
      </w:r>
    </w:p>
    <w:p>
      <w:pPr>
        <w:spacing w:line="364" w:lineRule="auto"/>
        <w:jc w:val="center"/>
        <w:rPr>
          <w:sz w:val="32"/>
        </w:rPr>
        <w:sectPr>
          <w:type w:val="continuous"/>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pStyle w:val="14"/>
        <w:spacing w:before="5"/>
        <w:ind w:left="0"/>
        <w:rPr>
          <w:b/>
          <w:sz w:val="9"/>
        </w:rPr>
      </w:pPr>
    </w:p>
    <w:p>
      <w:pPr>
        <w:jc w:val="center"/>
        <w:rPr>
          <w:sz w:val="32"/>
        </w:rPr>
        <w:sectPr>
          <w:headerReference r:id="rId5" w:type="default"/>
          <w:footerReference r:id="rId7" w:type="default"/>
          <w:headerReference r:id="rId6" w:type="even"/>
          <w:footerReference r:id="rId8" w:type="even"/>
          <w:pgSz w:w="11910" w:h="16840"/>
          <w:pgMar w:top="1440" w:right="1803" w:bottom="1440" w:left="1803" w:header="896" w:footer="1088" w:gutter="0"/>
          <w:pgBorders>
            <w:top w:val="none" w:sz="0" w:space="0"/>
            <w:left w:val="none" w:sz="0" w:space="0"/>
            <w:bottom w:val="none" w:sz="0" w:space="0"/>
            <w:right w:val="none" w:sz="0" w:space="0"/>
          </w:pgBorders>
          <w:cols w:space="0" w:num="1"/>
        </w:sectPr>
      </w:pPr>
    </w:p>
    <w:sdt>
      <w:sdtPr>
        <w:rPr>
          <w:rFonts w:ascii="宋体" w:hAnsi="宋体" w:eastAsia="宋体" w:cs="宋体"/>
          <w:b/>
          <w:bCs/>
          <w:sz w:val="44"/>
          <w:szCs w:val="44"/>
          <w:lang w:val="zh-CN" w:eastAsia="zh-CN" w:bidi="zh-CN"/>
        </w:rPr>
        <w:id w:val="147466882"/>
        <w15:color w:val="DBDBDB"/>
        <w:docPartObj>
          <w:docPartGallery w:val="Table of Contents"/>
          <w:docPartUnique/>
        </w:docPartObj>
      </w:sdtPr>
      <w:sdtEndPr>
        <w:rPr>
          <w:rFonts w:ascii="宋体" w:hAnsi="宋体" w:eastAsia="宋体" w:cs="宋体"/>
          <w:b/>
          <w:bCs/>
          <w:sz w:val="21"/>
          <w:szCs w:val="22"/>
          <w:lang w:val="zh-CN" w:eastAsia="zh-CN" w:bidi="zh-CN"/>
        </w:rPr>
      </w:sdtEndPr>
      <w:sdtContent>
        <w:p>
          <w:pPr>
            <w:spacing w:before="0" w:beforeLines="0" w:after="0" w:afterLines="0" w:line="240" w:lineRule="auto"/>
            <w:ind w:left="0" w:leftChars="0" w:right="0" w:rightChars="0" w:firstLine="0" w:firstLineChars="0"/>
            <w:jc w:val="center"/>
            <w:rPr>
              <w:b/>
              <w:bCs/>
              <w:sz w:val="44"/>
              <w:szCs w:val="44"/>
            </w:rPr>
          </w:pPr>
          <w:bookmarkStart w:id="0" w:name="_Toc22490"/>
          <w:bookmarkStart w:id="1" w:name="_Toc12060"/>
          <w:r>
            <w:rPr>
              <w:rFonts w:ascii="宋体" w:hAnsi="宋体" w:eastAsia="宋体"/>
              <w:b/>
              <w:bCs/>
              <w:sz w:val="44"/>
              <w:szCs w:val="44"/>
            </w:rPr>
            <w:t>目录</w:t>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TOC \o "1-2" \h \u </w:instrText>
          </w:r>
          <w:r>
            <w:rPr>
              <w:sz w:val="24"/>
              <w:szCs w:val="24"/>
            </w:rPr>
            <w:fldChar w:fldCharType="separate"/>
          </w:r>
          <w:r>
            <w:rPr>
              <w:sz w:val="24"/>
              <w:szCs w:val="24"/>
            </w:rPr>
            <w:fldChar w:fldCharType="begin"/>
          </w:r>
          <w:r>
            <w:rPr>
              <w:sz w:val="24"/>
              <w:szCs w:val="24"/>
            </w:rPr>
            <w:instrText xml:space="preserve"> HYPERLINK \l _Toc8189 </w:instrText>
          </w:r>
          <w:r>
            <w:rPr>
              <w:sz w:val="24"/>
              <w:szCs w:val="24"/>
            </w:rPr>
            <w:fldChar w:fldCharType="separate"/>
          </w:r>
          <w:r>
            <w:rPr>
              <w:sz w:val="24"/>
              <w:szCs w:val="24"/>
            </w:rPr>
            <w:t>第一章</w:t>
          </w:r>
          <w:r>
            <w:rPr>
              <w:rFonts w:hint="eastAsia"/>
              <w:sz w:val="24"/>
              <w:szCs w:val="24"/>
              <w:lang w:val="en-US"/>
            </w:rPr>
            <w:t xml:space="preserve">  </w:t>
          </w:r>
          <w:r>
            <w:rPr>
              <w:sz w:val="24"/>
              <w:szCs w:val="24"/>
            </w:rPr>
            <w:t>概述</w:t>
          </w:r>
          <w:r>
            <w:rPr>
              <w:sz w:val="24"/>
              <w:szCs w:val="24"/>
            </w:rPr>
            <w:tab/>
          </w:r>
          <w:r>
            <w:rPr>
              <w:sz w:val="24"/>
              <w:szCs w:val="24"/>
            </w:rPr>
            <w:fldChar w:fldCharType="begin"/>
          </w:r>
          <w:r>
            <w:rPr>
              <w:sz w:val="24"/>
              <w:szCs w:val="24"/>
            </w:rPr>
            <w:instrText xml:space="preserve"> PAGEREF _Toc8189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_Toc2615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1.1 </w:t>
          </w:r>
          <w:r>
            <w:rPr>
              <w:rFonts w:hint="default" w:ascii="Times New Roman" w:hAnsi="Times New Roman" w:cs="Times New Roman"/>
              <w:sz w:val="24"/>
              <w:szCs w:val="24"/>
            </w:rPr>
            <w:t>建设项目特点</w:t>
          </w:r>
          <w:r>
            <w:rPr>
              <w:sz w:val="24"/>
              <w:szCs w:val="24"/>
            </w:rPr>
            <w:tab/>
          </w:r>
          <w:r>
            <w:rPr>
              <w:sz w:val="24"/>
              <w:szCs w:val="24"/>
            </w:rPr>
            <w:fldChar w:fldCharType="begin"/>
          </w:r>
          <w:r>
            <w:rPr>
              <w:sz w:val="24"/>
              <w:szCs w:val="24"/>
            </w:rPr>
            <w:instrText xml:space="preserve"> PAGEREF _Toc2615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_Toc2345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1.2 </w:t>
          </w:r>
          <w:r>
            <w:rPr>
              <w:sz w:val="24"/>
              <w:szCs w:val="24"/>
            </w:rPr>
            <w:t>建设项目概况</w:t>
          </w:r>
          <w:r>
            <w:rPr>
              <w:sz w:val="24"/>
              <w:szCs w:val="24"/>
            </w:rPr>
            <w:tab/>
          </w:r>
          <w:r>
            <w:rPr>
              <w:sz w:val="24"/>
              <w:szCs w:val="24"/>
            </w:rPr>
            <w:fldChar w:fldCharType="begin"/>
          </w:r>
          <w:r>
            <w:rPr>
              <w:sz w:val="24"/>
              <w:szCs w:val="24"/>
            </w:rPr>
            <w:instrText xml:space="preserve"> PAGEREF _Toc2345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_Toc24679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1.3 </w:t>
          </w:r>
          <w:r>
            <w:rPr>
              <w:sz w:val="24"/>
              <w:szCs w:val="24"/>
            </w:rPr>
            <w:t>环境影响评价工作过程</w:t>
          </w:r>
          <w:r>
            <w:rPr>
              <w:sz w:val="24"/>
              <w:szCs w:val="24"/>
            </w:rPr>
            <w:tab/>
          </w:r>
          <w:r>
            <w:rPr>
              <w:sz w:val="24"/>
              <w:szCs w:val="24"/>
            </w:rPr>
            <w:fldChar w:fldCharType="begin"/>
          </w:r>
          <w:r>
            <w:rPr>
              <w:sz w:val="24"/>
              <w:szCs w:val="24"/>
            </w:rPr>
            <w:instrText xml:space="preserve"> PAGEREF _Toc24679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_Toc30622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1.4 </w:t>
          </w:r>
          <w:r>
            <w:rPr>
              <w:sz w:val="24"/>
              <w:szCs w:val="24"/>
            </w:rPr>
            <w:t>分析判定相关情况</w:t>
          </w:r>
          <w:r>
            <w:rPr>
              <w:sz w:val="24"/>
              <w:szCs w:val="24"/>
            </w:rPr>
            <w:tab/>
          </w:r>
          <w:r>
            <w:rPr>
              <w:sz w:val="24"/>
              <w:szCs w:val="24"/>
            </w:rPr>
            <w:fldChar w:fldCharType="begin"/>
          </w:r>
          <w:r>
            <w:rPr>
              <w:sz w:val="24"/>
              <w:szCs w:val="24"/>
            </w:rPr>
            <w:instrText xml:space="preserve"> PAGEREF _Toc30622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_Toc20370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1.5 </w:t>
          </w:r>
          <w:r>
            <w:rPr>
              <w:rFonts w:hint="eastAsia"/>
              <w:sz w:val="24"/>
              <w:szCs w:val="24"/>
            </w:rPr>
            <w:t>与“三线一单”符合性分析</w:t>
          </w:r>
          <w:r>
            <w:rPr>
              <w:sz w:val="24"/>
              <w:szCs w:val="24"/>
            </w:rPr>
            <w:tab/>
          </w:r>
          <w:r>
            <w:rPr>
              <w:sz w:val="24"/>
              <w:szCs w:val="24"/>
            </w:rPr>
            <w:fldChar w:fldCharType="begin"/>
          </w:r>
          <w:r>
            <w:rPr>
              <w:sz w:val="24"/>
              <w:szCs w:val="24"/>
            </w:rPr>
            <w:instrText xml:space="preserve"> PAGEREF _Toc20370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_Toc20891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1.6 </w:t>
          </w:r>
          <w:r>
            <w:rPr>
              <w:sz w:val="24"/>
              <w:szCs w:val="24"/>
            </w:rPr>
            <w:t>关注的主要环境问题及环境影响</w:t>
          </w:r>
          <w:r>
            <w:rPr>
              <w:sz w:val="24"/>
              <w:szCs w:val="24"/>
            </w:rPr>
            <w:tab/>
          </w:r>
          <w:r>
            <w:rPr>
              <w:sz w:val="24"/>
              <w:szCs w:val="24"/>
            </w:rPr>
            <w:fldChar w:fldCharType="begin"/>
          </w:r>
          <w:r>
            <w:rPr>
              <w:sz w:val="24"/>
              <w:szCs w:val="24"/>
            </w:rPr>
            <w:instrText xml:space="preserve"> PAGEREF _Toc20891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_Toc17858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1.7 </w:t>
          </w:r>
          <w:r>
            <w:rPr>
              <w:sz w:val="24"/>
              <w:szCs w:val="24"/>
            </w:rPr>
            <w:t>环境影响评价的主要结论</w:t>
          </w:r>
          <w:r>
            <w:rPr>
              <w:sz w:val="24"/>
              <w:szCs w:val="24"/>
            </w:rPr>
            <w:tab/>
          </w:r>
          <w:r>
            <w:rPr>
              <w:sz w:val="24"/>
              <w:szCs w:val="24"/>
            </w:rPr>
            <w:fldChar w:fldCharType="begin"/>
          </w:r>
          <w:r>
            <w:rPr>
              <w:sz w:val="24"/>
              <w:szCs w:val="24"/>
            </w:rPr>
            <w:instrText xml:space="preserve"> PAGEREF _Toc17858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_Toc29370 </w:instrText>
          </w:r>
          <w:r>
            <w:rPr>
              <w:sz w:val="24"/>
              <w:szCs w:val="24"/>
            </w:rPr>
            <w:fldChar w:fldCharType="separate"/>
          </w:r>
          <w:r>
            <w:rPr>
              <w:sz w:val="24"/>
              <w:szCs w:val="24"/>
            </w:rPr>
            <w:t>第二章</w:t>
          </w:r>
          <w:r>
            <w:rPr>
              <w:rFonts w:hint="eastAsia"/>
              <w:sz w:val="24"/>
              <w:szCs w:val="24"/>
              <w:lang w:val="en-US"/>
            </w:rPr>
            <w:t xml:space="preserve">  </w:t>
          </w:r>
          <w:r>
            <w:rPr>
              <w:sz w:val="24"/>
              <w:szCs w:val="24"/>
            </w:rPr>
            <w:t>总则</w:t>
          </w:r>
          <w:r>
            <w:rPr>
              <w:sz w:val="24"/>
              <w:szCs w:val="24"/>
            </w:rPr>
            <w:tab/>
          </w:r>
          <w:r>
            <w:rPr>
              <w:sz w:val="24"/>
              <w:szCs w:val="24"/>
            </w:rPr>
            <w:fldChar w:fldCharType="begin"/>
          </w:r>
          <w:r>
            <w:rPr>
              <w:sz w:val="24"/>
              <w:szCs w:val="24"/>
            </w:rPr>
            <w:instrText xml:space="preserve"> PAGEREF _Toc29370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_Toc9975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2.1 </w:t>
          </w:r>
          <w:r>
            <w:rPr>
              <w:sz w:val="24"/>
              <w:szCs w:val="24"/>
            </w:rPr>
            <w:t>评价目的及原则</w:t>
          </w:r>
          <w:r>
            <w:rPr>
              <w:sz w:val="24"/>
              <w:szCs w:val="24"/>
            </w:rPr>
            <w:tab/>
          </w:r>
          <w:r>
            <w:rPr>
              <w:sz w:val="24"/>
              <w:szCs w:val="24"/>
            </w:rPr>
            <w:fldChar w:fldCharType="begin"/>
          </w:r>
          <w:r>
            <w:rPr>
              <w:sz w:val="24"/>
              <w:szCs w:val="24"/>
            </w:rPr>
            <w:instrText xml:space="preserve"> PAGEREF _Toc9975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_Toc4743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2.2 </w:t>
          </w:r>
          <w:r>
            <w:rPr>
              <w:sz w:val="24"/>
              <w:szCs w:val="24"/>
            </w:rPr>
            <w:t>编制依据</w:t>
          </w:r>
          <w:r>
            <w:rPr>
              <w:sz w:val="24"/>
              <w:szCs w:val="24"/>
            </w:rPr>
            <w:tab/>
          </w:r>
          <w:r>
            <w:rPr>
              <w:sz w:val="24"/>
              <w:szCs w:val="24"/>
            </w:rPr>
            <w:fldChar w:fldCharType="begin"/>
          </w:r>
          <w:r>
            <w:rPr>
              <w:sz w:val="24"/>
              <w:szCs w:val="24"/>
            </w:rPr>
            <w:instrText xml:space="preserve"> PAGEREF _Toc4743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_Toc18925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2.3 </w:t>
          </w:r>
          <w:r>
            <w:rPr>
              <w:sz w:val="24"/>
              <w:szCs w:val="24"/>
            </w:rPr>
            <w:t>环境影响因素识别及评价因子筛选</w:t>
          </w:r>
          <w:r>
            <w:rPr>
              <w:sz w:val="24"/>
              <w:szCs w:val="24"/>
            </w:rPr>
            <w:tab/>
          </w:r>
          <w:r>
            <w:rPr>
              <w:sz w:val="24"/>
              <w:szCs w:val="24"/>
            </w:rPr>
            <w:fldChar w:fldCharType="begin"/>
          </w:r>
          <w:r>
            <w:rPr>
              <w:sz w:val="24"/>
              <w:szCs w:val="24"/>
            </w:rPr>
            <w:instrText xml:space="preserve"> PAGEREF _Toc18925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_Toc15523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2.4 </w:t>
          </w:r>
          <w:r>
            <w:rPr>
              <w:sz w:val="24"/>
              <w:szCs w:val="24"/>
            </w:rPr>
            <w:t>环境功能区划及评价标准</w:t>
          </w:r>
          <w:r>
            <w:rPr>
              <w:sz w:val="24"/>
              <w:szCs w:val="24"/>
            </w:rPr>
            <w:tab/>
          </w:r>
          <w:r>
            <w:rPr>
              <w:sz w:val="24"/>
              <w:szCs w:val="24"/>
            </w:rPr>
            <w:fldChar w:fldCharType="begin"/>
          </w:r>
          <w:r>
            <w:rPr>
              <w:sz w:val="24"/>
              <w:szCs w:val="24"/>
            </w:rPr>
            <w:instrText xml:space="preserve"> PAGEREF _Toc15523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_Toc17466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2.5 </w:t>
          </w:r>
          <w:r>
            <w:rPr>
              <w:sz w:val="24"/>
              <w:szCs w:val="24"/>
            </w:rPr>
            <w:t>评价时段</w:t>
          </w:r>
          <w:r>
            <w:rPr>
              <w:sz w:val="24"/>
              <w:szCs w:val="24"/>
            </w:rPr>
            <w:tab/>
          </w:r>
          <w:r>
            <w:rPr>
              <w:sz w:val="24"/>
              <w:szCs w:val="24"/>
            </w:rPr>
            <w:fldChar w:fldCharType="begin"/>
          </w:r>
          <w:r>
            <w:rPr>
              <w:sz w:val="24"/>
              <w:szCs w:val="24"/>
            </w:rPr>
            <w:instrText xml:space="preserve"> PAGEREF _Toc17466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_Toc20220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2.6 </w:t>
          </w:r>
          <w:r>
            <w:rPr>
              <w:sz w:val="24"/>
              <w:szCs w:val="24"/>
              <w:highlight w:val="none"/>
            </w:rPr>
            <w:t>评价等级和评价范围</w:t>
          </w:r>
          <w:r>
            <w:rPr>
              <w:sz w:val="24"/>
              <w:szCs w:val="24"/>
            </w:rPr>
            <w:tab/>
          </w:r>
          <w:r>
            <w:rPr>
              <w:sz w:val="24"/>
              <w:szCs w:val="24"/>
            </w:rPr>
            <w:fldChar w:fldCharType="begin"/>
          </w:r>
          <w:r>
            <w:rPr>
              <w:sz w:val="24"/>
              <w:szCs w:val="24"/>
            </w:rPr>
            <w:instrText xml:space="preserve"> PAGEREF _Toc20220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_Toc18450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2.7 </w:t>
          </w:r>
          <w:r>
            <w:rPr>
              <w:sz w:val="24"/>
              <w:szCs w:val="24"/>
            </w:rPr>
            <w:t>环境保护目标</w:t>
          </w:r>
          <w:r>
            <w:rPr>
              <w:sz w:val="24"/>
              <w:szCs w:val="24"/>
            </w:rPr>
            <w:tab/>
          </w:r>
          <w:r>
            <w:rPr>
              <w:sz w:val="24"/>
              <w:szCs w:val="24"/>
            </w:rPr>
            <w:fldChar w:fldCharType="begin"/>
          </w:r>
          <w:r>
            <w:rPr>
              <w:sz w:val="24"/>
              <w:szCs w:val="24"/>
            </w:rPr>
            <w:instrText xml:space="preserve"> PAGEREF _Toc18450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_Toc22254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2.8 </w:t>
          </w:r>
          <w:r>
            <w:rPr>
              <w:sz w:val="24"/>
              <w:szCs w:val="24"/>
            </w:rPr>
            <w:t>评价总体思路及评价重点</w:t>
          </w:r>
          <w:r>
            <w:rPr>
              <w:sz w:val="24"/>
              <w:szCs w:val="24"/>
            </w:rPr>
            <w:tab/>
          </w:r>
          <w:r>
            <w:rPr>
              <w:sz w:val="24"/>
              <w:szCs w:val="24"/>
            </w:rPr>
            <w:fldChar w:fldCharType="begin"/>
          </w:r>
          <w:r>
            <w:rPr>
              <w:sz w:val="24"/>
              <w:szCs w:val="24"/>
            </w:rPr>
            <w:instrText xml:space="preserve"> PAGEREF _Toc22254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_Toc10610 </w:instrText>
          </w:r>
          <w:r>
            <w:rPr>
              <w:sz w:val="24"/>
              <w:szCs w:val="24"/>
            </w:rPr>
            <w:fldChar w:fldCharType="separate"/>
          </w:r>
          <w:r>
            <w:rPr>
              <w:sz w:val="24"/>
              <w:szCs w:val="24"/>
              <w:highlight w:val="none"/>
            </w:rPr>
            <w:t>第三章</w:t>
          </w:r>
          <w:r>
            <w:rPr>
              <w:rFonts w:hint="eastAsia"/>
              <w:sz w:val="24"/>
              <w:szCs w:val="24"/>
              <w:highlight w:val="none"/>
              <w:lang w:val="en-US"/>
            </w:rPr>
            <w:t xml:space="preserve">  </w:t>
          </w:r>
          <w:r>
            <w:rPr>
              <w:sz w:val="24"/>
              <w:szCs w:val="24"/>
              <w:highlight w:val="none"/>
            </w:rPr>
            <w:t>建设项目工程概况和工程分析</w:t>
          </w:r>
          <w:r>
            <w:rPr>
              <w:sz w:val="24"/>
              <w:szCs w:val="24"/>
            </w:rPr>
            <w:tab/>
          </w:r>
          <w:r>
            <w:rPr>
              <w:sz w:val="24"/>
              <w:szCs w:val="24"/>
            </w:rPr>
            <w:fldChar w:fldCharType="begin"/>
          </w:r>
          <w:r>
            <w:rPr>
              <w:sz w:val="24"/>
              <w:szCs w:val="24"/>
            </w:rPr>
            <w:instrText xml:space="preserve"> PAGEREF _Toc10610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_Toc11336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3.1 </w:t>
          </w:r>
          <w:r>
            <w:rPr>
              <w:rFonts w:hint="eastAsia"/>
              <w:sz w:val="24"/>
              <w:szCs w:val="24"/>
              <w:lang w:eastAsia="zh-CN"/>
            </w:rPr>
            <w:t>现有工程回顾性调查及评价</w:t>
          </w:r>
          <w:r>
            <w:rPr>
              <w:sz w:val="24"/>
              <w:szCs w:val="24"/>
            </w:rPr>
            <w:tab/>
          </w:r>
          <w:r>
            <w:rPr>
              <w:sz w:val="24"/>
              <w:szCs w:val="24"/>
            </w:rPr>
            <w:fldChar w:fldCharType="begin"/>
          </w:r>
          <w:r>
            <w:rPr>
              <w:sz w:val="24"/>
              <w:szCs w:val="24"/>
            </w:rPr>
            <w:instrText xml:space="preserve"> PAGEREF _Toc11336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_Toc3474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3.2 </w:t>
          </w:r>
          <w:r>
            <w:rPr>
              <w:sz w:val="24"/>
              <w:szCs w:val="24"/>
            </w:rPr>
            <w:t>工程概况</w:t>
          </w:r>
          <w:r>
            <w:rPr>
              <w:sz w:val="24"/>
              <w:szCs w:val="24"/>
            </w:rPr>
            <w:tab/>
          </w:r>
          <w:r>
            <w:rPr>
              <w:sz w:val="24"/>
              <w:szCs w:val="24"/>
            </w:rPr>
            <w:fldChar w:fldCharType="begin"/>
          </w:r>
          <w:r>
            <w:rPr>
              <w:sz w:val="24"/>
              <w:szCs w:val="24"/>
            </w:rPr>
            <w:instrText xml:space="preserve"> PAGEREF _Toc3474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_Toc24963 </w:instrText>
          </w:r>
          <w:r>
            <w:rPr>
              <w:sz w:val="24"/>
              <w:szCs w:val="24"/>
            </w:rPr>
            <w:fldChar w:fldCharType="separate"/>
          </w:r>
          <w:r>
            <w:rPr>
              <w:rFonts w:hint="eastAsia"/>
              <w:sz w:val="24"/>
              <w:szCs w:val="24"/>
              <w:highlight w:val="none"/>
              <w:lang w:val="en-US" w:eastAsia="zh-CN"/>
            </w:rPr>
            <w:t xml:space="preserve">3.3 </w:t>
          </w:r>
          <w:r>
            <w:rPr>
              <w:sz w:val="24"/>
              <w:szCs w:val="24"/>
              <w:highlight w:val="none"/>
            </w:rPr>
            <w:t>工程分析</w:t>
          </w:r>
          <w:r>
            <w:rPr>
              <w:sz w:val="24"/>
              <w:szCs w:val="24"/>
            </w:rPr>
            <w:tab/>
          </w:r>
          <w:r>
            <w:rPr>
              <w:sz w:val="24"/>
              <w:szCs w:val="24"/>
            </w:rPr>
            <w:fldChar w:fldCharType="begin"/>
          </w:r>
          <w:r>
            <w:rPr>
              <w:sz w:val="24"/>
              <w:szCs w:val="24"/>
            </w:rPr>
            <w:instrText xml:space="preserve"> PAGEREF _Toc24963 \h </w:instrText>
          </w:r>
          <w:r>
            <w:rPr>
              <w:sz w:val="24"/>
              <w:szCs w:val="24"/>
            </w:rPr>
            <w:fldChar w:fldCharType="separate"/>
          </w:r>
          <w:r>
            <w:rPr>
              <w:sz w:val="24"/>
              <w:szCs w:val="24"/>
            </w:rPr>
            <w:t>48</w:t>
          </w:r>
          <w:r>
            <w:rPr>
              <w:sz w:val="24"/>
              <w:szCs w:val="24"/>
            </w:rPr>
            <w:fldChar w:fldCharType="end"/>
          </w:r>
          <w:r>
            <w:rPr>
              <w:sz w:val="24"/>
              <w:szCs w:val="24"/>
            </w:rPr>
            <w:fldChar w:fldCharType="end"/>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_Toc7864 </w:instrText>
          </w:r>
          <w:r>
            <w:rPr>
              <w:sz w:val="24"/>
              <w:szCs w:val="24"/>
            </w:rPr>
            <w:fldChar w:fldCharType="separate"/>
          </w:r>
          <w:r>
            <w:rPr>
              <w:sz w:val="24"/>
              <w:szCs w:val="24"/>
            </w:rPr>
            <w:t>第四章</w:t>
          </w:r>
          <w:r>
            <w:rPr>
              <w:rFonts w:hint="eastAsia"/>
              <w:sz w:val="24"/>
              <w:szCs w:val="24"/>
              <w:lang w:val="en-US"/>
            </w:rPr>
            <w:t xml:space="preserve">  </w:t>
          </w:r>
          <w:r>
            <w:rPr>
              <w:sz w:val="24"/>
              <w:szCs w:val="24"/>
            </w:rPr>
            <w:t>环境现状调查与评价</w:t>
          </w:r>
          <w:r>
            <w:rPr>
              <w:sz w:val="24"/>
              <w:szCs w:val="24"/>
            </w:rPr>
            <w:tab/>
          </w:r>
          <w:r>
            <w:rPr>
              <w:sz w:val="24"/>
              <w:szCs w:val="24"/>
            </w:rPr>
            <w:fldChar w:fldCharType="begin"/>
          </w:r>
          <w:r>
            <w:rPr>
              <w:sz w:val="24"/>
              <w:szCs w:val="24"/>
            </w:rPr>
            <w:instrText xml:space="preserve"> PAGEREF _Toc7864 \h </w:instrText>
          </w:r>
          <w:r>
            <w:rPr>
              <w:sz w:val="24"/>
              <w:szCs w:val="24"/>
            </w:rPr>
            <w:fldChar w:fldCharType="separate"/>
          </w:r>
          <w:r>
            <w:rPr>
              <w:sz w:val="24"/>
              <w:szCs w:val="24"/>
            </w:rPr>
            <w:t>63</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_Toc6832 </w:instrText>
          </w:r>
          <w:r>
            <w:rPr>
              <w:sz w:val="24"/>
              <w:szCs w:val="24"/>
            </w:rPr>
            <w:fldChar w:fldCharType="separate"/>
          </w:r>
          <w:r>
            <w:rPr>
              <w:rFonts w:hint="default" w:ascii="Times New Roman" w:hAnsi="Times New Roman" w:eastAsia="Times New Roman" w:cs="Times New Roman"/>
              <w:bCs/>
              <w:spacing w:val="-1"/>
              <w:w w:val="99"/>
              <w:position w:val="0"/>
              <w:sz w:val="24"/>
              <w:szCs w:val="24"/>
              <w:lang w:val="zh-CN" w:eastAsia="zh-CN" w:bidi="zh-CN"/>
            </w:rPr>
            <w:t xml:space="preserve">4.1 </w:t>
          </w:r>
          <w:r>
            <w:rPr>
              <w:spacing w:val="0"/>
              <w:position w:val="0"/>
              <w:sz w:val="24"/>
              <w:szCs w:val="24"/>
            </w:rPr>
            <w:t>自然环境概况</w:t>
          </w:r>
          <w:r>
            <w:rPr>
              <w:sz w:val="24"/>
              <w:szCs w:val="24"/>
            </w:rPr>
            <w:tab/>
          </w:r>
          <w:r>
            <w:rPr>
              <w:sz w:val="24"/>
              <w:szCs w:val="24"/>
            </w:rPr>
            <w:fldChar w:fldCharType="begin"/>
          </w:r>
          <w:r>
            <w:rPr>
              <w:sz w:val="24"/>
              <w:szCs w:val="24"/>
            </w:rPr>
            <w:instrText xml:space="preserve"> PAGEREF _Toc6832 \h </w:instrText>
          </w:r>
          <w:r>
            <w:rPr>
              <w:sz w:val="24"/>
              <w:szCs w:val="24"/>
            </w:rPr>
            <w:fldChar w:fldCharType="separate"/>
          </w:r>
          <w:r>
            <w:rPr>
              <w:sz w:val="24"/>
              <w:szCs w:val="24"/>
            </w:rPr>
            <w:t>63</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_Toc10480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4.2 </w:t>
          </w:r>
          <w:r>
            <w:rPr>
              <w:sz w:val="24"/>
              <w:szCs w:val="24"/>
            </w:rPr>
            <w:t>环境质量现状调查与评价</w:t>
          </w:r>
          <w:r>
            <w:rPr>
              <w:sz w:val="24"/>
              <w:szCs w:val="24"/>
            </w:rPr>
            <w:tab/>
          </w:r>
          <w:r>
            <w:rPr>
              <w:sz w:val="24"/>
              <w:szCs w:val="24"/>
            </w:rPr>
            <w:fldChar w:fldCharType="begin"/>
          </w:r>
          <w:r>
            <w:rPr>
              <w:sz w:val="24"/>
              <w:szCs w:val="24"/>
            </w:rPr>
            <w:instrText xml:space="preserve"> PAGEREF _Toc10480 \h </w:instrText>
          </w:r>
          <w:r>
            <w:rPr>
              <w:sz w:val="24"/>
              <w:szCs w:val="24"/>
            </w:rPr>
            <w:fldChar w:fldCharType="separate"/>
          </w:r>
          <w:r>
            <w:rPr>
              <w:sz w:val="24"/>
              <w:szCs w:val="24"/>
            </w:rPr>
            <w:t>65</w:t>
          </w:r>
          <w:r>
            <w:rPr>
              <w:sz w:val="24"/>
              <w:szCs w:val="24"/>
            </w:rPr>
            <w:fldChar w:fldCharType="end"/>
          </w:r>
          <w:r>
            <w:rPr>
              <w:sz w:val="24"/>
              <w:szCs w:val="24"/>
            </w:rPr>
            <w:fldChar w:fldCharType="end"/>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_Toc22315 </w:instrText>
          </w:r>
          <w:r>
            <w:rPr>
              <w:sz w:val="24"/>
              <w:szCs w:val="24"/>
            </w:rPr>
            <w:fldChar w:fldCharType="separate"/>
          </w:r>
          <w:r>
            <w:rPr>
              <w:sz w:val="24"/>
              <w:szCs w:val="24"/>
            </w:rPr>
            <w:t>第五章</w:t>
          </w:r>
          <w:r>
            <w:rPr>
              <w:rFonts w:hint="eastAsia"/>
              <w:sz w:val="24"/>
              <w:szCs w:val="24"/>
              <w:lang w:val="en-US"/>
            </w:rPr>
            <w:t xml:space="preserve">  </w:t>
          </w:r>
          <w:r>
            <w:rPr>
              <w:sz w:val="24"/>
              <w:szCs w:val="24"/>
            </w:rPr>
            <w:t>环境影响预测与评价</w:t>
          </w:r>
          <w:r>
            <w:rPr>
              <w:sz w:val="24"/>
              <w:szCs w:val="24"/>
            </w:rPr>
            <w:tab/>
          </w:r>
          <w:r>
            <w:rPr>
              <w:sz w:val="24"/>
              <w:szCs w:val="24"/>
            </w:rPr>
            <w:fldChar w:fldCharType="begin"/>
          </w:r>
          <w:r>
            <w:rPr>
              <w:sz w:val="24"/>
              <w:szCs w:val="24"/>
            </w:rPr>
            <w:instrText xml:space="preserve"> PAGEREF _Toc22315 \h </w:instrText>
          </w:r>
          <w:r>
            <w:rPr>
              <w:sz w:val="24"/>
              <w:szCs w:val="24"/>
            </w:rPr>
            <w:fldChar w:fldCharType="separate"/>
          </w:r>
          <w:r>
            <w:rPr>
              <w:sz w:val="24"/>
              <w:szCs w:val="24"/>
            </w:rPr>
            <w:t>74</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_Toc30309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5.1 </w:t>
          </w:r>
          <w:r>
            <w:rPr>
              <w:sz w:val="24"/>
              <w:szCs w:val="24"/>
            </w:rPr>
            <w:t>施工期环境影响预测与评价</w:t>
          </w:r>
          <w:r>
            <w:rPr>
              <w:sz w:val="24"/>
              <w:szCs w:val="24"/>
            </w:rPr>
            <w:tab/>
          </w:r>
          <w:r>
            <w:rPr>
              <w:sz w:val="24"/>
              <w:szCs w:val="24"/>
            </w:rPr>
            <w:fldChar w:fldCharType="begin"/>
          </w:r>
          <w:r>
            <w:rPr>
              <w:sz w:val="24"/>
              <w:szCs w:val="24"/>
            </w:rPr>
            <w:instrText xml:space="preserve"> PAGEREF _Toc30309 \h </w:instrText>
          </w:r>
          <w:r>
            <w:rPr>
              <w:sz w:val="24"/>
              <w:szCs w:val="24"/>
            </w:rPr>
            <w:fldChar w:fldCharType="separate"/>
          </w:r>
          <w:r>
            <w:rPr>
              <w:sz w:val="24"/>
              <w:szCs w:val="24"/>
            </w:rPr>
            <w:t>74</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_Toc31207 </w:instrText>
          </w:r>
          <w:r>
            <w:rPr>
              <w:sz w:val="24"/>
              <w:szCs w:val="24"/>
            </w:rPr>
            <w:fldChar w:fldCharType="separate"/>
          </w:r>
          <w:r>
            <w:rPr>
              <w:rFonts w:hint="eastAsia"/>
              <w:bCs w:val="0"/>
              <w:kern w:val="0"/>
              <w:sz w:val="24"/>
              <w:szCs w:val="24"/>
              <w:highlight w:val="none"/>
              <w:lang w:val="en-US" w:eastAsia="zh-CN"/>
            </w:rPr>
            <w:t>5.2</w:t>
          </w:r>
          <w:r>
            <w:rPr>
              <w:rFonts w:hint="eastAsia" w:ascii="Times New Roman" w:hAnsi="Times New Roman" w:eastAsia="宋体"/>
              <w:bCs w:val="0"/>
              <w:kern w:val="0"/>
              <w:sz w:val="24"/>
              <w:szCs w:val="24"/>
              <w:highlight w:val="none"/>
            </w:rPr>
            <w:t>大气环</w:t>
          </w:r>
          <w:r>
            <w:rPr>
              <w:rFonts w:hint="default" w:ascii="Times New Roman" w:hAnsi="Times New Roman" w:eastAsia="宋体" w:cs="Times New Roman"/>
              <w:bCs w:val="0"/>
              <w:kern w:val="0"/>
              <w:sz w:val="24"/>
              <w:szCs w:val="24"/>
              <w:highlight w:val="none"/>
            </w:rPr>
            <w:t>境影响分析</w:t>
          </w:r>
          <w:r>
            <w:rPr>
              <w:sz w:val="24"/>
              <w:szCs w:val="24"/>
            </w:rPr>
            <w:tab/>
          </w:r>
          <w:r>
            <w:rPr>
              <w:sz w:val="24"/>
              <w:szCs w:val="24"/>
            </w:rPr>
            <w:fldChar w:fldCharType="begin"/>
          </w:r>
          <w:r>
            <w:rPr>
              <w:sz w:val="24"/>
              <w:szCs w:val="24"/>
            </w:rPr>
            <w:instrText xml:space="preserve"> PAGEREF _Toc31207 \h </w:instrText>
          </w:r>
          <w:r>
            <w:rPr>
              <w:sz w:val="24"/>
              <w:szCs w:val="24"/>
            </w:rPr>
            <w:fldChar w:fldCharType="separate"/>
          </w:r>
          <w:r>
            <w:rPr>
              <w:sz w:val="24"/>
              <w:szCs w:val="24"/>
            </w:rPr>
            <w:t>80</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_Toc28419 </w:instrText>
          </w:r>
          <w:r>
            <w:rPr>
              <w:sz w:val="24"/>
              <w:szCs w:val="24"/>
            </w:rPr>
            <w:fldChar w:fldCharType="separate"/>
          </w:r>
          <w:r>
            <w:rPr>
              <w:rFonts w:hint="default" w:ascii="Times New Roman" w:hAnsi="Times New Roman" w:cs="Times New Roman"/>
              <w:bCs w:val="0"/>
              <w:kern w:val="0"/>
              <w:sz w:val="24"/>
              <w:szCs w:val="24"/>
              <w:highlight w:val="none"/>
              <w:lang w:val="en-US" w:eastAsia="zh-CN"/>
            </w:rPr>
            <w:t>5.3</w:t>
          </w:r>
          <w:r>
            <w:rPr>
              <w:rFonts w:hint="default" w:ascii="Times New Roman" w:hAnsi="Times New Roman" w:eastAsia="宋体" w:cs="Times New Roman"/>
              <w:bCs w:val="0"/>
              <w:kern w:val="0"/>
              <w:sz w:val="24"/>
              <w:szCs w:val="24"/>
              <w:highlight w:val="none"/>
            </w:rPr>
            <w:t>水环境影响分析</w:t>
          </w:r>
          <w:r>
            <w:rPr>
              <w:sz w:val="24"/>
              <w:szCs w:val="24"/>
            </w:rPr>
            <w:tab/>
          </w:r>
          <w:r>
            <w:rPr>
              <w:sz w:val="24"/>
              <w:szCs w:val="24"/>
            </w:rPr>
            <w:fldChar w:fldCharType="begin"/>
          </w:r>
          <w:r>
            <w:rPr>
              <w:sz w:val="24"/>
              <w:szCs w:val="24"/>
            </w:rPr>
            <w:instrText xml:space="preserve"> PAGEREF _Toc28419 \h </w:instrText>
          </w:r>
          <w:r>
            <w:rPr>
              <w:sz w:val="24"/>
              <w:szCs w:val="24"/>
            </w:rPr>
            <w:fldChar w:fldCharType="separate"/>
          </w:r>
          <w:r>
            <w:rPr>
              <w:sz w:val="24"/>
              <w:szCs w:val="24"/>
            </w:rPr>
            <w:t>94</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_Toc26424 </w:instrText>
          </w:r>
          <w:r>
            <w:rPr>
              <w:sz w:val="24"/>
              <w:szCs w:val="24"/>
            </w:rPr>
            <w:fldChar w:fldCharType="separate"/>
          </w:r>
          <w:r>
            <w:rPr>
              <w:rFonts w:hint="eastAsia"/>
              <w:bCs w:val="0"/>
              <w:kern w:val="0"/>
              <w:sz w:val="24"/>
              <w:szCs w:val="24"/>
              <w:highlight w:val="none"/>
              <w:lang w:val="en-US" w:eastAsia="zh-CN"/>
            </w:rPr>
            <w:t>5.4</w:t>
          </w:r>
          <w:r>
            <w:rPr>
              <w:rFonts w:ascii="Times New Roman" w:hAnsi="Times New Roman" w:eastAsia="宋体"/>
              <w:bCs w:val="0"/>
              <w:kern w:val="0"/>
              <w:sz w:val="24"/>
              <w:szCs w:val="24"/>
              <w:highlight w:val="none"/>
            </w:rPr>
            <w:t>噪声环境影响分析</w:t>
          </w:r>
          <w:r>
            <w:rPr>
              <w:sz w:val="24"/>
              <w:szCs w:val="24"/>
            </w:rPr>
            <w:tab/>
          </w:r>
          <w:r>
            <w:rPr>
              <w:sz w:val="24"/>
              <w:szCs w:val="24"/>
            </w:rPr>
            <w:fldChar w:fldCharType="begin"/>
          </w:r>
          <w:r>
            <w:rPr>
              <w:sz w:val="24"/>
              <w:szCs w:val="24"/>
            </w:rPr>
            <w:instrText xml:space="preserve"> PAGEREF _Toc26424 \h </w:instrText>
          </w:r>
          <w:r>
            <w:rPr>
              <w:sz w:val="24"/>
              <w:szCs w:val="24"/>
            </w:rPr>
            <w:fldChar w:fldCharType="separate"/>
          </w:r>
          <w:r>
            <w:rPr>
              <w:sz w:val="24"/>
              <w:szCs w:val="24"/>
            </w:rPr>
            <w:t>96</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_Toc13491 </w:instrText>
          </w:r>
          <w:r>
            <w:rPr>
              <w:sz w:val="24"/>
              <w:szCs w:val="24"/>
            </w:rPr>
            <w:fldChar w:fldCharType="separate"/>
          </w:r>
          <w:r>
            <w:rPr>
              <w:rFonts w:hint="eastAsia"/>
              <w:bCs w:val="0"/>
              <w:kern w:val="0"/>
              <w:sz w:val="24"/>
              <w:szCs w:val="24"/>
              <w:highlight w:val="none"/>
              <w:lang w:val="en-US" w:eastAsia="zh-CN"/>
            </w:rPr>
            <w:t>5.5</w:t>
          </w:r>
          <w:r>
            <w:rPr>
              <w:rFonts w:ascii="Times New Roman" w:hAnsi="Times New Roman" w:eastAsia="宋体"/>
              <w:bCs w:val="0"/>
              <w:kern w:val="0"/>
              <w:sz w:val="24"/>
              <w:szCs w:val="24"/>
              <w:highlight w:val="none"/>
            </w:rPr>
            <w:t>固废环境影响分析</w:t>
          </w:r>
          <w:r>
            <w:rPr>
              <w:sz w:val="24"/>
              <w:szCs w:val="24"/>
            </w:rPr>
            <w:tab/>
          </w:r>
          <w:r>
            <w:rPr>
              <w:sz w:val="24"/>
              <w:szCs w:val="24"/>
            </w:rPr>
            <w:fldChar w:fldCharType="begin"/>
          </w:r>
          <w:r>
            <w:rPr>
              <w:sz w:val="24"/>
              <w:szCs w:val="24"/>
            </w:rPr>
            <w:instrText xml:space="preserve"> PAGEREF _Toc13491 \h </w:instrText>
          </w:r>
          <w:r>
            <w:rPr>
              <w:sz w:val="24"/>
              <w:szCs w:val="24"/>
            </w:rPr>
            <w:fldChar w:fldCharType="separate"/>
          </w:r>
          <w:r>
            <w:rPr>
              <w:sz w:val="24"/>
              <w:szCs w:val="24"/>
            </w:rPr>
            <w:t>102</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_Toc13284 </w:instrText>
          </w:r>
          <w:r>
            <w:rPr>
              <w:sz w:val="24"/>
              <w:szCs w:val="24"/>
            </w:rPr>
            <w:fldChar w:fldCharType="separate"/>
          </w:r>
          <w:r>
            <w:rPr>
              <w:rFonts w:hint="default" w:ascii="Times New Roman" w:hAnsi="Times New Roman" w:cs="Times New Roman"/>
              <w:bCs w:val="0"/>
              <w:kern w:val="0"/>
              <w:sz w:val="24"/>
              <w:szCs w:val="24"/>
              <w:highlight w:val="none"/>
              <w:lang w:val="en-US" w:eastAsia="zh-CN"/>
            </w:rPr>
            <w:t>5.6</w:t>
          </w:r>
          <w:r>
            <w:rPr>
              <w:rFonts w:hint="default" w:ascii="Times New Roman" w:hAnsi="Times New Roman" w:eastAsia="宋体" w:cs="Times New Roman"/>
              <w:bCs w:val="0"/>
              <w:kern w:val="0"/>
              <w:sz w:val="24"/>
              <w:szCs w:val="24"/>
              <w:highlight w:val="none"/>
            </w:rPr>
            <w:t>土壤环境的影响分析</w:t>
          </w:r>
          <w:r>
            <w:rPr>
              <w:sz w:val="24"/>
              <w:szCs w:val="24"/>
            </w:rPr>
            <w:tab/>
          </w:r>
          <w:r>
            <w:rPr>
              <w:sz w:val="24"/>
              <w:szCs w:val="24"/>
            </w:rPr>
            <w:fldChar w:fldCharType="begin"/>
          </w:r>
          <w:r>
            <w:rPr>
              <w:sz w:val="24"/>
              <w:szCs w:val="24"/>
            </w:rPr>
            <w:instrText xml:space="preserve"> PAGEREF _Toc13284 \h </w:instrText>
          </w:r>
          <w:r>
            <w:rPr>
              <w:sz w:val="24"/>
              <w:szCs w:val="24"/>
            </w:rPr>
            <w:fldChar w:fldCharType="separate"/>
          </w:r>
          <w:r>
            <w:rPr>
              <w:sz w:val="24"/>
              <w:szCs w:val="24"/>
            </w:rPr>
            <w:t>102</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_Toc8599 </w:instrText>
          </w:r>
          <w:r>
            <w:rPr>
              <w:sz w:val="24"/>
              <w:szCs w:val="24"/>
            </w:rPr>
            <w:fldChar w:fldCharType="separate"/>
          </w:r>
          <w:r>
            <w:rPr>
              <w:rFonts w:hint="default" w:ascii="Times New Roman" w:hAnsi="Times New Roman" w:cs="Times New Roman"/>
              <w:bCs w:val="0"/>
              <w:kern w:val="0"/>
              <w:sz w:val="24"/>
              <w:szCs w:val="24"/>
              <w:highlight w:val="none"/>
              <w:lang w:val="en-US" w:eastAsia="zh-CN"/>
            </w:rPr>
            <w:t>5.7</w:t>
          </w:r>
          <w:r>
            <w:rPr>
              <w:rFonts w:hint="default" w:ascii="Times New Roman" w:hAnsi="Times New Roman" w:eastAsia="宋体" w:cs="Times New Roman"/>
              <w:bCs w:val="0"/>
              <w:kern w:val="0"/>
              <w:sz w:val="24"/>
              <w:szCs w:val="24"/>
              <w:highlight w:val="none"/>
            </w:rPr>
            <w:t>生态环境影响评价</w:t>
          </w:r>
          <w:r>
            <w:rPr>
              <w:sz w:val="24"/>
              <w:szCs w:val="24"/>
            </w:rPr>
            <w:tab/>
          </w:r>
          <w:r>
            <w:rPr>
              <w:sz w:val="24"/>
              <w:szCs w:val="24"/>
            </w:rPr>
            <w:fldChar w:fldCharType="begin"/>
          </w:r>
          <w:r>
            <w:rPr>
              <w:sz w:val="24"/>
              <w:szCs w:val="24"/>
            </w:rPr>
            <w:instrText xml:space="preserve"> PAGEREF _Toc8599 \h </w:instrText>
          </w:r>
          <w:r>
            <w:rPr>
              <w:sz w:val="24"/>
              <w:szCs w:val="24"/>
            </w:rPr>
            <w:fldChar w:fldCharType="separate"/>
          </w:r>
          <w:r>
            <w:rPr>
              <w:sz w:val="24"/>
              <w:szCs w:val="24"/>
            </w:rPr>
            <w:t>106</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_Toc28696 </w:instrText>
          </w:r>
          <w:r>
            <w:rPr>
              <w:sz w:val="24"/>
              <w:szCs w:val="24"/>
            </w:rPr>
            <w:fldChar w:fldCharType="separate"/>
          </w:r>
          <w:r>
            <w:rPr>
              <w:rFonts w:hint="eastAsia"/>
              <w:bCs w:val="0"/>
              <w:kern w:val="0"/>
              <w:sz w:val="24"/>
              <w:szCs w:val="24"/>
              <w:highlight w:val="none"/>
              <w:lang w:val="en-US" w:eastAsia="zh-CN"/>
            </w:rPr>
            <w:t>5.8</w:t>
          </w:r>
          <w:r>
            <w:rPr>
              <w:rFonts w:ascii="Times New Roman" w:hAnsi="Times New Roman" w:eastAsia="宋体"/>
              <w:bCs w:val="0"/>
              <w:kern w:val="0"/>
              <w:sz w:val="24"/>
              <w:szCs w:val="24"/>
              <w:highlight w:val="none"/>
            </w:rPr>
            <w:t>环境风险评价</w:t>
          </w:r>
          <w:r>
            <w:rPr>
              <w:sz w:val="24"/>
              <w:szCs w:val="24"/>
            </w:rPr>
            <w:tab/>
          </w:r>
          <w:r>
            <w:rPr>
              <w:sz w:val="24"/>
              <w:szCs w:val="24"/>
            </w:rPr>
            <w:fldChar w:fldCharType="begin"/>
          </w:r>
          <w:r>
            <w:rPr>
              <w:sz w:val="24"/>
              <w:szCs w:val="24"/>
            </w:rPr>
            <w:instrText xml:space="preserve"> PAGEREF _Toc28696 \h </w:instrText>
          </w:r>
          <w:r>
            <w:rPr>
              <w:sz w:val="24"/>
              <w:szCs w:val="24"/>
            </w:rPr>
            <w:fldChar w:fldCharType="separate"/>
          </w:r>
          <w:r>
            <w:rPr>
              <w:sz w:val="24"/>
              <w:szCs w:val="24"/>
            </w:rPr>
            <w:t>107</w:t>
          </w:r>
          <w:r>
            <w:rPr>
              <w:sz w:val="24"/>
              <w:szCs w:val="24"/>
            </w:rPr>
            <w:fldChar w:fldCharType="end"/>
          </w:r>
          <w:r>
            <w:rPr>
              <w:sz w:val="24"/>
              <w:szCs w:val="24"/>
            </w:rPr>
            <w:fldChar w:fldCharType="end"/>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_Toc29050 </w:instrText>
          </w:r>
          <w:r>
            <w:rPr>
              <w:sz w:val="24"/>
              <w:szCs w:val="24"/>
            </w:rPr>
            <w:fldChar w:fldCharType="separate"/>
          </w:r>
          <w:r>
            <w:rPr>
              <w:sz w:val="24"/>
              <w:szCs w:val="24"/>
            </w:rPr>
            <w:t>第六章</w:t>
          </w:r>
          <w:r>
            <w:rPr>
              <w:rFonts w:hint="eastAsia"/>
              <w:sz w:val="24"/>
              <w:szCs w:val="24"/>
              <w:lang w:val="en-US"/>
            </w:rPr>
            <w:t xml:space="preserve">  </w:t>
          </w:r>
          <w:r>
            <w:rPr>
              <w:sz w:val="24"/>
              <w:szCs w:val="24"/>
            </w:rPr>
            <w:t>环境保护措施及其可行性论证</w:t>
          </w:r>
          <w:r>
            <w:rPr>
              <w:sz w:val="24"/>
              <w:szCs w:val="24"/>
            </w:rPr>
            <w:tab/>
          </w:r>
          <w:r>
            <w:rPr>
              <w:sz w:val="24"/>
              <w:szCs w:val="24"/>
            </w:rPr>
            <w:fldChar w:fldCharType="begin"/>
          </w:r>
          <w:r>
            <w:rPr>
              <w:sz w:val="24"/>
              <w:szCs w:val="24"/>
            </w:rPr>
            <w:instrText xml:space="preserve"> PAGEREF _Toc29050 \h </w:instrText>
          </w:r>
          <w:r>
            <w:rPr>
              <w:sz w:val="24"/>
              <w:szCs w:val="24"/>
            </w:rPr>
            <w:fldChar w:fldCharType="separate"/>
          </w:r>
          <w:r>
            <w:rPr>
              <w:sz w:val="24"/>
              <w:szCs w:val="24"/>
            </w:rPr>
            <w:t>117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_Toc19349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6.1 </w:t>
          </w:r>
          <w:r>
            <w:rPr>
              <w:sz w:val="24"/>
              <w:szCs w:val="24"/>
            </w:rPr>
            <w:t>施工期环境保护措施分析</w:t>
          </w:r>
          <w:r>
            <w:rPr>
              <w:sz w:val="24"/>
              <w:szCs w:val="24"/>
            </w:rPr>
            <w:tab/>
          </w:r>
          <w:r>
            <w:rPr>
              <w:sz w:val="24"/>
              <w:szCs w:val="24"/>
            </w:rPr>
            <w:fldChar w:fldCharType="begin"/>
          </w:r>
          <w:r>
            <w:rPr>
              <w:sz w:val="24"/>
              <w:szCs w:val="24"/>
            </w:rPr>
            <w:instrText xml:space="preserve"> PAGEREF _Toc19349 \h </w:instrText>
          </w:r>
          <w:r>
            <w:rPr>
              <w:sz w:val="24"/>
              <w:szCs w:val="24"/>
            </w:rPr>
            <w:fldChar w:fldCharType="separate"/>
          </w:r>
          <w:r>
            <w:rPr>
              <w:sz w:val="24"/>
              <w:szCs w:val="24"/>
            </w:rPr>
            <w:t>117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_Toc29614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6.2 </w:t>
          </w:r>
          <w:r>
            <w:rPr>
              <w:sz w:val="24"/>
              <w:szCs w:val="24"/>
            </w:rPr>
            <w:t>运营期环境保护措施分析</w:t>
          </w:r>
          <w:r>
            <w:rPr>
              <w:sz w:val="24"/>
              <w:szCs w:val="24"/>
            </w:rPr>
            <w:tab/>
          </w:r>
          <w:r>
            <w:rPr>
              <w:sz w:val="24"/>
              <w:szCs w:val="24"/>
            </w:rPr>
            <w:fldChar w:fldCharType="begin"/>
          </w:r>
          <w:r>
            <w:rPr>
              <w:sz w:val="24"/>
              <w:szCs w:val="24"/>
            </w:rPr>
            <w:instrText xml:space="preserve"> PAGEREF _Toc29614 \h </w:instrText>
          </w:r>
          <w:r>
            <w:rPr>
              <w:sz w:val="24"/>
              <w:szCs w:val="24"/>
            </w:rPr>
            <w:fldChar w:fldCharType="separate"/>
          </w:r>
          <w:r>
            <w:rPr>
              <w:sz w:val="24"/>
              <w:szCs w:val="24"/>
            </w:rPr>
            <w:t>120</w:t>
          </w:r>
          <w:r>
            <w:rPr>
              <w:sz w:val="24"/>
              <w:szCs w:val="24"/>
            </w:rPr>
            <w:fldChar w:fldCharType="end"/>
          </w:r>
          <w:r>
            <w:rPr>
              <w:sz w:val="24"/>
              <w:szCs w:val="24"/>
            </w:rPr>
            <w:fldChar w:fldCharType="end"/>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_Toc9369 </w:instrText>
          </w:r>
          <w:r>
            <w:rPr>
              <w:sz w:val="24"/>
              <w:szCs w:val="24"/>
            </w:rPr>
            <w:fldChar w:fldCharType="separate"/>
          </w:r>
          <w:r>
            <w:rPr>
              <w:sz w:val="24"/>
              <w:szCs w:val="24"/>
            </w:rPr>
            <w:t>第七章</w:t>
          </w:r>
          <w:r>
            <w:rPr>
              <w:rFonts w:hint="eastAsia"/>
              <w:sz w:val="24"/>
              <w:szCs w:val="24"/>
              <w:lang w:val="en-US"/>
            </w:rPr>
            <w:t xml:space="preserve">  </w:t>
          </w:r>
          <w:r>
            <w:rPr>
              <w:sz w:val="24"/>
              <w:szCs w:val="24"/>
            </w:rPr>
            <w:t>环境经济损益分析</w:t>
          </w:r>
          <w:r>
            <w:rPr>
              <w:sz w:val="24"/>
              <w:szCs w:val="24"/>
            </w:rPr>
            <w:tab/>
          </w:r>
          <w:r>
            <w:rPr>
              <w:sz w:val="24"/>
              <w:szCs w:val="24"/>
            </w:rPr>
            <w:fldChar w:fldCharType="begin"/>
          </w:r>
          <w:r>
            <w:rPr>
              <w:sz w:val="24"/>
              <w:szCs w:val="24"/>
            </w:rPr>
            <w:instrText xml:space="preserve"> PAGEREF _Toc9369 \h </w:instrText>
          </w:r>
          <w:r>
            <w:rPr>
              <w:sz w:val="24"/>
              <w:szCs w:val="24"/>
            </w:rPr>
            <w:fldChar w:fldCharType="separate"/>
          </w:r>
          <w:r>
            <w:rPr>
              <w:sz w:val="24"/>
              <w:szCs w:val="24"/>
            </w:rPr>
            <w:t>137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_Toc28898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7.1 </w:t>
          </w:r>
          <w:r>
            <w:rPr>
              <w:rFonts w:hint="eastAsia"/>
              <w:w w:val="95"/>
              <w:sz w:val="24"/>
              <w:szCs w:val="24"/>
              <w:lang w:eastAsia="zh-CN"/>
            </w:rPr>
            <w:t>社会</w:t>
          </w:r>
          <w:r>
            <w:rPr>
              <w:w w:val="95"/>
              <w:sz w:val="24"/>
              <w:szCs w:val="24"/>
            </w:rPr>
            <w:t>效益</w:t>
          </w:r>
          <w:r>
            <w:rPr>
              <w:sz w:val="24"/>
              <w:szCs w:val="24"/>
            </w:rPr>
            <w:tab/>
          </w:r>
          <w:r>
            <w:rPr>
              <w:sz w:val="24"/>
              <w:szCs w:val="24"/>
            </w:rPr>
            <w:fldChar w:fldCharType="begin"/>
          </w:r>
          <w:r>
            <w:rPr>
              <w:sz w:val="24"/>
              <w:szCs w:val="24"/>
            </w:rPr>
            <w:instrText xml:space="preserve"> PAGEREF _Toc28898 \h </w:instrText>
          </w:r>
          <w:r>
            <w:rPr>
              <w:sz w:val="24"/>
              <w:szCs w:val="24"/>
            </w:rPr>
            <w:fldChar w:fldCharType="separate"/>
          </w:r>
          <w:r>
            <w:rPr>
              <w:sz w:val="24"/>
              <w:szCs w:val="24"/>
            </w:rPr>
            <w:t>137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_Toc7894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7.2 </w:t>
          </w:r>
          <w:r>
            <w:rPr>
              <w:sz w:val="24"/>
              <w:szCs w:val="24"/>
            </w:rPr>
            <w:t>环境效益分析</w:t>
          </w:r>
          <w:r>
            <w:rPr>
              <w:sz w:val="24"/>
              <w:szCs w:val="24"/>
            </w:rPr>
            <w:tab/>
          </w:r>
          <w:r>
            <w:rPr>
              <w:sz w:val="24"/>
              <w:szCs w:val="24"/>
            </w:rPr>
            <w:fldChar w:fldCharType="begin"/>
          </w:r>
          <w:r>
            <w:rPr>
              <w:sz w:val="24"/>
              <w:szCs w:val="24"/>
            </w:rPr>
            <w:instrText xml:space="preserve"> PAGEREF _Toc7894 \h </w:instrText>
          </w:r>
          <w:r>
            <w:rPr>
              <w:sz w:val="24"/>
              <w:szCs w:val="24"/>
            </w:rPr>
            <w:fldChar w:fldCharType="separate"/>
          </w:r>
          <w:r>
            <w:rPr>
              <w:sz w:val="24"/>
              <w:szCs w:val="24"/>
            </w:rPr>
            <w:t>137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_Toc3264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7.3 </w:t>
          </w:r>
          <w:r>
            <w:rPr>
              <w:sz w:val="24"/>
              <w:szCs w:val="24"/>
            </w:rPr>
            <w:t>环境经济损益分析结论</w:t>
          </w:r>
          <w:r>
            <w:rPr>
              <w:sz w:val="24"/>
              <w:szCs w:val="24"/>
            </w:rPr>
            <w:tab/>
          </w:r>
          <w:r>
            <w:rPr>
              <w:sz w:val="24"/>
              <w:szCs w:val="24"/>
            </w:rPr>
            <w:fldChar w:fldCharType="begin"/>
          </w:r>
          <w:r>
            <w:rPr>
              <w:sz w:val="24"/>
              <w:szCs w:val="24"/>
            </w:rPr>
            <w:instrText xml:space="preserve"> PAGEREF _Toc3264 \h </w:instrText>
          </w:r>
          <w:r>
            <w:rPr>
              <w:sz w:val="24"/>
              <w:szCs w:val="24"/>
            </w:rPr>
            <w:fldChar w:fldCharType="separate"/>
          </w:r>
          <w:r>
            <w:rPr>
              <w:sz w:val="24"/>
              <w:szCs w:val="24"/>
            </w:rPr>
            <w:t>138</w:t>
          </w:r>
          <w:r>
            <w:rPr>
              <w:sz w:val="24"/>
              <w:szCs w:val="24"/>
            </w:rPr>
            <w:fldChar w:fldCharType="end"/>
          </w:r>
          <w:r>
            <w:rPr>
              <w:sz w:val="24"/>
              <w:szCs w:val="24"/>
            </w:rPr>
            <w:fldChar w:fldCharType="end"/>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_Toc2850 </w:instrText>
          </w:r>
          <w:r>
            <w:rPr>
              <w:sz w:val="24"/>
              <w:szCs w:val="24"/>
            </w:rPr>
            <w:fldChar w:fldCharType="separate"/>
          </w:r>
          <w:r>
            <w:rPr>
              <w:sz w:val="24"/>
              <w:szCs w:val="24"/>
            </w:rPr>
            <w:t>第八章</w:t>
          </w:r>
          <w:r>
            <w:rPr>
              <w:rFonts w:hint="eastAsia"/>
              <w:sz w:val="24"/>
              <w:szCs w:val="24"/>
              <w:lang w:val="en-US"/>
            </w:rPr>
            <w:t xml:space="preserve">  </w:t>
          </w:r>
          <w:r>
            <w:rPr>
              <w:sz w:val="24"/>
              <w:szCs w:val="24"/>
            </w:rPr>
            <w:t>环境管理及监测计划</w:t>
          </w:r>
          <w:r>
            <w:rPr>
              <w:sz w:val="24"/>
              <w:szCs w:val="24"/>
            </w:rPr>
            <w:tab/>
          </w:r>
          <w:r>
            <w:rPr>
              <w:sz w:val="24"/>
              <w:szCs w:val="24"/>
            </w:rPr>
            <w:fldChar w:fldCharType="begin"/>
          </w:r>
          <w:r>
            <w:rPr>
              <w:sz w:val="24"/>
              <w:szCs w:val="24"/>
            </w:rPr>
            <w:instrText xml:space="preserve"> PAGEREF _Toc2850 \h </w:instrText>
          </w:r>
          <w:r>
            <w:rPr>
              <w:sz w:val="24"/>
              <w:szCs w:val="24"/>
            </w:rPr>
            <w:fldChar w:fldCharType="separate"/>
          </w:r>
          <w:r>
            <w:rPr>
              <w:sz w:val="24"/>
              <w:szCs w:val="24"/>
            </w:rPr>
            <w:t>139</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_Toc26955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8.1 </w:t>
          </w:r>
          <w:r>
            <w:rPr>
              <w:sz w:val="24"/>
              <w:szCs w:val="24"/>
            </w:rPr>
            <w:t>环境管理</w:t>
          </w:r>
          <w:r>
            <w:rPr>
              <w:sz w:val="24"/>
              <w:szCs w:val="24"/>
            </w:rPr>
            <w:tab/>
          </w:r>
          <w:r>
            <w:rPr>
              <w:sz w:val="24"/>
              <w:szCs w:val="24"/>
            </w:rPr>
            <w:fldChar w:fldCharType="begin"/>
          </w:r>
          <w:r>
            <w:rPr>
              <w:sz w:val="24"/>
              <w:szCs w:val="24"/>
            </w:rPr>
            <w:instrText xml:space="preserve"> PAGEREF _Toc26955 \h </w:instrText>
          </w:r>
          <w:r>
            <w:rPr>
              <w:sz w:val="24"/>
              <w:szCs w:val="24"/>
            </w:rPr>
            <w:fldChar w:fldCharType="separate"/>
          </w:r>
          <w:r>
            <w:rPr>
              <w:sz w:val="24"/>
              <w:szCs w:val="24"/>
            </w:rPr>
            <w:t>139</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_Toc28118 </w:instrText>
          </w:r>
          <w:r>
            <w:rPr>
              <w:sz w:val="24"/>
              <w:szCs w:val="24"/>
            </w:rPr>
            <w:fldChar w:fldCharType="separate"/>
          </w:r>
          <w:r>
            <w:rPr>
              <w:rFonts w:hint="default" w:ascii="Times New Roman" w:hAnsi="Times New Roman" w:cs="Times New Roman"/>
              <w:bCs w:val="0"/>
              <w:kern w:val="0"/>
              <w:sz w:val="24"/>
              <w:szCs w:val="24"/>
              <w:highlight w:val="none"/>
              <w:lang w:val="en-US" w:eastAsia="zh-CN"/>
            </w:rPr>
            <w:t>8.2</w:t>
          </w:r>
          <w:r>
            <w:rPr>
              <w:rFonts w:hint="default" w:ascii="Times New Roman" w:hAnsi="Times New Roman" w:eastAsia="宋体" w:cs="Times New Roman"/>
              <w:bCs w:val="0"/>
              <w:kern w:val="0"/>
              <w:sz w:val="24"/>
              <w:szCs w:val="24"/>
              <w:highlight w:val="none"/>
            </w:rPr>
            <w:t>环境监测</w:t>
          </w:r>
          <w:r>
            <w:rPr>
              <w:sz w:val="24"/>
              <w:szCs w:val="24"/>
            </w:rPr>
            <w:tab/>
          </w:r>
          <w:r>
            <w:rPr>
              <w:sz w:val="24"/>
              <w:szCs w:val="24"/>
            </w:rPr>
            <w:fldChar w:fldCharType="begin"/>
          </w:r>
          <w:r>
            <w:rPr>
              <w:sz w:val="24"/>
              <w:szCs w:val="24"/>
            </w:rPr>
            <w:instrText xml:space="preserve"> PAGEREF _Toc28118 \h </w:instrText>
          </w:r>
          <w:r>
            <w:rPr>
              <w:sz w:val="24"/>
              <w:szCs w:val="24"/>
            </w:rPr>
            <w:fldChar w:fldCharType="separate"/>
          </w:r>
          <w:r>
            <w:rPr>
              <w:sz w:val="24"/>
              <w:szCs w:val="24"/>
            </w:rPr>
            <w:t>147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_Toc16979 </w:instrText>
          </w:r>
          <w:r>
            <w:rPr>
              <w:sz w:val="24"/>
              <w:szCs w:val="24"/>
            </w:rPr>
            <w:fldChar w:fldCharType="separate"/>
          </w:r>
          <w:r>
            <w:rPr>
              <w:rFonts w:hint="eastAsia" w:ascii="Times New Roman" w:hAnsi="Times New Roman"/>
              <w:bCs w:val="0"/>
              <w:kern w:val="0"/>
              <w:sz w:val="24"/>
              <w:szCs w:val="24"/>
              <w:highlight w:val="none"/>
              <w:lang w:val="en-US" w:eastAsia="zh-CN"/>
            </w:rPr>
            <w:t>8.3</w:t>
          </w:r>
          <w:r>
            <w:rPr>
              <w:rFonts w:hint="eastAsia" w:ascii="Times New Roman" w:hAnsi="Times New Roman" w:eastAsia="宋体"/>
              <w:bCs w:val="0"/>
              <w:kern w:val="0"/>
              <w:sz w:val="24"/>
              <w:szCs w:val="24"/>
              <w:highlight w:val="none"/>
            </w:rPr>
            <w:t>污染物排放清单</w:t>
          </w:r>
          <w:r>
            <w:rPr>
              <w:sz w:val="24"/>
              <w:szCs w:val="24"/>
            </w:rPr>
            <w:tab/>
          </w:r>
          <w:r>
            <w:rPr>
              <w:sz w:val="24"/>
              <w:szCs w:val="24"/>
            </w:rPr>
            <w:fldChar w:fldCharType="begin"/>
          </w:r>
          <w:r>
            <w:rPr>
              <w:sz w:val="24"/>
              <w:szCs w:val="24"/>
            </w:rPr>
            <w:instrText xml:space="preserve"> PAGEREF _Toc16979 \h </w:instrText>
          </w:r>
          <w:r>
            <w:rPr>
              <w:sz w:val="24"/>
              <w:szCs w:val="24"/>
            </w:rPr>
            <w:fldChar w:fldCharType="separate"/>
          </w:r>
          <w:r>
            <w:rPr>
              <w:sz w:val="24"/>
              <w:szCs w:val="24"/>
            </w:rPr>
            <w:t>148</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_Toc8433 </w:instrText>
          </w:r>
          <w:r>
            <w:rPr>
              <w:sz w:val="24"/>
              <w:szCs w:val="24"/>
            </w:rPr>
            <w:fldChar w:fldCharType="separate"/>
          </w:r>
          <w:r>
            <w:rPr>
              <w:rFonts w:hint="eastAsia" w:ascii="Times New Roman" w:hAnsi="Times New Roman"/>
              <w:bCs w:val="0"/>
              <w:kern w:val="0"/>
              <w:sz w:val="24"/>
              <w:szCs w:val="24"/>
              <w:highlight w:val="none"/>
              <w:lang w:val="en-US" w:eastAsia="zh-CN"/>
            </w:rPr>
            <w:t>8.4</w:t>
          </w:r>
          <w:r>
            <w:rPr>
              <w:rFonts w:hint="eastAsia" w:ascii="Times New Roman" w:hAnsi="Times New Roman" w:eastAsia="宋体"/>
              <w:bCs w:val="0"/>
              <w:kern w:val="0"/>
              <w:sz w:val="24"/>
              <w:szCs w:val="24"/>
              <w:highlight w:val="none"/>
            </w:rPr>
            <w:t>竣工验收管理</w:t>
          </w:r>
          <w:r>
            <w:rPr>
              <w:sz w:val="24"/>
              <w:szCs w:val="24"/>
            </w:rPr>
            <w:tab/>
          </w:r>
          <w:r>
            <w:rPr>
              <w:sz w:val="24"/>
              <w:szCs w:val="24"/>
            </w:rPr>
            <w:fldChar w:fldCharType="begin"/>
          </w:r>
          <w:r>
            <w:rPr>
              <w:sz w:val="24"/>
              <w:szCs w:val="24"/>
            </w:rPr>
            <w:instrText xml:space="preserve"> PAGEREF _Toc8433 \h </w:instrText>
          </w:r>
          <w:r>
            <w:rPr>
              <w:sz w:val="24"/>
              <w:szCs w:val="24"/>
            </w:rPr>
            <w:fldChar w:fldCharType="separate"/>
          </w:r>
          <w:r>
            <w:rPr>
              <w:sz w:val="24"/>
              <w:szCs w:val="24"/>
            </w:rPr>
            <w:t>149</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_Toc10627 </w:instrText>
          </w:r>
          <w:r>
            <w:rPr>
              <w:sz w:val="24"/>
              <w:szCs w:val="24"/>
            </w:rPr>
            <w:fldChar w:fldCharType="separate"/>
          </w:r>
          <w:r>
            <w:rPr>
              <w:rFonts w:hint="default" w:ascii="Times New Roman" w:hAnsi="Times New Roman" w:cs="Times New Roman"/>
              <w:bCs w:val="0"/>
              <w:kern w:val="0"/>
              <w:sz w:val="24"/>
              <w:szCs w:val="24"/>
              <w:highlight w:val="none"/>
              <w:lang w:val="en-US" w:eastAsia="zh-CN"/>
            </w:rPr>
            <w:t>8.5</w:t>
          </w:r>
          <w:r>
            <w:rPr>
              <w:rFonts w:hint="default" w:ascii="Times New Roman" w:hAnsi="Times New Roman" w:eastAsia="宋体" w:cs="Times New Roman"/>
              <w:bCs w:val="0"/>
              <w:kern w:val="0"/>
              <w:sz w:val="24"/>
              <w:szCs w:val="24"/>
              <w:highlight w:val="none"/>
            </w:rPr>
            <w:t>总量控制</w:t>
          </w:r>
          <w:r>
            <w:rPr>
              <w:sz w:val="24"/>
              <w:szCs w:val="24"/>
            </w:rPr>
            <w:tab/>
          </w:r>
          <w:r>
            <w:rPr>
              <w:sz w:val="24"/>
              <w:szCs w:val="24"/>
            </w:rPr>
            <w:fldChar w:fldCharType="begin"/>
          </w:r>
          <w:r>
            <w:rPr>
              <w:sz w:val="24"/>
              <w:szCs w:val="24"/>
            </w:rPr>
            <w:instrText xml:space="preserve"> PAGEREF _Toc10627 \h </w:instrText>
          </w:r>
          <w:r>
            <w:rPr>
              <w:sz w:val="24"/>
              <w:szCs w:val="24"/>
            </w:rPr>
            <w:fldChar w:fldCharType="separate"/>
          </w:r>
          <w:r>
            <w:rPr>
              <w:sz w:val="24"/>
              <w:szCs w:val="24"/>
            </w:rPr>
            <w:t>151</w:t>
          </w:r>
          <w:r>
            <w:rPr>
              <w:sz w:val="24"/>
              <w:szCs w:val="24"/>
            </w:rPr>
            <w:fldChar w:fldCharType="end"/>
          </w:r>
          <w:r>
            <w:rPr>
              <w:sz w:val="24"/>
              <w:szCs w:val="24"/>
            </w:rPr>
            <w:fldChar w:fldCharType="end"/>
          </w:r>
        </w:p>
        <w:p>
          <w:pPr>
            <w:pStyle w:val="23"/>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_Toc14456 </w:instrText>
          </w:r>
          <w:r>
            <w:rPr>
              <w:sz w:val="24"/>
              <w:szCs w:val="24"/>
            </w:rPr>
            <w:fldChar w:fldCharType="separate"/>
          </w:r>
          <w:r>
            <w:rPr>
              <w:sz w:val="24"/>
              <w:szCs w:val="24"/>
            </w:rPr>
            <w:t>第九章</w:t>
          </w:r>
          <w:r>
            <w:rPr>
              <w:rFonts w:hint="eastAsia"/>
              <w:sz w:val="24"/>
              <w:szCs w:val="24"/>
              <w:lang w:val="en-US"/>
            </w:rPr>
            <w:t xml:space="preserve">  </w:t>
          </w:r>
          <w:r>
            <w:rPr>
              <w:sz w:val="24"/>
              <w:szCs w:val="24"/>
            </w:rPr>
            <w:t>评价结论与建议</w:t>
          </w:r>
          <w:r>
            <w:rPr>
              <w:sz w:val="24"/>
              <w:szCs w:val="24"/>
            </w:rPr>
            <w:tab/>
          </w:r>
          <w:r>
            <w:rPr>
              <w:sz w:val="24"/>
              <w:szCs w:val="24"/>
            </w:rPr>
            <w:fldChar w:fldCharType="begin"/>
          </w:r>
          <w:r>
            <w:rPr>
              <w:sz w:val="24"/>
              <w:szCs w:val="24"/>
            </w:rPr>
            <w:instrText xml:space="preserve"> PAGEREF _Toc14456 \h </w:instrText>
          </w:r>
          <w:r>
            <w:rPr>
              <w:sz w:val="24"/>
              <w:szCs w:val="24"/>
            </w:rPr>
            <w:fldChar w:fldCharType="separate"/>
          </w:r>
          <w:r>
            <w:rPr>
              <w:sz w:val="24"/>
              <w:szCs w:val="24"/>
            </w:rPr>
            <w:t>153</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_Toc4044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9.1 </w:t>
          </w:r>
          <w:r>
            <w:rPr>
              <w:sz w:val="24"/>
              <w:szCs w:val="24"/>
            </w:rPr>
            <w:t>项目概况</w:t>
          </w:r>
          <w:r>
            <w:rPr>
              <w:sz w:val="24"/>
              <w:szCs w:val="24"/>
            </w:rPr>
            <w:tab/>
          </w:r>
          <w:r>
            <w:rPr>
              <w:sz w:val="24"/>
              <w:szCs w:val="24"/>
            </w:rPr>
            <w:fldChar w:fldCharType="begin"/>
          </w:r>
          <w:r>
            <w:rPr>
              <w:sz w:val="24"/>
              <w:szCs w:val="24"/>
            </w:rPr>
            <w:instrText xml:space="preserve"> PAGEREF _Toc4044 \h </w:instrText>
          </w:r>
          <w:r>
            <w:rPr>
              <w:sz w:val="24"/>
              <w:szCs w:val="24"/>
            </w:rPr>
            <w:fldChar w:fldCharType="separate"/>
          </w:r>
          <w:r>
            <w:rPr>
              <w:sz w:val="24"/>
              <w:szCs w:val="24"/>
            </w:rPr>
            <w:t>153</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_Toc17064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9.2 </w:t>
          </w:r>
          <w:r>
            <w:rPr>
              <w:sz w:val="24"/>
              <w:szCs w:val="24"/>
            </w:rPr>
            <w:t>产业政策及相关规划符合性</w:t>
          </w:r>
          <w:r>
            <w:rPr>
              <w:sz w:val="24"/>
              <w:szCs w:val="24"/>
            </w:rPr>
            <w:tab/>
          </w:r>
          <w:r>
            <w:rPr>
              <w:sz w:val="24"/>
              <w:szCs w:val="24"/>
            </w:rPr>
            <w:fldChar w:fldCharType="begin"/>
          </w:r>
          <w:r>
            <w:rPr>
              <w:sz w:val="24"/>
              <w:szCs w:val="24"/>
            </w:rPr>
            <w:instrText xml:space="preserve"> PAGEREF _Toc17064 \h </w:instrText>
          </w:r>
          <w:r>
            <w:rPr>
              <w:sz w:val="24"/>
              <w:szCs w:val="24"/>
            </w:rPr>
            <w:fldChar w:fldCharType="separate"/>
          </w:r>
          <w:r>
            <w:rPr>
              <w:sz w:val="24"/>
              <w:szCs w:val="24"/>
            </w:rPr>
            <w:t>153</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_Toc28476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9.3 </w:t>
          </w:r>
          <w:r>
            <w:rPr>
              <w:sz w:val="24"/>
              <w:szCs w:val="24"/>
            </w:rPr>
            <w:t>环境质量现状</w:t>
          </w:r>
          <w:r>
            <w:rPr>
              <w:sz w:val="24"/>
              <w:szCs w:val="24"/>
            </w:rPr>
            <w:tab/>
          </w:r>
          <w:r>
            <w:rPr>
              <w:sz w:val="24"/>
              <w:szCs w:val="24"/>
            </w:rPr>
            <w:fldChar w:fldCharType="begin"/>
          </w:r>
          <w:r>
            <w:rPr>
              <w:sz w:val="24"/>
              <w:szCs w:val="24"/>
            </w:rPr>
            <w:instrText xml:space="preserve"> PAGEREF _Toc28476 \h </w:instrText>
          </w:r>
          <w:r>
            <w:rPr>
              <w:sz w:val="24"/>
              <w:szCs w:val="24"/>
            </w:rPr>
            <w:fldChar w:fldCharType="separate"/>
          </w:r>
          <w:r>
            <w:rPr>
              <w:sz w:val="24"/>
              <w:szCs w:val="24"/>
            </w:rPr>
            <w:t>153</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_Toc2809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9.4 </w:t>
          </w:r>
          <w:r>
            <w:rPr>
              <w:rFonts w:hint="eastAsia"/>
              <w:sz w:val="24"/>
              <w:szCs w:val="24"/>
              <w:lang w:eastAsia="zh-CN"/>
            </w:rPr>
            <w:t>环境影响评价结论</w:t>
          </w:r>
          <w:r>
            <w:rPr>
              <w:sz w:val="24"/>
              <w:szCs w:val="24"/>
            </w:rPr>
            <w:tab/>
          </w:r>
          <w:r>
            <w:rPr>
              <w:sz w:val="24"/>
              <w:szCs w:val="24"/>
            </w:rPr>
            <w:fldChar w:fldCharType="begin"/>
          </w:r>
          <w:r>
            <w:rPr>
              <w:sz w:val="24"/>
              <w:szCs w:val="24"/>
            </w:rPr>
            <w:instrText xml:space="preserve"> PAGEREF _Toc2809 \h </w:instrText>
          </w:r>
          <w:r>
            <w:rPr>
              <w:sz w:val="24"/>
              <w:szCs w:val="24"/>
            </w:rPr>
            <w:fldChar w:fldCharType="separate"/>
          </w:r>
          <w:r>
            <w:rPr>
              <w:sz w:val="24"/>
              <w:szCs w:val="24"/>
            </w:rPr>
            <w:t>154</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_Toc16517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9.5 </w:t>
          </w:r>
          <w:r>
            <w:rPr>
              <w:rFonts w:hint="eastAsia"/>
              <w:sz w:val="24"/>
              <w:szCs w:val="24"/>
              <w:lang w:eastAsia="zh-CN"/>
            </w:rPr>
            <w:t>环境保护措施</w:t>
          </w:r>
          <w:r>
            <w:rPr>
              <w:sz w:val="24"/>
              <w:szCs w:val="24"/>
            </w:rPr>
            <w:tab/>
          </w:r>
          <w:r>
            <w:rPr>
              <w:sz w:val="24"/>
              <w:szCs w:val="24"/>
            </w:rPr>
            <w:fldChar w:fldCharType="begin"/>
          </w:r>
          <w:r>
            <w:rPr>
              <w:sz w:val="24"/>
              <w:szCs w:val="24"/>
            </w:rPr>
            <w:instrText xml:space="preserve"> PAGEREF _Toc16517 \h </w:instrText>
          </w:r>
          <w:r>
            <w:rPr>
              <w:sz w:val="24"/>
              <w:szCs w:val="24"/>
            </w:rPr>
            <w:fldChar w:fldCharType="separate"/>
          </w:r>
          <w:r>
            <w:rPr>
              <w:sz w:val="24"/>
              <w:szCs w:val="24"/>
            </w:rPr>
            <w:t>155</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_Toc32264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9.6 </w:t>
          </w:r>
          <w:r>
            <w:rPr>
              <w:rFonts w:hint="eastAsia"/>
              <w:sz w:val="24"/>
              <w:szCs w:val="24"/>
              <w:lang w:eastAsia="zh-CN"/>
            </w:rPr>
            <w:t>环境管理与监测</w:t>
          </w:r>
          <w:r>
            <w:rPr>
              <w:sz w:val="24"/>
              <w:szCs w:val="24"/>
            </w:rPr>
            <w:tab/>
          </w:r>
          <w:r>
            <w:rPr>
              <w:sz w:val="24"/>
              <w:szCs w:val="24"/>
            </w:rPr>
            <w:fldChar w:fldCharType="begin"/>
          </w:r>
          <w:r>
            <w:rPr>
              <w:sz w:val="24"/>
              <w:szCs w:val="24"/>
            </w:rPr>
            <w:instrText xml:space="preserve"> PAGEREF _Toc32264 \h </w:instrText>
          </w:r>
          <w:r>
            <w:rPr>
              <w:sz w:val="24"/>
              <w:szCs w:val="24"/>
            </w:rPr>
            <w:fldChar w:fldCharType="separate"/>
          </w:r>
          <w:r>
            <w:rPr>
              <w:sz w:val="24"/>
              <w:szCs w:val="24"/>
            </w:rPr>
            <w:t>156</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_Toc445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9.7 </w:t>
          </w:r>
          <w:r>
            <w:rPr>
              <w:rFonts w:hint="eastAsia"/>
              <w:sz w:val="24"/>
              <w:szCs w:val="24"/>
              <w:lang w:eastAsia="zh-CN"/>
            </w:rPr>
            <w:t>环境风险评价结论</w:t>
          </w:r>
          <w:r>
            <w:rPr>
              <w:sz w:val="24"/>
              <w:szCs w:val="24"/>
            </w:rPr>
            <w:tab/>
          </w:r>
          <w:r>
            <w:rPr>
              <w:sz w:val="24"/>
              <w:szCs w:val="24"/>
            </w:rPr>
            <w:fldChar w:fldCharType="begin"/>
          </w:r>
          <w:r>
            <w:rPr>
              <w:sz w:val="24"/>
              <w:szCs w:val="24"/>
            </w:rPr>
            <w:instrText xml:space="preserve"> PAGEREF _Toc445 \h </w:instrText>
          </w:r>
          <w:r>
            <w:rPr>
              <w:sz w:val="24"/>
              <w:szCs w:val="24"/>
            </w:rPr>
            <w:fldChar w:fldCharType="separate"/>
          </w:r>
          <w:r>
            <w:rPr>
              <w:sz w:val="24"/>
              <w:szCs w:val="24"/>
            </w:rPr>
            <w:t>157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_Toc32212 </w:instrText>
          </w:r>
          <w:r>
            <w:rPr>
              <w:sz w:val="24"/>
              <w:szCs w:val="24"/>
            </w:rPr>
            <w:fldChar w:fldCharType="separate"/>
          </w:r>
          <w:r>
            <w:rPr>
              <w:rFonts w:hint="default" w:ascii="Times New Roman" w:hAnsi="Times New Roman" w:eastAsia="Times New Roman" w:cs="Times New Roman"/>
              <w:bCs/>
              <w:spacing w:val="-1"/>
              <w:w w:val="99"/>
              <w:sz w:val="24"/>
              <w:szCs w:val="24"/>
              <w:lang w:val="zh-CN" w:eastAsia="zh-CN" w:bidi="zh-CN"/>
            </w:rPr>
            <w:t xml:space="preserve">9.8 </w:t>
          </w:r>
          <w:r>
            <w:rPr>
              <w:rFonts w:hint="eastAsia"/>
              <w:sz w:val="24"/>
              <w:szCs w:val="24"/>
              <w:lang w:eastAsia="zh-CN"/>
            </w:rPr>
            <w:t>总量指标结论</w:t>
          </w:r>
          <w:r>
            <w:rPr>
              <w:sz w:val="24"/>
              <w:szCs w:val="24"/>
            </w:rPr>
            <w:tab/>
          </w:r>
          <w:r>
            <w:rPr>
              <w:sz w:val="24"/>
              <w:szCs w:val="24"/>
            </w:rPr>
            <w:fldChar w:fldCharType="begin"/>
          </w:r>
          <w:r>
            <w:rPr>
              <w:sz w:val="24"/>
              <w:szCs w:val="24"/>
            </w:rPr>
            <w:instrText xml:space="preserve"> PAGEREF _Toc32212 \h </w:instrText>
          </w:r>
          <w:r>
            <w:rPr>
              <w:sz w:val="24"/>
              <w:szCs w:val="24"/>
            </w:rPr>
            <w:fldChar w:fldCharType="separate"/>
          </w:r>
          <w:r>
            <w:rPr>
              <w:sz w:val="24"/>
              <w:szCs w:val="24"/>
            </w:rPr>
            <w:t>157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_Toc31 </w:instrText>
          </w:r>
          <w:r>
            <w:rPr>
              <w:sz w:val="24"/>
              <w:szCs w:val="24"/>
            </w:rPr>
            <w:fldChar w:fldCharType="separate"/>
          </w:r>
          <w:r>
            <w:rPr>
              <w:rFonts w:hint="eastAsia" w:ascii="Times New Roman" w:hAnsi="Times New Roman" w:eastAsia="宋体" w:cs="宋体"/>
              <w:bCs/>
              <w:sz w:val="24"/>
              <w:szCs w:val="24"/>
              <w:lang w:val="en-US" w:eastAsia="zh-CN" w:bidi="zh-CN"/>
            </w:rPr>
            <w:t>9.9</w:t>
          </w:r>
          <w:r>
            <w:rPr>
              <w:rFonts w:hint="eastAsia" w:ascii="Times New Roman" w:hAnsi="Times New Roman" w:cs="宋体"/>
              <w:bCs/>
              <w:sz w:val="24"/>
              <w:szCs w:val="24"/>
              <w:lang w:val="en-US" w:eastAsia="zh-CN" w:bidi="zh-CN"/>
            </w:rPr>
            <w:t xml:space="preserve">  </w:t>
          </w:r>
          <w:r>
            <w:rPr>
              <w:rFonts w:hint="eastAsia" w:ascii="Times New Roman" w:hAnsi="Times New Roman" w:eastAsia="宋体" w:cs="宋体"/>
              <w:bCs/>
              <w:sz w:val="24"/>
              <w:szCs w:val="24"/>
              <w:lang w:val="en-US" w:eastAsia="zh-CN" w:bidi="zh-CN"/>
            </w:rPr>
            <w:t>公众参与</w:t>
          </w:r>
          <w:r>
            <w:rPr>
              <w:sz w:val="24"/>
              <w:szCs w:val="24"/>
            </w:rPr>
            <w:tab/>
          </w:r>
          <w:r>
            <w:rPr>
              <w:sz w:val="24"/>
              <w:szCs w:val="24"/>
            </w:rPr>
            <w:fldChar w:fldCharType="begin"/>
          </w:r>
          <w:r>
            <w:rPr>
              <w:sz w:val="24"/>
              <w:szCs w:val="24"/>
            </w:rPr>
            <w:instrText xml:space="preserve"> PAGEREF _Toc31 \h </w:instrText>
          </w:r>
          <w:r>
            <w:rPr>
              <w:sz w:val="24"/>
              <w:szCs w:val="24"/>
            </w:rPr>
            <w:fldChar w:fldCharType="separate"/>
          </w:r>
          <w:r>
            <w:rPr>
              <w:sz w:val="24"/>
              <w:szCs w:val="24"/>
            </w:rPr>
            <w:t>157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_Toc12540 </w:instrText>
          </w:r>
          <w:r>
            <w:rPr>
              <w:sz w:val="24"/>
              <w:szCs w:val="24"/>
            </w:rPr>
            <w:fldChar w:fldCharType="separate"/>
          </w:r>
          <w:r>
            <w:rPr>
              <w:rFonts w:hint="eastAsia"/>
              <w:sz w:val="24"/>
              <w:szCs w:val="24"/>
              <w:lang w:val="en-US" w:eastAsia="zh-CN"/>
            </w:rPr>
            <w:t xml:space="preserve">9.10  </w:t>
          </w:r>
          <w:r>
            <w:rPr>
              <w:sz w:val="24"/>
              <w:szCs w:val="24"/>
            </w:rPr>
            <w:t>综合评价结论</w:t>
          </w:r>
          <w:r>
            <w:rPr>
              <w:sz w:val="24"/>
              <w:szCs w:val="24"/>
            </w:rPr>
            <w:tab/>
          </w:r>
          <w:r>
            <w:rPr>
              <w:sz w:val="24"/>
              <w:szCs w:val="24"/>
            </w:rPr>
            <w:fldChar w:fldCharType="begin"/>
          </w:r>
          <w:r>
            <w:rPr>
              <w:sz w:val="24"/>
              <w:szCs w:val="24"/>
            </w:rPr>
            <w:instrText xml:space="preserve"> PAGEREF _Toc12540 \h </w:instrText>
          </w:r>
          <w:r>
            <w:rPr>
              <w:sz w:val="24"/>
              <w:szCs w:val="24"/>
            </w:rPr>
            <w:fldChar w:fldCharType="separate"/>
          </w:r>
          <w:r>
            <w:rPr>
              <w:sz w:val="24"/>
              <w:szCs w:val="24"/>
            </w:rPr>
            <w:t>157</w:t>
          </w:r>
          <w:r>
            <w:rPr>
              <w:sz w:val="24"/>
              <w:szCs w:val="24"/>
            </w:rPr>
            <w:fldChar w:fldCharType="end"/>
          </w:r>
          <w:r>
            <w:rPr>
              <w:sz w:val="24"/>
              <w:szCs w:val="24"/>
            </w:rPr>
            <w:fldChar w:fldCharType="end"/>
          </w:r>
        </w:p>
        <w:p>
          <w:pPr>
            <w:pStyle w:val="27"/>
            <w:keepNext w:val="0"/>
            <w:keepLines w:val="0"/>
            <w:pageBreakBefore w:val="0"/>
            <w:widowControl w:val="0"/>
            <w:tabs>
              <w:tab w:val="right" w:leader="middleDot" w:pos="8304"/>
            </w:tabs>
            <w:kinsoku/>
            <w:wordWrap/>
            <w:overflowPunct/>
            <w:topLinePunct w:val="0"/>
            <w:autoSpaceDE w:val="0"/>
            <w:autoSpaceDN w:val="0"/>
            <w:bidi w:val="0"/>
            <w:adjustRightInd w:val="0"/>
            <w:snapToGrid w:val="0"/>
            <w:spacing w:before="0"/>
            <w:ind w:left="0" w:right="0" w:firstLine="0" w:firstLineChars="0"/>
            <w:jc w:val="both"/>
            <w:textAlignment w:val="auto"/>
            <w:rPr>
              <w:sz w:val="24"/>
              <w:szCs w:val="24"/>
            </w:rPr>
          </w:pPr>
          <w:r>
            <w:rPr>
              <w:sz w:val="24"/>
              <w:szCs w:val="24"/>
            </w:rPr>
            <w:fldChar w:fldCharType="begin"/>
          </w:r>
          <w:r>
            <w:rPr>
              <w:sz w:val="24"/>
              <w:szCs w:val="24"/>
            </w:rPr>
            <w:instrText xml:space="preserve"> HYPERLINK \l _Toc25815 </w:instrText>
          </w:r>
          <w:r>
            <w:rPr>
              <w:sz w:val="24"/>
              <w:szCs w:val="24"/>
            </w:rPr>
            <w:fldChar w:fldCharType="separate"/>
          </w:r>
          <w:r>
            <w:rPr>
              <w:rFonts w:hint="eastAsia"/>
              <w:sz w:val="24"/>
              <w:szCs w:val="24"/>
              <w:lang w:val="en-US" w:eastAsia="zh-CN"/>
            </w:rPr>
            <w:t xml:space="preserve">9.11  </w:t>
          </w:r>
          <w:r>
            <w:rPr>
              <w:sz w:val="24"/>
              <w:szCs w:val="24"/>
            </w:rPr>
            <w:t>对策与建议</w:t>
          </w:r>
          <w:r>
            <w:rPr>
              <w:sz w:val="24"/>
              <w:szCs w:val="24"/>
            </w:rPr>
            <w:tab/>
          </w:r>
          <w:r>
            <w:rPr>
              <w:sz w:val="24"/>
              <w:szCs w:val="24"/>
            </w:rPr>
            <w:fldChar w:fldCharType="begin"/>
          </w:r>
          <w:r>
            <w:rPr>
              <w:sz w:val="24"/>
              <w:szCs w:val="24"/>
            </w:rPr>
            <w:instrText xml:space="preserve"> PAGEREF _Toc25815 \h </w:instrText>
          </w:r>
          <w:r>
            <w:rPr>
              <w:sz w:val="24"/>
              <w:szCs w:val="24"/>
            </w:rPr>
            <w:fldChar w:fldCharType="separate"/>
          </w:r>
          <w:r>
            <w:rPr>
              <w:sz w:val="24"/>
              <w:szCs w:val="24"/>
            </w:rPr>
            <w:t>158</w:t>
          </w:r>
          <w:r>
            <w:rPr>
              <w:sz w:val="24"/>
              <w:szCs w:val="24"/>
            </w:rPr>
            <w:fldChar w:fldCharType="end"/>
          </w:r>
          <w:r>
            <w:rPr>
              <w:sz w:val="24"/>
              <w:szCs w:val="24"/>
            </w:rPr>
            <w:fldChar w:fldCharType="end"/>
          </w:r>
        </w:p>
        <w:p>
          <w:pPr>
            <w:keepNext w:val="0"/>
            <w:keepLines w:val="0"/>
            <w:pageBreakBefore w:val="0"/>
            <w:widowControl w:val="0"/>
            <w:kinsoku/>
            <w:wordWrap/>
            <w:overflowPunct/>
            <w:topLinePunct w:val="0"/>
            <w:autoSpaceDE w:val="0"/>
            <w:autoSpaceDN w:val="0"/>
            <w:bidi w:val="0"/>
            <w:adjustRightInd w:val="0"/>
            <w:snapToGrid w:val="0"/>
            <w:ind w:left="0" w:right="0" w:firstLine="0" w:firstLineChars="0"/>
            <w:jc w:val="both"/>
            <w:textAlignment w:val="auto"/>
          </w:pPr>
          <w:r>
            <w:rPr>
              <w:sz w:val="24"/>
              <w:szCs w:val="24"/>
            </w:rPr>
            <w:fldChar w:fldCharType="end"/>
          </w:r>
        </w:p>
      </w:sdtContent>
    </w:sdt>
    <w:p>
      <w:pPr>
        <w:pStyle w:val="4"/>
        <w:bidi w:val="0"/>
        <w:sectPr>
          <w:footerReference r:id="rId9" w:type="default"/>
          <w:footerReference r:id="rId10" w:type="even"/>
          <w:pgSz w:w="11910" w:h="16840"/>
          <w:pgMar w:top="1440" w:right="1803" w:bottom="1440" w:left="1803" w:header="896" w:footer="1088" w:gutter="0"/>
          <w:pgBorders>
            <w:top w:val="none" w:sz="0" w:space="0"/>
            <w:left w:val="none" w:sz="0" w:space="0"/>
            <w:bottom w:val="none" w:sz="0" w:space="0"/>
            <w:right w:val="none" w:sz="0" w:space="0"/>
          </w:pgBorders>
          <w:pgNumType w:start="1"/>
          <w:cols w:space="0" w:num="1"/>
        </w:sectPr>
      </w:pPr>
    </w:p>
    <w:p>
      <w:pPr>
        <w:pStyle w:val="4"/>
        <w:bidi w:val="0"/>
      </w:pPr>
      <w:bookmarkStart w:id="2" w:name="_Toc8189"/>
      <w:r>
        <w:t>第一章</w:t>
      </w:r>
      <w:bookmarkStart w:id="3" w:name="第一章_概述"/>
      <w:bookmarkEnd w:id="3"/>
      <w:r>
        <w:rPr>
          <w:rFonts w:hint="eastAsia"/>
          <w:lang w:val="en-US"/>
        </w:rPr>
        <w:t xml:space="preserve">  </w:t>
      </w:r>
      <w:r>
        <w:t>概述</w:t>
      </w:r>
      <w:bookmarkEnd w:id="0"/>
      <w:bookmarkEnd w:id="1"/>
      <w:bookmarkEnd w:id="2"/>
    </w:p>
    <w:p>
      <w:pPr>
        <w:pStyle w:val="5"/>
        <w:keepNext w:val="0"/>
        <w:keepLines w:val="0"/>
        <w:pageBreakBefore w:val="0"/>
        <w:widowControl w:val="0"/>
        <w:numPr>
          <w:ilvl w:val="1"/>
          <w:numId w:val="2"/>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rPr>
          <w:rFonts w:hint="default" w:ascii="Times New Roman" w:hAnsi="Times New Roman" w:cs="Times New Roman"/>
          <w:color w:val="000000" w:themeColor="text1"/>
        </w:rPr>
      </w:pPr>
      <w:bookmarkStart w:id="4" w:name="1.1_项目由来"/>
      <w:bookmarkEnd w:id="4"/>
      <w:bookmarkStart w:id="5" w:name="_bookmark1"/>
      <w:bookmarkEnd w:id="5"/>
      <w:bookmarkStart w:id="6" w:name="_Toc2350"/>
      <w:bookmarkStart w:id="7" w:name="_Toc2615"/>
      <w:r>
        <w:rPr>
          <w:rFonts w:hint="default" w:ascii="Times New Roman" w:hAnsi="Times New Roman" w:cs="Times New Roman"/>
          <w:color w:val="000000" w:themeColor="text1"/>
        </w:rPr>
        <w:t>建设项目特点</w:t>
      </w:r>
      <w:bookmarkEnd w:id="6"/>
      <w:bookmarkEnd w:id="7"/>
    </w:p>
    <w:p>
      <w:pPr>
        <w:pStyle w:val="6"/>
        <w:numPr>
          <w:ilvl w:val="2"/>
          <w:numId w:val="2"/>
        </w:numPr>
        <w:bidi w:val="0"/>
        <w:rPr>
          <w:rFonts w:hint="default"/>
        </w:rPr>
      </w:pPr>
      <w:bookmarkStart w:id="8" w:name="1.1.1_项目建设背景"/>
      <w:bookmarkEnd w:id="8"/>
      <w:r>
        <w:rPr>
          <w:rFonts w:hint="default"/>
        </w:rPr>
        <w:t>项目建设背景</w:t>
      </w:r>
    </w:p>
    <w:p>
      <w:pPr>
        <w:bidi w:val="0"/>
        <w:rPr>
          <w:rFonts w:hint="default" w:ascii="Times New Roman" w:hAnsi="Times New Roman" w:cs="Times New Roman"/>
          <w:color w:val="000000" w:themeColor="text1"/>
        </w:rPr>
      </w:pPr>
      <w:r>
        <w:rPr>
          <w:rFonts w:hint="default"/>
        </w:rPr>
        <w:t>为深入贯彻落实《中共中央国务院关于深入打好污染防治攻坚战的意见》，全力推进第二轮中央生态环境保护督察有关大气污染问题整改，帮助指导地方和企业解决大气污染防治工作痛点难点、堵点，深入打好蓝天保卫战，着力减少冬季重污染天气发生频次，持续改善全区环境空气质量，新疆维吾尔自治区生态环境厅发布文件《关于开展自治区2022年度夏秋季大气污染防治“冬病夏治”工作的通知》（新环大气函[2022]483号），文件中要求“加快推进燃煤锅炉超低排放改造和燃气锅炉低氨燃烧改造，2022年10月底前，县级及以上城市建成区淘汰30%现有35蒸吨/小时及以下的燃煤锅炉，“乌-昌-石”区域淘汰50%现有65蒸吨/小时以下燃煤锅炉。重点区域保留的燃煤锅炉基本完成超低排放改造，其他地区65蒸吨/小时及以上燃煤锅炉(含电力)累计完成总数的60%。实施重点行业NOx等污染物深度治理，按照氮氧化物排放浓度不高于50毫克/立方米的标准实施燃气锅炉低氨燃烧改造，2022年10月底前重点区域基本完成，其他地区累计完成总数的60%。”</w:t>
      </w:r>
    </w:p>
    <w:p>
      <w:pPr>
        <w:pStyle w:val="6"/>
        <w:numPr>
          <w:ilvl w:val="2"/>
          <w:numId w:val="2"/>
        </w:numPr>
        <w:bidi w:val="0"/>
        <w:rPr>
          <w:rFonts w:hint="default"/>
        </w:rPr>
      </w:pPr>
      <w:bookmarkStart w:id="9" w:name="1.1.2_项目建设必要性"/>
      <w:bookmarkEnd w:id="9"/>
      <w:r>
        <w:rPr>
          <w:rFonts w:hint="default"/>
        </w:rPr>
        <w:t>项目建设必要性</w:t>
      </w:r>
    </w:p>
    <w:p>
      <w:pPr>
        <w:bidi w:val="0"/>
        <w:rPr>
          <w:rFonts w:hint="default"/>
        </w:rPr>
      </w:pPr>
      <w:r>
        <w:rPr>
          <w:rFonts w:hint="default"/>
        </w:rPr>
        <w:t>中粮糖业控股股份有限公司额敏糖业分公司动力车间现有2</w:t>
      </w:r>
      <w:r>
        <w:rPr>
          <w:rFonts w:hint="default"/>
          <w:lang w:eastAsia="zh-CN"/>
        </w:rPr>
        <w:t>台</w:t>
      </w:r>
      <w:r>
        <w:rPr>
          <w:rFonts w:hint="default"/>
        </w:rPr>
        <w:t>35t/h中温</w:t>
      </w:r>
      <w:r>
        <w:rPr>
          <w:rFonts w:hint="eastAsia"/>
          <w:lang w:eastAsia="zh-CN"/>
        </w:rPr>
        <w:t>循环流化床</w:t>
      </w:r>
      <w:r>
        <w:rPr>
          <w:rFonts w:hint="default"/>
        </w:rPr>
        <w:t>蒸汽锅炉</w:t>
      </w:r>
      <w:r>
        <w:rPr>
          <w:rFonts w:hint="eastAsia"/>
          <w:lang w:eastAsia="zh-CN"/>
        </w:rPr>
        <w:t>（</w:t>
      </w:r>
      <w:r>
        <w:rPr>
          <w:rFonts w:hint="eastAsia"/>
          <w:lang w:val="en-US" w:eastAsia="zh-CN"/>
        </w:rPr>
        <w:t>1#以及3#</w:t>
      </w:r>
      <w:r>
        <w:rPr>
          <w:rFonts w:hint="eastAsia"/>
          <w:lang w:eastAsia="zh-CN"/>
        </w:rPr>
        <w:t>）</w:t>
      </w:r>
      <w:r>
        <w:rPr>
          <w:rFonts w:hint="default"/>
          <w:lang w:eastAsia="zh-CN"/>
        </w:rPr>
        <w:t>以及</w:t>
      </w:r>
      <w:r>
        <w:rPr>
          <w:rFonts w:hint="default"/>
        </w:rPr>
        <w:t>1</w:t>
      </w:r>
      <w:r>
        <w:rPr>
          <w:rFonts w:hint="default"/>
          <w:lang w:eastAsia="zh-CN"/>
        </w:rPr>
        <w:t>台</w:t>
      </w:r>
      <w:r>
        <w:rPr>
          <w:rFonts w:hint="default"/>
        </w:rPr>
        <w:t>20t/h中温低压蒸汽链条锅炉</w:t>
      </w:r>
      <w:r>
        <w:rPr>
          <w:rFonts w:hint="eastAsia"/>
          <w:lang w:eastAsia="zh-CN"/>
        </w:rPr>
        <w:t>（</w:t>
      </w:r>
      <w:r>
        <w:rPr>
          <w:rFonts w:hint="eastAsia"/>
          <w:lang w:val="en-US" w:eastAsia="zh-CN"/>
        </w:rPr>
        <w:t>2#</w:t>
      </w:r>
      <w:r>
        <w:rPr>
          <w:rFonts w:hint="eastAsia"/>
          <w:lang w:eastAsia="zh-CN"/>
        </w:rPr>
        <w:t>）</w:t>
      </w:r>
      <w:r>
        <w:rPr>
          <w:rFonts w:hint="default"/>
        </w:rPr>
        <w:t>，配套1×2MW B2—2.35/0.49背压式汽轮发电机组+2×1.5MW B2—24/3背压式汽轮发电机组，低压蒸汽通过汽轮发电机做功后，蒸汽进入甜菜制糖工艺生产用汽点。</w:t>
      </w:r>
    </w:p>
    <w:p>
      <w:pPr>
        <w:bidi w:val="0"/>
        <w:rPr>
          <w:rFonts w:hint="default"/>
        </w:rPr>
      </w:pPr>
      <w:r>
        <w:rPr>
          <w:rFonts w:hint="default"/>
        </w:rPr>
        <w:t>现有3#35t/h中温</w:t>
      </w:r>
      <w:r>
        <w:rPr>
          <w:rFonts w:hint="eastAsia"/>
          <w:lang w:eastAsia="zh-CN"/>
        </w:rPr>
        <w:t>循环流化床</w:t>
      </w:r>
      <w:r>
        <w:rPr>
          <w:rFonts w:hint="default"/>
        </w:rPr>
        <w:t>蒸汽锅炉是2001年将原北京锅炉厂生产的20t/h低压蒸汽链条锅炉改造为35t/h中温</w:t>
      </w:r>
      <w:r>
        <w:rPr>
          <w:rFonts w:hint="eastAsia"/>
          <w:lang w:eastAsia="zh-CN"/>
        </w:rPr>
        <w:t>循环流化床</w:t>
      </w:r>
      <w:r>
        <w:rPr>
          <w:rFonts w:hint="default"/>
        </w:rPr>
        <w:t>蒸汽锅炉，锅炉改造单位为西安交大动力成套设备有限公司，当年投产使用；1#35t/h中温</w:t>
      </w:r>
      <w:r>
        <w:rPr>
          <w:rFonts w:hint="eastAsia"/>
          <w:lang w:eastAsia="zh-CN"/>
        </w:rPr>
        <w:t>循环流化床</w:t>
      </w:r>
      <w:r>
        <w:rPr>
          <w:rFonts w:hint="default"/>
        </w:rPr>
        <w:t>蒸汽锅炉是2001年将原北京锅炉厂生产的20t/h低压蒸汽链条锅炉改造为35t/h中温</w:t>
      </w:r>
      <w:r>
        <w:rPr>
          <w:rFonts w:hint="eastAsia"/>
          <w:lang w:eastAsia="zh-CN"/>
        </w:rPr>
        <w:t>循环流化床</w:t>
      </w:r>
      <w:r>
        <w:rPr>
          <w:rFonts w:hint="default"/>
        </w:rPr>
        <w:t>蒸汽锅炉，锅炉改造单位为江西热能动力成套设备有限公司，当年投产使用；因此锅炉投入运行年限较长，锅炉热效率低，生产中事故频频出现，给生产带来诸多不便及生产的不稳定。</w:t>
      </w:r>
    </w:p>
    <w:p>
      <w:pPr>
        <w:bidi w:val="0"/>
        <w:rPr>
          <w:rFonts w:hint="default"/>
        </w:rPr>
      </w:pPr>
      <w:r>
        <w:rPr>
          <w:rFonts w:hint="default"/>
        </w:rPr>
        <w:t>现有</w:t>
      </w:r>
      <w:r>
        <w:rPr>
          <w:rFonts w:hint="eastAsia"/>
          <w:lang w:val="en-US" w:eastAsia="zh-CN"/>
        </w:rPr>
        <w:t>2#</w:t>
      </w:r>
      <w:r>
        <w:rPr>
          <w:rFonts w:hint="default"/>
        </w:rPr>
        <w:t>20t/h低压蒸汽链条锅炉于1985年购买北京锅炉厂制造的产品，于1986年在现有糖厂厂区内投入运行，已经投运37个生产期。三台锅炉效率只有75%-80%左右</w:t>
      </w:r>
      <w:r>
        <w:rPr>
          <w:rFonts w:hint="eastAsia"/>
          <w:lang w:eastAsia="zh-CN"/>
        </w:rPr>
        <w:t>，</w:t>
      </w:r>
      <w:r>
        <w:rPr>
          <w:rFonts w:hint="default"/>
        </w:rPr>
        <w:t>低于国标三级限值82%。</w:t>
      </w:r>
    </w:p>
    <w:p>
      <w:pPr>
        <w:bidi w:val="0"/>
        <w:rPr>
          <w:rFonts w:hint="default"/>
          <w:lang w:eastAsia="zh-CN"/>
        </w:rPr>
      </w:pPr>
      <w:r>
        <w:rPr>
          <w:rFonts w:hint="default"/>
        </w:rPr>
        <w:t>在此背景下，</w:t>
      </w:r>
      <w:r>
        <w:rPr>
          <w:rFonts w:hint="default"/>
          <w:lang w:eastAsia="zh-CN"/>
        </w:rPr>
        <w:t>中粮糖业控股股份有限公司额敏糖业分公司在原厂区进行锅炉技改，提出停用并淘汰现有</w:t>
      </w:r>
      <w:r>
        <w:rPr>
          <w:rFonts w:hint="default"/>
          <w:lang w:val="en-US" w:eastAsia="zh-CN"/>
        </w:rPr>
        <w:t>3台锅炉，</w:t>
      </w:r>
      <w:r>
        <w:rPr>
          <w:rFonts w:hint="default"/>
        </w:rPr>
        <w:t>在厂区内现有动力车间东面的预留扩建位置新建1×90t/h中温中压循环流化床锅炉</w:t>
      </w:r>
      <w:r>
        <w:rPr>
          <w:rFonts w:hint="default"/>
          <w:lang w:eastAsia="zh-CN"/>
        </w:rPr>
        <w:t>及配套设施。</w:t>
      </w:r>
    </w:p>
    <w:p>
      <w:pPr>
        <w:bidi w:val="0"/>
        <w:rPr>
          <w:rFonts w:hint="default"/>
        </w:rPr>
      </w:pPr>
      <w:r>
        <w:rPr>
          <w:rFonts w:hint="default"/>
        </w:rPr>
        <w:t>根据《中华人民共和国环境保护法》和《中华人民共和国环境影响评价法》等法律有关规定，</w:t>
      </w:r>
      <w:r>
        <w:rPr>
          <w:rFonts w:hint="eastAsia"/>
          <w:lang w:eastAsia="zh-CN"/>
        </w:rPr>
        <w:t>本</w:t>
      </w:r>
      <w:r>
        <w:rPr>
          <w:rFonts w:hint="default"/>
        </w:rPr>
        <w:t>项目需进行环境影响评价。依据国务院2017年第682号《建设项目环境保护管理条例》以及生态环境部部令第16号《建设项目环境影响评价分类管理名录（2021年版）》“ 四十一、电力、热力生产和供应业：热力生产和供应工程（包括建设  单位自建自用的供热工程）”中“燃煤、燃油锅炉总容量 65 吨/小时（45.5 兆瓦）以上的 ”</w:t>
      </w:r>
      <w:r>
        <w:rPr>
          <w:rFonts w:hint="default"/>
          <w:lang w:eastAsia="zh-CN"/>
        </w:rPr>
        <w:t>，</w:t>
      </w:r>
      <w:r>
        <w:rPr>
          <w:rFonts w:hint="default"/>
        </w:rPr>
        <w:t>编制环评报告书。</w:t>
      </w:r>
    </w:p>
    <w:p>
      <w:pPr>
        <w:bidi w:val="0"/>
        <w:rPr>
          <w:rFonts w:hint="eastAsia" w:eastAsia="宋体"/>
          <w:lang w:eastAsia="zh-CN"/>
        </w:rPr>
      </w:pPr>
      <w:r>
        <w:rPr>
          <w:rFonts w:hint="default"/>
        </w:rPr>
        <w:t>受</w:t>
      </w:r>
      <w:r>
        <w:rPr>
          <w:rFonts w:hint="default"/>
          <w:lang w:eastAsia="zh-CN"/>
        </w:rPr>
        <w:t>中粮糖业控股股份有限公司额敏糖业分公司</w:t>
      </w:r>
      <w:r>
        <w:rPr>
          <w:rFonts w:hint="default"/>
        </w:rPr>
        <w:t>委托，我公司承担了本项目的环境影响评价工作。接受委托后，我公司工程技术人员严格按照国家的有关法规，认真研究该项目的有关文件，实地踏勘和调研，收集核实了有关材料，并进行现状监测，通过现场调查、调查环境现状资料、预测计算分析等环节的工作，依据国家有关环境影响评价规范、技术导则等要求编制完成了《</w:t>
      </w:r>
      <w:r>
        <w:rPr>
          <w:rFonts w:hint="default"/>
          <w:lang w:eastAsia="zh-CN"/>
        </w:rPr>
        <w:t>中粮糖业控股股份有限公司额敏糖业分公司</w:t>
      </w:r>
      <w:r>
        <w:rPr>
          <w:rFonts w:hint="eastAsia"/>
          <w:lang w:eastAsia="zh-CN"/>
        </w:rPr>
        <w:t>90吨/小时锅炉技改项目</w:t>
      </w:r>
      <w:r>
        <w:rPr>
          <w:rFonts w:hint="default"/>
        </w:rPr>
        <w:t>环境影响报告书》。</w:t>
      </w:r>
    </w:p>
    <w:p>
      <w:pPr>
        <w:pStyle w:val="5"/>
        <w:keepNext w:val="0"/>
        <w:keepLines w:val="0"/>
        <w:pageBreakBefore w:val="0"/>
        <w:widowControl w:val="0"/>
        <w:numPr>
          <w:ilvl w:val="1"/>
          <w:numId w:val="2"/>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rPr>
          <w:color w:val="000000" w:themeColor="text1"/>
        </w:rPr>
      </w:pPr>
      <w:bookmarkStart w:id="10" w:name="1.2_建设项目概况"/>
      <w:bookmarkEnd w:id="10"/>
      <w:bookmarkStart w:id="11" w:name="_Toc27042"/>
      <w:bookmarkStart w:id="12" w:name="_Toc2345"/>
      <w:r>
        <w:rPr>
          <w:color w:val="000000" w:themeColor="text1"/>
        </w:rPr>
        <w:t>建设项目概况</w:t>
      </w:r>
      <w:bookmarkEnd w:id="11"/>
      <w:bookmarkEnd w:id="12"/>
    </w:p>
    <w:p>
      <w:pPr>
        <w:bidi w:val="0"/>
        <w:rPr>
          <w:color w:val="000000" w:themeColor="text1"/>
          <w:spacing w:val="-4"/>
        </w:rPr>
      </w:pPr>
      <w:r>
        <w:t>建设项目位于</w:t>
      </w:r>
      <w:r>
        <w:rPr>
          <w:rFonts w:hint="eastAsia"/>
          <w:lang w:eastAsia="zh-CN"/>
        </w:rPr>
        <w:t>塔城地区额敏县桥南中粮</w:t>
      </w:r>
      <w:r>
        <w:rPr>
          <w:rFonts w:hint="default"/>
          <w:lang w:eastAsia="zh-CN"/>
        </w:rPr>
        <w:t>路21号中</w:t>
      </w:r>
      <w:r>
        <w:rPr>
          <w:rFonts w:hint="eastAsia"/>
          <w:lang w:eastAsia="zh-CN"/>
        </w:rPr>
        <w:t>粮糖业控股股份有限公司额敏糖业分公司厂区内</w:t>
      </w:r>
      <w:r>
        <w:t>，本项目总占地面积</w:t>
      </w:r>
      <w:r>
        <w:rPr>
          <w:rFonts w:hint="eastAsia"/>
          <w:lang w:val="en-US" w:eastAsia="zh-CN"/>
        </w:rPr>
        <w:t>1492</w:t>
      </w:r>
      <w:r>
        <w:t>m</w:t>
      </w:r>
      <w:r>
        <w:rPr>
          <w:vertAlign w:val="superscript"/>
        </w:rPr>
        <w:t>2</w:t>
      </w:r>
      <w:r>
        <w:t>，总建筑面积为</w:t>
      </w:r>
      <w:r>
        <w:rPr>
          <w:rFonts w:hint="eastAsia"/>
          <w:lang w:val="en-US" w:eastAsia="zh-CN"/>
        </w:rPr>
        <w:t>3250</w:t>
      </w:r>
      <w:r>
        <w:t>m</w:t>
      </w:r>
      <w:r>
        <w:rPr>
          <w:vertAlign w:val="superscript"/>
        </w:rPr>
        <w:t>2</w:t>
      </w:r>
      <w:r>
        <w:t>。建设内容</w:t>
      </w:r>
      <w:r>
        <w:rPr>
          <w:rFonts w:hint="eastAsia"/>
          <w:lang w:eastAsia="zh-CN"/>
        </w:rPr>
        <w:t>主要</w:t>
      </w:r>
      <w:r>
        <w:t>包括：</w:t>
      </w:r>
      <w:r>
        <w:rPr>
          <w:rFonts w:hint="eastAsia"/>
          <w:lang w:eastAsia="zh-CN"/>
        </w:rPr>
        <w:t>在厂区内现有动力车间东面预留位置新建</w:t>
      </w:r>
      <w:r>
        <w:rPr>
          <w:rFonts w:hint="eastAsia"/>
          <w:lang w:val="en-US" w:eastAsia="zh-CN"/>
        </w:rPr>
        <w:t>1台90t/h中温中压循环流化床锅炉及配套设施</w:t>
      </w:r>
      <w:r>
        <w:rPr>
          <w:rFonts w:hint="eastAsia"/>
        </w:rPr>
        <w:t>。</w:t>
      </w:r>
    </w:p>
    <w:p>
      <w:pPr>
        <w:pStyle w:val="5"/>
        <w:keepNext w:val="0"/>
        <w:keepLines w:val="0"/>
        <w:pageBreakBefore w:val="0"/>
        <w:widowControl w:val="0"/>
        <w:numPr>
          <w:ilvl w:val="1"/>
          <w:numId w:val="2"/>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rPr>
          <w:color w:val="000000" w:themeColor="text1"/>
        </w:rPr>
      </w:pPr>
      <w:bookmarkStart w:id="13" w:name="_bookmark2"/>
      <w:bookmarkEnd w:id="13"/>
      <w:bookmarkStart w:id="14" w:name="1.3_环境影响评价工作过程"/>
      <w:bookmarkEnd w:id="14"/>
      <w:bookmarkStart w:id="15" w:name="_Toc32696"/>
      <w:bookmarkStart w:id="16" w:name="_Toc24679"/>
      <w:r>
        <w:rPr>
          <w:color w:val="000000" w:themeColor="text1"/>
        </w:rPr>
        <w:t>环境影响评价工作过程</w:t>
      </w:r>
      <w:bookmarkEnd w:id="15"/>
      <w:bookmarkEnd w:id="16"/>
    </w:p>
    <w:p>
      <w:pPr>
        <w:bidi w:val="0"/>
        <w:rPr>
          <w:color w:val="000000" w:themeColor="text1"/>
        </w:rPr>
      </w:pPr>
      <w:r>
        <w:t>评价单</w:t>
      </w:r>
      <w:r>
        <w:rPr>
          <w:rFonts w:hint="default"/>
        </w:rPr>
        <w:t>位于</w:t>
      </w:r>
      <w:r>
        <w:rPr>
          <w:rFonts w:hint="default"/>
          <w:lang w:val="en-US" w:eastAsia="zh-CN"/>
        </w:rPr>
        <w:t>202</w:t>
      </w:r>
      <w:r>
        <w:rPr>
          <w:rFonts w:hint="eastAsia"/>
          <w:lang w:val="en-US" w:eastAsia="zh-CN"/>
        </w:rPr>
        <w:t>3</w:t>
      </w:r>
      <w:r>
        <w:rPr>
          <w:rFonts w:hint="default"/>
        </w:rPr>
        <w:t>年</w:t>
      </w:r>
      <w:r>
        <w:rPr>
          <w:rFonts w:hint="eastAsia"/>
          <w:lang w:val="en-US" w:eastAsia="zh-CN"/>
        </w:rPr>
        <w:t>7</w:t>
      </w:r>
      <w:r>
        <w:rPr>
          <w:rFonts w:hint="default"/>
        </w:rPr>
        <w:t>月</w:t>
      </w:r>
      <w:r>
        <w:rPr>
          <w:rFonts w:hint="eastAsia"/>
          <w:lang w:val="en-US" w:eastAsia="zh-CN"/>
        </w:rPr>
        <w:t>20</w:t>
      </w:r>
      <w:r>
        <w:rPr>
          <w:rFonts w:hint="default"/>
        </w:rPr>
        <w:t>日接受</w:t>
      </w:r>
      <w:r>
        <w:t>建设单位委托后，及时组织技术人员现场踏勘、收集资料，对周围区域大气、地下水、土壤、声环境等环境质量现状进行调查及监测等工作，进行初步的工程分析。根据现场踏勘、现状调查监测、环境影响预测等结果，确定项目建设对区域环境可能造成不良影响的范围和程度，从而提出避免污染、减少污染的对策措施，并依据国家有关环境影响评价规范、技术导则等要求编制完成了《</w:t>
      </w:r>
      <w:r>
        <w:rPr>
          <w:rFonts w:hint="default"/>
          <w:lang w:eastAsia="zh-CN"/>
        </w:rPr>
        <w:t>中粮糖业控股股份有限公司额敏糖业分公司</w:t>
      </w:r>
      <w:r>
        <w:rPr>
          <w:rFonts w:hint="eastAsia"/>
          <w:lang w:eastAsia="zh-CN"/>
        </w:rPr>
        <w:t>90吨/小时锅炉技改项目</w:t>
      </w:r>
      <w:r>
        <w:rPr>
          <w:rFonts w:hint="default"/>
        </w:rPr>
        <w:t>环境影响报告书</w:t>
      </w:r>
      <w:r>
        <w:t>》，将作为本项目在建设期、运营期全过程的环境保护管理依据。项目环境影响评价工作程序见图1.3-1。</w:t>
      </w:r>
    </w:p>
    <w:p>
      <w:pPr>
        <w:widowControl/>
        <w:jc w:val="center"/>
        <w:rPr>
          <w:rFonts w:ascii="Times New Roman" w:hAnsi="Times New Roman" w:cs="Times New Roman"/>
          <w:b/>
          <w:color w:val="000000" w:themeColor="text1"/>
          <w:szCs w:val="21"/>
        </w:rPr>
      </w:pPr>
      <w:r>
        <w:rPr>
          <w:rFonts w:ascii="Times New Roman" w:hAnsi="Times New Roman" w:cs="Times New Roman"/>
          <w:color w:val="000000" w:themeColor="text1"/>
          <w:lang w:val="en-US" w:bidi="ar-SA"/>
        </w:rPr>
        <w:drawing>
          <wp:anchor distT="0" distB="0" distL="114300" distR="114300" simplePos="0" relativeHeight="251659264" behindDoc="0" locked="0" layoutInCell="1" allowOverlap="1">
            <wp:simplePos x="0" y="0"/>
            <wp:positionH relativeFrom="column">
              <wp:posOffset>320675</wp:posOffset>
            </wp:positionH>
            <wp:positionV relativeFrom="paragraph">
              <wp:posOffset>80010</wp:posOffset>
            </wp:positionV>
            <wp:extent cx="5330825" cy="5817235"/>
            <wp:effectExtent l="0" t="0" r="3175" b="12065"/>
            <wp:wrapTopAndBottom/>
            <wp:docPr id="2" name="图片 58"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8" descr="说明: IMG_256"/>
                    <pic:cNvPicPr>
                      <a:picLocks noChangeAspect="1"/>
                    </pic:cNvPicPr>
                  </pic:nvPicPr>
                  <pic:blipFill>
                    <a:blip r:embed="rId32"/>
                    <a:stretch>
                      <a:fillRect/>
                    </a:stretch>
                  </pic:blipFill>
                  <pic:spPr>
                    <a:xfrm>
                      <a:off x="0" y="0"/>
                      <a:ext cx="5330825" cy="5817235"/>
                    </a:xfrm>
                    <a:prstGeom prst="rect">
                      <a:avLst/>
                    </a:prstGeom>
                    <a:noFill/>
                    <a:ln>
                      <a:noFill/>
                    </a:ln>
                  </pic:spPr>
                </pic:pic>
              </a:graphicData>
            </a:graphic>
          </wp:anchor>
        </w:drawing>
      </w:r>
      <w:r>
        <w:rPr>
          <w:rFonts w:ascii="Times New Roman" w:hAnsi="Times New Roman" w:cs="Times New Roman"/>
          <w:b/>
          <w:color w:val="000000" w:themeColor="text1"/>
          <w:szCs w:val="21"/>
        </w:rPr>
        <w:t>图</w:t>
      </w:r>
      <w:r>
        <w:rPr>
          <w:rFonts w:hint="eastAsia" w:ascii="Times New Roman" w:hAnsi="Times New Roman" w:cs="Times New Roman"/>
          <w:b/>
          <w:color w:val="000000" w:themeColor="text1"/>
          <w:szCs w:val="21"/>
          <w:lang w:val="en-US"/>
        </w:rPr>
        <w:t xml:space="preserve"> </w:t>
      </w:r>
      <w:r>
        <w:rPr>
          <w:rFonts w:ascii="Times New Roman" w:hAnsi="Times New Roman" w:cs="Times New Roman"/>
          <w:b/>
          <w:color w:val="000000" w:themeColor="text1"/>
          <w:szCs w:val="21"/>
        </w:rPr>
        <w:t>1.</w:t>
      </w:r>
      <w:r>
        <w:rPr>
          <w:rFonts w:hint="eastAsia" w:ascii="Times New Roman" w:hAnsi="Times New Roman" w:cs="Times New Roman"/>
          <w:b/>
          <w:color w:val="000000" w:themeColor="text1"/>
          <w:szCs w:val="21"/>
          <w:lang w:val="en-US"/>
        </w:rPr>
        <w:t>3</w:t>
      </w:r>
      <w:r>
        <w:rPr>
          <w:rFonts w:ascii="Times New Roman" w:hAnsi="Times New Roman" w:cs="Times New Roman"/>
          <w:b/>
          <w:color w:val="000000" w:themeColor="text1"/>
          <w:szCs w:val="21"/>
        </w:rPr>
        <w:t>-1  环境影响评价工作程序图</w:t>
      </w:r>
    </w:p>
    <w:p>
      <w:pPr>
        <w:pStyle w:val="5"/>
        <w:keepNext w:val="0"/>
        <w:keepLines w:val="0"/>
        <w:pageBreakBefore w:val="0"/>
        <w:widowControl w:val="0"/>
        <w:numPr>
          <w:ilvl w:val="1"/>
          <w:numId w:val="2"/>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rPr>
          <w:color w:val="000000" w:themeColor="text1"/>
        </w:rPr>
      </w:pPr>
      <w:bookmarkStart w:id="17" w:name="1.4_分析判定相关情况"/>
      <w:bookmarkEnd w:id="17"/>
      <w:bookmarkStart w:id="18" w:name="_bookmark3"/>
      <w:bookmarkEnd w:id="18"/>
      <w:bookmarkStart w:id="19" w:name="_Toc19666"/>
      <w:bookmarkStart w:id="20" w:name="_Toc30622"/>
      <w:r>
        <w:rPr>
          <w:color w:val="000000" w:themeColor="text1"/>
        </w:rPr>
        <w:t>分析判定相关情况</w:t>
      </w:r>
      <w:bookmarkEnd w:id="19"/>
      <w:bookmarkEnd w:id="20"/>
    </w:p>
    <w:p>
      <w:pPr>
        <w:pStyle w:val="6"/>
        <w:numPr>
          <w:ilvl w:val="2"/>
          <w:numId w:val="2"/>
        </w:numPr>
        <w:bidi w:val="0"/>
      </w:pPr>
      <w:r>
        <w:t>产业政策符合性分析</w:t>
      </w:r>
    </w:p>
    <w:p>
      <w:pPr>
        <w:bidi w:val="0"/>
        <w:rPr>
          <w:color w:val="000000" w:themeColor="text1"/>
          <w:lang w:val="en-US"/>
        </w:rPr>
      </w:pPr>
      <w:r>
        <w:t>本项目为</w:t>
      </w:r>
      <w:r>
        <w:rPr>
          <w:rFonts w:hint="eastAsia"/>
          <w:lang w:eastAsia="zh-CN"/>
        </w:rPr>
        <w:t>锅炉改造项目</w:t>
      </w:r>
      <w:r>
        <w:t>，属于国家发展和改革委员会第</w:t>
      </w:r>
      <w:r>
        <w:rPr>
          <w:rFonts w:hint="eastAsia"/>
          <w:lang w:val="en-US" w:eastAsia="zh-CN"/>
        </w:rPr>
        <w:t>7</w:t>
      </w:r>
      <w:r>
        <w:t>号令《产业结构调整指导目录（20</w:t>
      </w:r>
      <w:r>
        <w:rPr>
          <w:rFonts w:hint="eastAsia"/>
          <w:lang w:val="en-US" w:eastAsia="zh-CN"/>
        </w:rPr>
        <w:t>24</w:t>
      </w:r>
      <w:r>
        <w:t>年本）》鼓励类中的“</w:t>
      </w:r>
      <w:r>
        <w:rPr>
          <w:rFonts w:hint="eastAsia"/>
          <w:lang w:eastAsia="zh-CN"/>
        </w:rPr>
        <w:t>四</w:t>
      </w:r>
      <w:r>
        <w:t>、</w:t>
      </w:r>
      <w:r>
        <w:rPr>
          <w:rFonts w:hint="eastAsia"/>
          <w:lang w:eastAsia="zh-CN"/>
        </w:rPr>
        <w:t>电力</w:t>
      </w:r>
      <w:r>
        <w:rPr>
          <w:rFonts w:hint="eastAsia" w:ascii="Times New Roman" w:hAnsi="Times New Roman"/>
          <w:lang w:val="en-US" w:eastAsia="zh-CN"/>
        </w:rPr>
        <w:t>-</w:t>
      </w:r>
      <w:r>
        <w:rPr>
          <w:rFonts w:ascii="Times New Roman" w:hAnsi="Times New Roman"/>
        </w:rPr>
        <w:t>6．火力发电低碳节能改造：燃煤发电机组二氧化碳捕集、利用与封存（CCUS）技术，超低排放、重金属脱除等多污染物协同治理技术，减污降碳协同增效技术开发与应用，火力发电机组节能降碳改造、供热改造、灵活性改造，煤电机组深度调峰安全防范技术研发与应用”，</w:t>
      </w:r>
      <w:r>
        <w:t>因此本项目符合国家产业政策。</w:t>
      </w:r>
    </w:p>
    <w:p>
      <w:pPr>
        <w:pStyle w:val="6"/>
        <w:numPr>
          <w:ilvl w:val="2"/>
          <w:numId w:val="2"/>
        </w:numPr>
        <w:bidi w:val="0"/>
        <w:rPr>
          <w:color w:val="0000FF"/>
        </w:rPr>
      </w:pPr>
      <w:r>
        <w:rPr>
          <w:rFonts w:hint="eastAsia"/>
          <w:color w:val="0000FF"/>
          <w:lang w:eastAsia="zh-CN"/>
        </w:rPr>
        <w:t>环境保护相关政策</w:t>
      </w:r>
      <w:r>
        <w:rPr>
          <w:color w:val="0000FF"/>
        </w:rPr>
        <w:t>符合性分析</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（1）与《大气污染防治行动计划》符合性</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《大气污染防治行动计划》加强工业企业大气污染综合治理中提出全面整治燃煤小锅炉。加快推进</w:t>
      </w:r>
      <w:r>
        <w:rPr>
          <w:rFonts w:hint="eastAsia" w:cs="Times New Roman"/>
          <w:spacing w:val="0"/>
          <w:position w:val="0"/>
          <w:sz w:val="24"/>
          <w:szCs w:val="24"/>
          <w:lang w:eastAsia="zh-CN"/>
        </w:rPr>
        <w:t>热力的生产和供应</w:t>
      </w:r>
      <w:r>
        <w:rPr>
          <w:rFonts w:hint="default" w:ascii="Times New Roman" w:hAnsi="Times New Roman" w:eastAsia="宋体" w:cs="Times New Roman"/>
          <w:spacing w:val="0"/>
          <w:position w:val="0"/>
          <w:sz w:val="24"/>
          <w:szCs w:val="24"/>
        </w:rPr>
        <w:t>、“煤改气” 、“煤改电”工程建设，到2017年，除必要保留的以外，地级及以上城市建成区基本淘汰每小时 10 蒸吨及以下的燃煤锅炉，禁止新建每小时20蒸吨以下的燃煤锅炉；其他地区原则上不再新建每小时 10 蒸吨以下的燃煤锅炉。</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本项目属于锅炉改造项目，位于现有工程厂区内，现有锅炉共有</w:t>
      </w:r>
      <w:r>
        <w:rPr>
          <w:rFonts w:hint="default" w:ascii="Times New Roman" w:hAnsi="Times New Roman" w:eastAsia="宋体" w:cs="Times New Roman"/>
          <w:spacing w:val="0"/>
          <w:position w:val="0"/>
          <w:sz w:val="24"/>
          <w:szCs w:val="24"/>
          <w:lang w:val="en-US" w:eastAsia="zh-CN"/>
        </w:rPr>
        <w:t>3</w:t>
      </w:r>
      <w:r>
        <w:rPr>
          <w:rFonts w:hint="default" w:ascii="Times New Roman" w:hAnsi="Times New Roman" w:eastAsia="宋体" w:cs="Times New Roman"/>
          <w:spacing w:val="0"/>
          <w:position w:val="0"/>
          <w:sz w:val="24"/>
          <w:szCs w:val="24"/>
        </w:rPr>
        <w:t>台锅炉，分别为</w:t>
      </w:r>
      <w:r>
        <w:rPr>
          <w:rFonts w:hint="default" w:ascii="Times New Roman" w:hAnsi="Times New Roman" w:eastAsia="宋体" w:cs="Times New Roman"/>
          <w:spacing w:val="0"/>
          <w:position w:val="0"/>
          <w:sz w:val="24"/>
          <w:szCs w:val="24"/>
          <w:lang w:val="en-US" w:eastAsia="zh-CN"/>
        </w:rPr>
        <w:t>2台35</w:t>
      </w:r>
      <w:r>
        <w:rPr>
          <w:rFonts w:hint="default" w:ascii="Times New Roman" w:hAnsi="Times New Roman" w:eastAsia="宋体" w:cs="Times New Roman"/>
          <w:spacing w:val="0"/>
          <w:position w:val="0"/>
          <w:sz w:val="24"/>
          <w:szCs w:val="24"/>
        </w:rPr>
        <w:t>t/h循环流化床燃煤锅炉和</w:t>
      </w:r>
      <w:r>
        <w:rPr>
          <w:rFonts w:hint="default" w:ascii="Times New Roman" w:hAnsi="Times New Roman" w:eastAsia="宋体" w:cs="Times New Roman"/>
          <w:spacing w:val="0"/>
          <w:position w:val="0"/>
          <w:sz w:val="24"/>
          <w:szCs w:val="24"/>
          <w:lang w:val="en-US" w:eastAsia="zh-CN"/>
        </w:rPr>
        <w:t>1台20</w:t>
      </w:r>
      <w:r>
        <w:rPr>
          <w:rFonts w:hint="default" w:ascii="Times New Roman" w:hAnsi="Times New Roman" w:eastAsia="宋体" w:cs="Times New Roman"/>
          <w:spacing w:val="0"/>
          <w:position w:val="0"/>
          <w:sz w:val="24"/>
          <w:szCs w:val="24"/>
        </w:rPr>
        <w:t>t/a循环流化床燃煤锅炉，</w:t>
      </w:r>
      <w:r>
        <w:rPr>
          <w:rFonts w:hint="default" w:ascii="Times New Roman" w:hAnsi="Times New Roman" w:eastAsia="宋体" w:cs="Times New Roman"/>
          <w:spacing w:val="0"/>
          <w:position w:val="0"/>
          <w:sz w:val="24"/>
          <w:szCs w:val="24"/>
          <w:lang w:eastAsia="zh-CN"/>
        </w:rPr>
        <w:t>将现有</w:t>
      </w:r>
      <w:r>
        <w:rPr>
          <w:rFonts w:hint="default" w:ascii="Times New Roman" w:hAnsi="Times New Roman" w:eastAsia="宋体" w:cs="Times New Roman"/>
          <w:spacing w:val="0"/>
          <w:position w:val="0"/>
          <w:sz w:val="24"/>
          <w:szCs w:val="24"/>
          <w:lang w:val="en-US" w:eastAsia="zh-CN"/>
        </w:rPr>
        <w:t>3台锅炉停止使用后，新建1台90t/h中温中压循环流化床锅炉，</w:t>
      </w:r>
      <w:r>
        <w:rPr>
          <w:rFonts w:hint="default" w:ascii="Times New Roman" w:hAnsi="Times New Roman" w:eastAsia="宋体" w:cs="Times New Roman"/>
          <w:spacing w:val="0"/>
          <w:position w:val="0"/>
          <w:sz w:val="24"/>
          <w:szCs w:val="24"/>
        </w:rPr>
        <w:t>符合《大气污染防治行动计划》（国发</w:t>
      </w:r>
      <w:r>
        <w:rPr>
          <w:rFonts w:hint="default" w:ascii="Times New Roman" w:hAnsi="Times New Roman" w:eastAsia="宋体" w:cs="Times New Roman"/>
          <w:spacing w:val="0"/>
          <w:position w:val="0"/>
          <w:sz w:val="24"/>
          <w:szCs w:val="24"/>
          <w:lang w:val="en-US" w:eastAsia="zh-CN"/>
        </w:rPr>
        <w:t>[2013]</w:t>
      </w:r>
      <w:r>
        <w:rPr>
          <w:rFonts w:hint="default" w:ascii="Times New Roman" w:hAnsi="Times New Roman" w:eastAsia="宋体" w:cs="Times New Roman"/>
          <w:spacing w:val="0"/>
          <w:position w:val="0"/>
          <w:sz w:val="24"/>
          <w:szCs w:val="24"/>
        </w:rPr>
        <w:t>37号）的相关要求。</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（2）与《新疆维吾尔自治区环境保护条例》符合性</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新疆维吾尔自治区环境保护条例》中要求“各级人民政府应当采取措施，调整能源结构，淘汰落后产能，加强煤炭清洁高效利用，实施燃煤电厂超低排放和节能改造，鼓励开发利用低污染、无污染的清洁能源。县级以上人民政府可以根据环境质量的需要，划定并公布高污染燃料禁燃区。在禁燃区内，禁止销售、燃用原煤、粉煤、各种可燃废物等高污染燃料；禁止新建、扩建燃用高污染燃料的设施，已建设成的，应当在规定的期限内改用清洁能源。在自治区行政区域内严格控制引进高排放、高污染、高耗能项目，禁止建设不符合国家和自治区环境保护标准的项目”。</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本项目属于锅炉改造项目，位于现有工程厂区内，不在禁燃区内，符合《新疆维吾尔自治区环境保护条例》要求。</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（3）与《新疆维吾尔自治区大气污染防治条例》符合性</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《新疆维吾尔自治区大气污染防治条例》中要求“推进城市建成区、工业园区实行</w:t>
      </w:r>
      <w:r>
        <w:rPr>
          <w:rFonts w:hint="eastAsia" w:cs="Times New Roman"/>
          <w:spacing w:val="0"/>
          <w:position w:val="0"/>
          <w:sz w:val="24"/>
          <w:szCs w:val="24"/>
          <w:lang w:eastAsia="zh-CN"/>
        </w:rPr>
        <w:t>热力的生产和供应</w:t>
      </w:r>
      <w:r>
        <w:rPr>
          <w:rFonts w:hint="default" w:ascii="Times New Roman" w:hAnsi="Times New Roman" w:eastAsia="宋体" w:cs="Times New Roman"/>
          <w:spacing w:val="0"/>
          <w:position w:val="0"/>
          <w:sz w:val="24"/>
          <w:szCs w:val="24"/>
        </w:rPr>
        <w:t>，使用清洁燃料。在</w:t>
      </w:r>
      <w:r>
        <w:rPr>
          <w:rFonts w:hint="eastAsia" w:cs="Times New Roman"/>
          <w:spacing w:val="0"/>
          <w:position w:val="0"/>
          <w:sz w:val="24"/>
          <w:szCs w:val="24"/>
          <w:lang w:eastAsia="zh-CN"/>
        </w:rPr>
        <w:t>供热</w:t>
      </w:r>
      <w:r>
        <w:rPr>
          <w:rFonts w:hint="default" w:ascii="Times New Roman" w:hAnsi="Times New Roman" w:eastAsia="宋体" w:cs="Times New Roman"/>
          <w:spacing w:val="0"/>
          <w:position w:val="0"/>
          <w:sz w:val="24"/>
          <w:szCs w:val="24"/>
        </w:rPr>
        <w:t>管网覆盖区域内，禁止新建、改建、扩建燃煤供热锅炉，</w:t>
      </w:r>
      <w:r>
        <w:rPr>
          <w:rFonts w:hint="eastAsia" w:cs="Times New Roman"/>
          <w:spacing w:val="0"/>
          <w:position w:val="0"/>
          <w:sz w:val="24"/>
          <w:szCs w:val="24"/>
          <w:lang w:eastAsia="zh-CN"/>
        </w:rPr>
        <w:t>供热</w:t>
      </w:r>
      <w:r>
        <w:rPr>
          <w:rFonts w:hint="default" w:ascii="Times New Roman" w:hAnsi="Times New Roman" w:eastAsia="宋体" w:cs="Times New Roman"/>
          <w:spacing w:val="0"/>
          <w:position w:val="0"/>
          <w:sz w:val="24"/>
          <w:szCs w:val="24"/>
        </w:rPr>
        <w:t>管网覆盖前，已建成使用的燃煤供热锅炉应当限期停止使用。在</w:t>
      </w:r>
      <w:r>
        <w:rPr>
          <w:rFonts w:hint="eastAsia" w:cs="Times New Roman"/>
          <w:spacing w:val="0"/>
          <w:position w:val="0"/>
          <w:sz w:val="24"/>
          <w:szCs w:val="24"/>
          <w:lang w:eastAsia="zh-CN"/>
        </w:rPr>
        <w:t>供热</w:t>
      </w:r>
      <w:r>
        <w:rPr>
          <w:rFonts w:hint="default" w:ascii="Times New Roman" w:hAnsi="Times New Roman" w:eastAsia="宋体" w:cs="Times New Roman"/>
          <w:spacing w:val="0"/>
          <w:position w:val="0"/>
          <w:sz w:val="24"/>
          <w:szCs w:val="24"/>
        </w:rPr>
        <w:t>未覆盖的区域，鼓励使用清洁能源替代，推广使用高效节能环保型锅炉。城市人民政府应当限期淘汰不符合国家和自治区规定规模的燃煤锅炉”。</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本项目属于锅炉改造项目，位于现有工程厂区内，本项目的建设可确保建设单位安全</w:t>
      </w:r>
      <w:r>
        <w:rPr>
          <w:rFonts w:hint="default" w:ascii="Times New Roman" w:hAnsi="Times New Roman" w:eastAsia="宋体" w:cs="Times New Roman"/>
          <w:spacing w:val="0"/>
          <w:position w:val="0"/>
          <w:sz w:val="24"/>
          <w:szCs w:val="24"/>
          <w:lang w:eastAsia="zh-CN"/>
        </w:rPr>
        <w:t>生产</w:t>
      </w:r>
      <w:r>
        <w:rPr>
          <w:rFonts w:hint="default" w:ascii="Times New Roman" w:hAnsi="Times New Roman" w:eastAsia="宋体" w:cs="Times New Roman"/>
          <w:spacing w:val="0"/>
          <w:position w:val="0"/>
          <w:sz w:val="24"/>
          <w:szCs w:val="24"/>
        </w:rPr>
        <w:t>，同时满足锅炉烟气达标排放，符合《新疆维吾尔自治区大气污染防治条例》要求。</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（4）与《关于印发新疆维吾尔自治区大气污染防治行动计划实施方案的通知》（新政发</w:t>
      </w:r>
      <w:r>
        <w:rPr>
          <w:rFonts w:hint="default" w:ascii="Times New Roman" w:hAnsi="Times New Roman" w:eastAsia="宋体" w:cs="Times New Roman"/>
          <w:spacing w:val="0"/>
          <w:position w:val="0"/>
          <w:sz w:val="24"/>
          <w:szCs w:val="24"/>
          <w:lang w:val="en-US" w:eastAsia="zh-CN"/>
        </w:rPr>
        <w:t>[2014]</w:t>
      </w:r>
      <w:r>
        <w:rPr>
          <w:rFonts w:hint="default" w:ascii="Times New Roman" w:hAnsi="Times New Roman" w:eastAsia="宋体" w:cs="Times New Roman"/>
          <w:spacing w:val="0"/>
          <w:position w:val="0"/>
          <w:sz w:val="24"/>
          <w:szCs w:val="24"/>
        </w:rPr>
        <w:t>35号）符合性</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《关于印发新疆维吾尔自治区大气污染防治行动计划实施方案的通知》中第三条重点工作中加大综合治理力度，减少多污染物排放中第 3 条指出，加快热力和燃气管网建设，通过热电联产、</w:t>
      </w:r>
      <w:r>
        <w:rPr>
          <w:rFonts w:hint="eastAsia" w:cs="Times New Roman"/>
          <w:spacing w:val="0"/>
          <w:position w:val="0"/>
          <w:sz w:val="24"/>
          <w:szCs w:val="24"/>
          <w:lang w:eastAsia="zh-CN"/>
        </w:rPr>
        <w:t>供热</w:t>
      </w:r>
      <w:r>
        <w:rPr>
          <w:rFonts w:hint="default" w:ascii="Times New Roman" w:hAnsi="Times New Roman" w:eastAsia="宋体" w:cs="Times New Roman"/>
          <w:spacing w:val="0"/>
          <w:position w:val="0"/>
          <w:sz w:val="24"/>
          <w:szCs w:val="24"/>
        </w:rPr>
        <w:t>等工程建设，到 2017 年底，除必要保留的以外，全区城市建成区基本淘汰每小时 10 蒸吨及以下燃煤锅炉，禁止新建每小时 20 蒸吨以下燃煤锅炉。</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本项目属于锅炉改造项目，现有锅炉共有</w:t>
      </w:r>
      <w:r>
        <w:rPr>
          <w:rFonts w:hint="default" w:ascii="Times New Roman" w:hAnsi="Times New Roman" w:eastAsia="宋体" w:cs="Times New Roman"/>
          <w:spacing w:val="0"/>
          <w:position w:val="0"/>
          <w:sz w:val="24"/>
          <w:szCs w:val="24"/>
          <w:lang w:val="en-US" w:eastAsia="zh-CN"/>
        </w:rPr>
        <w:t>3</w:t>
      </w:r>
      <w:r>
        <w:rPr>
          <w:rFonts w:hint="default" w:ascii="Times New Roman" w:hAnsi="Times New Roman" w:eastAsia="宋体" w:cs="Times New Roman"/>
          <w:spacing w:val="0"/>
          <w:position w:val="0"/>
          <w:sz w:val="24"/>
          <w:szCs w:val="24"/>
        </w:rPr>
        <w:t>台锅炉，分别为</w:t>
      </w:r>
      <w:r>
        <w:rPr>
          <w:rFonts w:hint="default" w:ascii="Times New Roman" w:hAnsi="Times New Roman" w:eastAsia="宋体" w:cs="Times New Roman"/>
          <w:spacing w:val="0"/>
          <w:position w:val="0"/>
          <w:sz w:val="24"/>
          <w:szCs w:val="24"/>
          <w:lang w:val="en-US" w:eastAsia="zh-CN"/>
        </w:rPr>
        <w:t>2台35</w:t>
      </w:r>
      <w:r>
        <w:rPr>
          <w:rFonts w:hint="default" w:ascii="Times New Roman" w:hAnsi="Times New Roman" w:eastAsia="宋体" w:cs="Times New Roman"/>
          <w:spacing w:val="0"/>
          <w:position w:val="0"/>
          <w:sz w:val="24"/>
          <w:szCs w:val="24"/>
        </w:rPr>
        <w:t>t/h循环流化床燃煤锅炉和</w:t>
      </w:r>
      <w:r>
        <w:rPr>
          <w:rFonts w:hint="default" w:ascii="Times New Roman" w:hAnsi="Times New Roman" w:eastAsia="宋体" w:cs="Times New Roman"/>
          <w:spacing w:val="0"/>
          <w:position w:val="0"/>
          <w:sz w:val="24"/>
          <w:szCs w:val="24"/>
          <w:lang w:val="en-US" w:eastAsia="zh-CN"/>
        </w:rPr>
        <w:t>1台20</w:t>
      </w:r>
      <w:r>
        <w:rPr>
          <w:rFonts w:hint="default" w:ascii="Times New Roman" w:hAnsi="Times New Roman" w:eastAsia="宋体" w:cs="Times New Roman"/>
          <w:spacing w:val="0"/>
          <w:position w:val="0"/>
          <w:sz w:val="24"/>
          <w:szCs w:val="24"/>
        </w:rPr>
        <w:t>t/a循环流化床燃煤锅炉，</w:t>
      </w:r>
      <w:r>
        <w:rPr>
          <w:rFonts w:hint="default" w:ascii="Times New Roman" w:hAnsi="Times New Roman" w:eastAsia="宋体" w:cs="Times New Roman"/>
          <w:spacing w:val="0"/>
          <w:position w:val="0"/>
          <w:sz w:val="24"/>
          <w:szCs w:val="24"/>
          <w:lang w:eastAsia="zh-CN"/>
        </w:rPr>
        <w:t>将现有</w:t>
      </w:r>
      <w:r>
        <w:rPr>
          <w:rFonts w:hint="default" w:ascii="Times New Roman" w:hAnsi="Times New Roman" w:eastAsia="宋体" w:cs="Times New Roman"/>
          <w:spacing w:val="0"/>
          <w:position w:val="0"/>
          <w:sz w:val="24"/>
          <w:szCs w:val="24"/>
          <w:lang w:val="en-US" w:eastAsia="zh-CN"/>
        </w:rPr>
        <w:t>3台锅炉停止使用后，新建1台90t/h中温中压循环流化床锅炉，</w:t>
      </w:r>
      <w:r>
        <w:rPr>
          <w:rFonts w:hint="default" w:ascii="Times New Roman" w:hAnsi="Times New Roman" w:eastAsia="宋体" w:cs="Times New Roman"/>
          <w:spacing w:val="0"/>
          <w:position w:val="0"/>
          <w:sz w:val="24"/>
          <w:szCs w:val="24"/>
        </w:rPr>
        <w:t>不属于禁止建设项目。</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eastAsia" w:cs="Times New Roman"/>
          <w:color w:val="0000FF"/>
          <w:spacing w:val="0"/>
          <w:position w:val="0"/>
          <w:sz w:val="24"/>
          <w:szCs w:val="24"/>
          <w:lang w:eastAsia="zh-CN"/>
        </w:rPr>
      </w:pPr>
      <w:r>
        <w:rPr>
          <w:rFonts w:hint="eastAsia" w:cs="Times New Roman"/>
          <w:color w:val="0000FF"/>
          <w:spacing w:val="0"/>
          <w:position w:val="0"/>
          <w:sz w:val="24"/>
          <w:szCs w:val="24"/>
          <w:lang w:eastAsia="zh-CN"/>
        </w:rPr>
        <w:t>（</w:t>
      </w:r>
      <w:r>
        <w:rPr>
          <w:rFonts w:hint="eastAsia" w:cs="Times New Roman"/>
          <w:color w:val="0000FF"/>
          <w:spacing w:val="0"/>
          <w:position w:val="0"/>
          <w:sz w:val="24"/>
          <w:szCs w:val="24"/>
          <w:lang w:val="en-US" w:eastAsia="zh-CN"/>
        </w:rPr>
        <w:t>5</w:t>
      </w:r>
      <w:r>
        <w:rPr>
          <w:rFonts w:hint="eastAsia" w:cs="Times New Roman"/>
          <w:color w:val="0000FF"/>
          <w:spacing w:val="0"/>
          <w:position w:val="0"/>
          <w:sz w:val="24"/>
          <w:szCs w:val="24"/>
          <w:lang w:eastAsia="zh-CN"/>
        </w:rPr>
        <w:t>）与《（市场监管总局 国家发展改革委 生态环境部）关于加强锅炉节能环保工作的通知》的符合性分析</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eastAsia" w:cs="Times New Roman"/>
          <w:color w:val="0000FF"/>
          <w:spacing w:val="0"/>
          <w:position w:val="0"/>
          <w:sz w:val="24"/>
          <w:szCs w:val="24"/>
          <w:lang w:eastAsia="zh-CN"/>
        </w:rPr>
      </w:pPr>
      <w:r>
        <w:rPr>
          <w:rFonts w:hint="eastAsia" w:cs="Times New Roman"/>
          <w:color w:val="0000FF"/>
          <w:spacing w:val="0"/>
          <w:position w:val="0"/>
          <w:sz w:val="24"/>
          <w:szCs w:val="24"/>
          <w:lang w:eastAsia="zh-CN"/>
        </w:rPr>
        <w:t>根据《市场监管总局 国家发展改革委 生态环境部 关于加强锅炉节能环保工作的通知》中的具体要求：“1.全国原则上不再新建每小时10蒸吨及以下的燃煤锅炉，重点区域（京津冀及周边地区、长三角地区和汾渭平原）全域和其他地区县级及以上城市建成区原则上不再新建每小时35蒸吨以下的燃煤锅炉。2.重点区域新建燃煤锅炉大气污染物排放浓度满足超低排放（在基准含氧量6%条件下，烟尘、二氧化硫、氮氧化物排放浓度分别不高于10、35、50毫克/立方米，下同）要求。3.重点区域保留的锅炉执行大气污染物特别排放限值或更严格的地方排放标准，每小时65蒸吨及以上燃煤锅炉全部实施节能和超低排放改造，燃气锅炉基本完成低氮改造，城市建成区生物质锅炉实施超低排放改造。”</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eastAsia" w:cs="Times New Roman"/>
          <w:color w:val="0000FF"/>
          <w:spacing w:val="0"/>
          <w:position w:val="0"/>
          <w:sz w:val="24"/>
          <w:szCs w:val="24"/>
          <w:lang w:eastAsia="zh-CN"/>
        </w:rPr>
      </w:pPr>
      <w:r>
        <w:rPr>
          <w:rFonts w:hint="default" w:ascii="Times New Roman" w:hAnsi="Times New Roman" w:eastAsia="宋体" w:cs="Times New Roman"/>
          <w:color w:val="0000FF"/>
          <w:spacing w:val="0"/>
          <w:position w:val="0"/>
          <w:sz w:val="24"/>
          <w:szCs w:val="24"/>
        </w:rPr>
        <w:t>本项目属于锅炉改造项目，现有锅炉共有</w:t>
      </w:r>
      <w:r>
        <w:rPr>
          <w:rFonts w:hint="default" w:ascii="Times New Roman" w:hAnsi="Times New Roman" w:eastAsia="宋体" w:cs="Times New Roman"/>
          <w:color w:val="0000FF"/>
          <w:spacing w:val="0"/>
          <w:position w:val="0"/>
          <w:sz w:val="24"/>
          <w:szCs w:val="24"/>
          <w:lang w:val="en-US" w:eastAsia="zh-CN"/>
        </w:rPr>
        <w:t>3</w:t>
      </w:r>
      <w:r>
        <w:rPr>
          <w:rFonts w:hint="default" w:ascii="Times New Roman" w:hAnsi="Times New Roman" w:eastAsia="宋体" w:cs="Times New Roman"/>
          <w:color w:val="0000FF"/>
          <w:spacing w:val="0"/>
          <w:position w:val="0"/>
          <w:sz w:val="24"/>
          <w:szCs w:val="24"/>
        </w:rPr>
        <w:t>台锅炉，分别为</w:t>
      </w:r>
      <w:r>
        <w:rPr>
          <w:rFonts w:hint="default" w:ascii="Times New Roman" w:hAnsi="Times New Roman" w:eastAsia="宋体" w:cs="Times New Roman"/>
          <w:color w:val="0000FF"/>
          <w:spacing w:val="0"/>
          <w:position w:val="0"/>
          <w:sz w:val="24"/>
          <w:szCs w:val="24"/>
          <w:lang w:val="en-US" w:eastAsia="zh-CN"/>
        </w:rPr>
        <w:t>2台35</w:t>
      </w:r>
      <w:r>
        <w:rPr>
          <w:rFonts w:hint="default" w:ascii="Times New Roman" w:hAnsi="Times New Roman" w:eastAsia="宋体" w:cs="Times New Roman"/>
          <w:color w:val="0000FF"/>
          <w:spacing w:val="0"/>
          <w:position w:val="0"/>
          <w:sz w:val="24"/>
          <w:szCs w:val="24"/>
        </w:rPr>
        <w:t>t/h循环流化床燃煤锅炉和</w:t>
      </w:r>
      <w:r>
        <w:rPr>
          <w:rFonts w:hint="default" w:ascii="Times New Roman" w:hAnsi="Times New Roman" w:eastAsia="宋体" w:cs="Times New Roman"/>
          <w:color w:val="0000FF"/>
          <w:spacing w:val="0"/>
          <w:position w:val="0"/>
          <w:sz w:val="24"/>
          <w:szCs w:val="24"/>
          <w:lang w:val="en-US" w:eastAsia="zh-CN"/>
        </w:rPr>
        <w:t>1台20</w:t>
      </w:r>
      <w:r>
        <w:rPr>
          <w:rFonts w:hint="default" w:ascii="Times New Roman" w:hAnsi="Times New Roman" w:eastAsia="宋体" w:cs="Times New Roman"/>
          <w:color w:val="0000FF"/>
          <w:spacing w:val="0"/>
          <w:position w:val="0"/>
          <w:sz w:val="24"/>
          <w:szCs w:val="24"/>
        </w:rPr>
        <w:t>t/a循环流化床燃煤锅炉，</w:t>
      </w:r>
      <w:r>
        <w:rPr>
          <w:rFonts w:hint="default" w:ascii="Times New Roman" w:hAnsi="Times New Roman" w:eastAsia="宋体" w:cs="Times New Roman"/>
          <w:color w:val="0000FF"/>
          <w:spacing w:val="0"/>
          <w:position w:val="0"/>
          <w:sz w:val="24"/>
          <w:szCs w:val="24"/>
          <w:lang w:eastAsia="zh-CN"/>
        </w:rPr>
        <w:t>将现有</w:t>
      </w:r>
      <w:r>
        <w:rPr>
          <w:rFonts w:hint="default" w:ascii="Times New Roman" w:hAnsi="Times New Roman" w:eastAsia="宋体" w:cs="Times New Roman"/>
          <w:color w:val="0000FF"/>
          <w:spacing w:val="0"/>
          <w:position w:val="0"/>
          <w:sz w:val="24"/>
          <w:szCs w:val="24"/>
          <w:lang w:val="en-US" w:eastAsia="zh-CN"/>
        </w:rPr>
        <w:t>3台锅炉停止使用后，新建1台90t/h中温中压循环流化床锅炉</w:t>
      </w:r>
      <w:r>
        <w:rPr>
          <w:rFonts w:hint="eastAsia" w:cs="Times New Roman"/>
          <w:color w:val="0000FF"/>
          <w:spacing w:val="0"/>
          <w:position w:val="0"/>
          <w:sz w:val="24"/>
          <w:szCs w:val="24"/>
          <w:lang w:val="en-US" w:eastAsia="zh-CN"/>
        </w:rPr>
        <w:t>；</w:t>
      </w:r>
      <w:r>
        <w:rPr>
          <w:rFonts w:hint="eastAsia" w:cs="Times New Roman"/>
          <w:color w:val="0000FF"/>
          <w:spacing w:val="0"/>
          <w:position w:val="0"/>
          <w:sz w:val="24"/>
          <w:szCs w:val="24"/>
          <w:lang w:eastAsia="zh-CN"/>
        </w:rPr>
        <w:t>综合以上分析，本项目符合《（市场监管总局 国家发展改革委 生态环境部）关于加强锅炉节能环保工作的通知》中的相关</w:t>
      </w:r>
      <w:r>
        <w:rPr>
          <w:rFonts w:hint="eastAsia" w:cs="Times New Roman"/>
          <w:color w:val="0000FF"/>
          <w:spacing w:val="0"/>
          <w:position w:val="0"/>
          <w:sz w:val="24"/>
          <w:szCs w:val="24"/>
          <w:lang w:val="en-US" w:eastAsia="zh-CN"/>
        </w:rPr>
        <w:t>要求。</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eastAsia" w:cs="Times New Roman"/>
          <w:color w:val="0000FF"/>
          <w:spacing w:val="0"/>
          <w:position w:val="0"/>
          <w:sz w:val="24"/>
          <w:szCs w:val="24"/>
          <w:lang w:eastAsia="zh-CN"/>
        </w:rPr>
      </w:pPr>
      <w:r>
        <w:rPr>
          <w:rFonts w:hint="eastAsia" w:cs="Times New Roman"/>
          <w:color w:val="0000FF"/>
          <w:spacing w:val="0"/>
          <w:position w:val="0"/>
          <w:sz w:val="24"/>
          <w:szCs w:val="24"/>
          <w:lang w:eastAsia="zh-CN"/>
        </w:rPr>
        <w:t>（</w:t>
      </w:r>
      <w:r>
        <w:rPr>
          <w:rFonts w:hint="eastAsia" w:cs="Times New Roman"/>
          <w:color w:val="0000FF"/>
          <w:spacing w:val="0"/>
          <w:position w:val="0"/>
          <w:sz w:val="24"/>
          <w:szCs w:val="24"/>
          <w:lang w:val="en-US" w:eastAsia="zh-CN"/>
        </w:rPr>
        <w:t>6</w:t>
      </w:r>
      <w:r>
        <w:rPr>
          <w:rFonts w:hint="eastAsia" w:cs="Times New Roman"/>
          <w:color w:val="0000FF"/>
          <w:spacing w:val="0"/>
          <w:position w:val="0"/>
          <w:sz w:val="24"/>
          <w:szCs w:val="24"/>
          <w:lang w:eastAsia="zh-CN"/>
        </w:rPr>
        <w:t>）与《空气质量持续改善行动计划》的符合性分析</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eastAsia" w:cs="Times New Roman"/>
          <w:color w:val="0000FF"/>
          <w:spacing w:val="0"/>
          <w:position w:val="0"/>
          <w:sz w:val="24"/>
          <w:szCs w:val="24"/>
          <w:lang w:eastAsia="zh-CN"/>
        </w:rPr>
      </w:pPr>
      <w:r>
        <w:rPr>
          <w:rFonts w:hint="eastAsia" w:cs="Times New Roman"/>
          <w:color w:val="0000FF"/>
          <w:spacing w:val="0"/>
          <w:position w:val="0"/>
          <w:sz w:val="24"/>
          <w:szCs w:val="24"/>
          <w:lang w:eastAsia="zh-CN"/>
        </w:rPr>
        <w:t>根据《空气质量持续改善行动计划》（国发〔2023〕24号）的相关内容：“三、优化能源结构，加速能源清洁低碳高效发展：（十一）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eastAsia" w:cs="Times New Roman"/>
          <w:color w:val="0000FF"/>
          <w:spacing w:val="0"/>
          <w:position w:val="0"/>
          <w:sz w:val="24"/>
          <w:szCs w:val="24"/>
          <w:vertAlign w:val="subscript"/>
          <w:lang w:eastAsia="zh-CN"/>
        </w:rPr>
        <w:t>2.5</w:t>
      </w:r>
      <w:r>
        <w:rPr>
          <w:rFonts w:hint="eastAsia" w:cs="Times New Roman"/>
          <w:color w:val="0000FF"/>
          <w:spacing w:val="0"/>
          <w:position w:val="0"/>
          <w:sz w:val="24"/>
          <w:szCs w:val="24"/>
          <w:lang w:eastAsia="zh-CN"/>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eastAsia" w:cs="Times New Roman"/>
          <w:color w:val="0000FF"/>
          <w:spacing w:val="0"/>
          <w:position w:val="0"/>
          <w:sz w:val="24"/>
          <w:szCs w:val="24"/>
          <w:lang w:eastAsia="zh-CN"/>
        </w:rPr>
      </w:pPr>
      <w:r>
        <w:rPr>
          <w:rFonts w:hint="eastAsia" w:cs="Times New Roman"/>
          <w:color w:val="0000FF"/>
          <w:spacing w:val="0"/>
          <w:position w:val="0"/>
          <w:sz w:val="24"/>
          <w:szCs w:val="24"/>
          <w:lang w:eastAsia="zh-CN"/>
        </w:rPr>
        <w:t>本项目将现有3台锅炉（分别为2台35t/h循环流化床燃煤锅炉和1台20t/a循环流化床燃煤锅炉）停止使用后，新建1台90t/h中温中压循环流化床锅炉；本项目符合《空气质量持续改善行动计划》（国发〔2023〕24号）的相关要求。</w:t>
      </w:r>
    </w:p>
    <w:p>
      <w:pPr>
        <w:keepNext w:val="0"/>
        <w:keepLines w:val="0"/>
        <w:pageBreakBefore w:val="0"/>
        <w:widowControl/>
        <w:kinsoku/>
        <w:wordWrap/>
        <w:overflowPunct/>
        <w:topLinePunct w:val="0"/>
        <w:autoSpaceDE w:val="0"/>
        <w:autoSpaceDN w:val="0"/>
        <w:bidi w:val="0"/>
        <w:adjustRightInd/>
        <w:snapToGrid/>
        <w:spacing w:line="360" w:lineRule="auto"/>
        <w:ind w:left="0" w:right="0" w:firstLine="480" w:firstLineChars="200"/>
        <w:jc w:val="both"/>
        <w:textAlignment w:val="baseline"/>
        <w:rPr>
          <w:rFonts w:hint="eastAsia"/>
          <w:color w:val="0000FF"/>
          <w:lang w:val="en-US" w:eastAsia="zh-CN"/>
        </w:rPr>
      </w:pPr>
      <w:r>
        <w:rPr>
          <w:rFonts w:hint="eastAsia"/>
          <w:color w:val="0000FF"/>
          <w:lang w:val="en-US" w:eastAsia="zh-CN"/>
        </w:rPr>
        <w:t>（7）与《关于全面加强生态环境保护坚决打好污染防治攻坚战实施方案》符合性分析</w:t>
      </w:r>
    </w:p>
    <w:p>
      <w:pPr>
        <w:pStyle w:val="8"/>
        <w:rPr>
          <w:rFonts w:hint="eastAsia"/>
          <w:color w:val="0000FF"/>
          <w:lang w:val="en-US" w:eastAsia="zh-CN"/>
        </w:rPr>
      </w:pPr>
      <w:r>
        <w:rPr>
          <w:rFonts w:hint="eastAsia"/>
          <w:color w:val="0000FF"/>
          <w:lang w:eastAsia="zh-CN"/>
        </w:rPr>
        <w:t>根据</w:t>
      </w:r>
      <w:r>
        <w:rPr>
          <w:rFonts w:hint="eastAsia"/>
          <w:color w:val="0000FF"/>
          <w:lang w:val="en-US" w:eastAsia="zh-CN"/>
        </w:rPr>
        <w:t>《关于全面加强生态环境保护坚决打好污染防治攻坚战实施方案》中六、坚决打赢蓝天保卫战：“(一)加强工业企业大气污染综合治理。全面整治“散乱污”企业及集群，实行拉网式排查和清单式、台账式、网格化管理，分类实施关停取缔、整合搬迁、整改提升等措施，京津冀及周边区域2018年年底前完成，其他重点区域2019年年底前完成”；“(二)大力推进散煤治理和煤炭消费减量替代。到2020年，京津冀及周边、汾渭平原的平原地区基本完成生活和冬季取暖散煤替代；重点区域基本淘汰每小时35蒸吨以下燃煤锅炉。推广清洁高效燃煤锅炉。”</w:t>
      </w:r>
    </w:p>
    <w:p>
      <w:pPr>
        <w:pStyle w:val="8"/>
        <w:rPr>
          <w:rFonts w:hint="eastAsia"/>
          <w:color w:val="0000FF"/>
          <w:lang w:eastAsia="zh-CN"/>
        </w:rPr>
      </w:pPr>
      <w:r>
        <w:rPr>
          <w:rFonts w:hint="eastAsia"/>
          <w:color w:val="0000FF"/>
          <w:lang w:val="en-US" w:eastAsia="zh-CN"/>
        </w:rPr>
        <w:t>本项目将现有3台锅炉（分别为2台35t/h循环流化床燃煤锅炉和1台20t/a循环流化床燃煤锅炉）停止使用后，新建1台90t/h中温中压循环流化床锅炉；本项目符合《关于全面加强生态环境保护坚决打好污染防治攻坚战实施方案》</w:t>
      </w:r>
      <w:r>
        <w:rPr>
          <w:rFonts w:hint="eastAsia" w:cs="Times New Roman"/>
          <w:color w:val="0000FF"/>
          <w:spacing w:val="0"/>
          <w:position w:val="0"/>
          <w:sz w:val="24"/>
          <w:szCs w:val="24"/>
          <w:lang w:eastAsia="zh-CN"/>
        </w:rPr>
        <w:t>的相关要求。</w:t>
      </w:r>
    </w:p>
    <w:p>
      <w:pPr>
        <w:pStyle w:val="6"/>
        <w:numPr>
          <w:ilvl w:val="2"/>
          <w:numId w:val="2"/>
        </w:numPr>
        <w:bidi w:val="0"/>
        <w:rPr>
          <w:highlight w:val="none"/>
        </w:rPr>
      </w:pPr>
      <w:r>
        <w:rPr>
          <w:highlight w:val="none"/>
        </w:rPr>
        <w:t>选址合理性分析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本项目在现有工程厂区内建设，不新增建设用地，故本项目建设不会对现有土地利用格局产生影响，亦不会对动植物产生大的影响。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7"/>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本项目正常生产时“三废”排放数量小，对不能回收的“三废”均采取了切实可 行的末端治理措施，可达到相关环境标准，本项目的建设对周围环境影响较小， 不会导致本地区环境质量的下降，环境空气质量、水环境质量、声环境质量可以符合相应的环境功能区划要求。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9"/>
        <w:jc w:val="both"/>
        <w:textAlignment w:val="auto"/>
        <w:rPr>
          <w:rFonts w:ascii="宋体" w:hAnsi="宋体" w:eastAsia="宋体" w:cs="宋体"/>
          <w:spacing w:val="-1"/>
          <w:sz w:val="24"/>
          <w:szCs w:val="24"/>
        </w:rPr>
      </w:pPr>
      <w:r>
        <w:rPr>
          <w:rFonts w:hint="default" w:ascii="Times New Roman" w:hAnsi="Times New Roman" w:eastAsia="宋体" w:cs="Times New Roman"/>
          <w:spacing w:val="0"/>
          <w:position w:val="0"/>
          <w:sz w:val="24"/>
          <w:szCs w:val="24"/>
        </w:rPr>
        <w:t>综上，本项目在现有工程厂区内建设，基础设施便于依托，评价范围内没有自然保护区、风景名胜区、水源保护区等敏感区。本项目在现有工程厂区内建设，项目建设不会对土地利用格局产生影响，亦不会对动植物产生大的影响，运营时不会导致本地区环境质量的下降。因此，本项目选址合理。</w:t>
      </w:r>
    </w:p>
    <w:p>
      <w:pPr>
        <w:pStyle w:val="5"/>
        <w:keepNext w:val="0"/>
        <w:keepLines w:val="0"/>
        <w:pageBreakBefore w:val="0"/>
        <w:widowControl w:val="0"/>
        <w:numPr>
          <w:ilvl w:val="1"/>
          <w:numId w:val="3"/>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rPr>
          <w:color w:val="000000" w:themeColor="text1"/>
        </w:rPr>
      </w:pPr>
      <w:bookmarkStart w:id="21" w:name="_bookmark4"/>
      <w:bookmarkEnd w:id="21"/>
      <w:bookmarkStart w:id="22" w:name="1.5_关注的主要环境问题及环境影响"/>
      <w:bookmarkEnd w:id="22"/>
      <w:bookmarkStart w:id="23" w:name="_Toc19009"/>
      <w:bookmarkStart w:id="24" w:name="_Toc20370"/>
      <w:r>
        <w:rPr>
          <w:rFonts w:hint="eastAsia"/>
        </w:rPr>
        <w:t>与“</w:t>
      </w:r>
      <w:r>
        <w:rPr>
          <w:rFonts w:hint="eastAsia"/>
          <w:color w:val="000000" w:themeColor="text1"/>
        </w:rPr>
        <w:t>三线一单”符合性分析</w:t>
      </w:r>
      <w:bookmarkEnd w:id="23"/>
      <w:bookmarkEnd w:id="24"/>
    </w:p>
    <w:p>
      <w:pPr>
        <w:pStyle w:val="6"/>
        <w:tabs>
          <w:tab w:val="left" w:pos="1100"/>
        </w:tabs>
        <w:adjustRightInd w:val="0"/>
        <w:snapToGrid w:val="0"/>
        <w:spacing w:line="360" w:lineRule="auto"/>
        <w:ind w:left="0" w:firstLine="482" w:firstLineChars="2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r>
        <w:rPr>
          <w:rFonts w:hint="eastAsia" w:ascii="Times New Roman" w:hAnsi="Times New Roman" w:cs="Times New Roman"/>
          <w:color w:val="000000" w:themeColor="text1"/>
          <w:sz w:val="24"/>
          <w:szCs w:val="24"/>
          <w:lang w:val="en-US" w:eastAsia="zh-CN"/>
        </w:rPr>
        <w:t>5</w:t>
      </w:r>
      <w:r>
        <w:rPr>
          <w:rFonts w:ascii="Times New Roman" w:hAnsi="Times New Roman" w:cs="Times New Roman"/>
          <w:color w:val="000000" w:themeColor="text1"/>
          <w:sz w:val="24"/>
          <w:szCs w:val="24"/>
          <w:lang w:val="en-US"/>
        </w:rPr>
        <w:t>.1</w:t>
      </w:r>
      <w:r>
        <w:rPr>
          <w:rFonts w:hint="eastAsia" w:ascii="Times New Roman" w:hAnsi="Times New Roman" w:cs="Times New Roman"/>
          <w:color w:val="000000" w:themeColor="text1"/>
          <w:sz w:val="24"/>
          <w:szCs w:val="24"/>
          <w:lang w:val="en-US"/>
        </w:rPr>
        <w:t>与《关于以改善环境质量为核心加强环境影响评价管理的通知》（环环评[2016]150号）符合性分析</w:t>
      </w:r>
    </w:p>
    <w:p>
      <w:pPr>
        <w:adjustRightInd w:val="0"/>
        <w:snapToGrid w:val="0"/>
        <w:spacing w:line="360" w:lineRule="auto"/>
        <w:ind w:firstLine="480" w:firstLineChars="200"/>
        <w:jc w:val="both"/>
        <w:rPr>
          <w:rFonts w:ascii="Times New Roman" w:hAnsi="Times New Roman" w:cs="Times New Roman"/>
          <w:color w:val="000000" w:themeColor="text1"/>
          <w:sz w:val="24"/>
          <w:szCs w:val="24"/>
          <w:lang w:val="en-US"/>
        </w:rPr>
      </w:pPr>
      <w:r>
        <w:rPr>
          <w:rFonts w:hint="eastAsia" w:ascii="Times New Roman" w:hAnsi="Times New Roman" w:cs="Times New Roman"/>
          <w:color w:val="000000" w:themeColor="text1"/>
          <w:sz w:val="24"/>
          <w:szCs w:val="24"/>
          <w:lang w:val="en-US"/>
        </w:rPr>
        <w:t>根据《关于以改善环境质量为核心加强环境影响评价管理的通知》（环环评[2016]150号），中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adjustRightInd w:val="0"/>
        <w:snapToGrid w:val="0"/>
        <w:spacing w:line="360" w:lineRule="auto"/>
        <w:ind w:firstLine="480" w:firstLineChars="200"/>
        <w:jc w:val="both"/>
        <w:rPr>
          <w:rFonts w:ascii="Times New Roman" w:hAnsi="Times New Roman" w:cs="Times New Roman"/>
          <w:color w:val="000000" w:themeColor="text1"/>
          <w:sz w:val="24"/>
          <w:szCs w:val="24"/>
          <w:lang w:val="en-US"/>
        </w:rPr>
      </w:pPr>
      <w:r>
        <w:rPr>
          <w:rFonts w:hint="eastAsia" w:ascii="Times New Roman" w:hAnsi="Times New Roman" w:cs="Times New Roman"/>
          <w:color w:val="000000" w:themeColor="text1"/>
          <w:sz w:val="24"/>
          <w:szCs w:val="24"/>
          <w:lang w:val="en-US"/>
        </w:rPr>
        <w:t>（1）生态红线</w:t>
      </w:r>
    </w:p>
    <w:p>
      <w:pPr>
        <w:adjustRightInd w:val="0"/>
        <w:snapToGrid w:val="0"/>
        <w:spacing w:line="360" w:lineRule="auto"/>
        <w:ind w:firstLine="480" w:firstLineChars="2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本项目位于</w:t>
      </w:r>
      <w:r>
        <w:rPr>
          <w:rFonts w:hint="eastAsia" w:cs="Times New Roman"/>
          <w:color w:val="000000" w:themeColor="text1"/>
          <w:sz w:val="24"/>
          <w:szCs w:val="24"/>
          <w:lang w:val="en-US" w:eastAsia="zh-CN"/>
        </w:rPr>
        <w:t>现有工程厂区内</w:t>
      </w:r>
      <w:r>
        <w:rPr>
          <w:rFonts w:ascii="Times New Roman" w:hAnsi="Times New Roman" w:cs="Times New Roman"/>
          <w:color w:val="000000" w:themeColor="text1"/>
          <w:sz w:val="24"/>
          <w:szCs w:val="24"/>
          <w:lang w:val="en-US"/>
        </w:rPr>
        <w:t>，</w:t>
      </w:r>
      <w:r>
        <w:rPr>
          <w:rFonts w:hint="eastAsia" w:cs="Times New Roman"/>
          <w:color w:val="000000" w:themeColor="text1"/>
          <w:sz w:val="24"/>
          <w:szCs w:val="24"/>
          <w:lang w:val="en-US" w:eastAsia="zh-CN"/>
        </w:rPr>
        <w:t>不新增用地</w:t>
      </w:r>
      <w:r>
        <w:rPr>
          <w:rFonts w:ascii="Times New Roman" w:hAnsi="Times New Roman" w:cs="Times New Roman"/>
          <w:color w:val="000000" w:themeColor="text1"/>
          <w:sz w:val="24"/>
          <w:szCs w:val="24"/>
          <w:lang w:val="en-US"/>
        </w:rPr>
        <w:t>，</w:t>
      </w:r>
      <w:r>
        <w:rPr>
          <w:rFonts w:hint="eastAsia" w:ascii="Times New Roman" w:hAnsi="Times New Roman" w:cs="Times New Roman"/>
          <w:color w:val="000000" w:themeColor="text1"/>
          <w:sz w:val="24"/>
          <w:szCs w:val="24"/>
          <w:lang w:val="en-US"/>
        </w:rPr>
        <w:t>不</w:t>
      </w:r>
      <w:r>
        <w:rPr>
          <w:rFonts w:hint="eastAsia" w:cs="Times New Roman"/>
          <w:color w:val="000000" w:themeColor="text1"/>
          <w:sz w:val="24"/>
          <w:szCs w:val="24"/>
          <w:lang w:val="en-US" w:eastAsia="zh-CN"/>
        </w:rPr>
        <w:t>涉及</w:t>
      </w:r>
      <w:r>
        <w:rPr>
          <w:rFonts w:ascii="Times New Roman" w:hAnsi="Times New Roman" w:cs="Times New Roman"/>
          <w:color w:val="000000" w:themeColor="text1"/>
          <w:sz w:val="24"/>
          <w:szCs w:val="24"/>
          <w:lang w:val="en-US"/>
        </w:rPr>
        <w:t>生态保护红线区域和生态保护红线区以外的饮用水水源保护区、水源涵养区、防风固沙区、土地沙化防控区、水土流失防控区等一般生态空间管控区，也不位于城镇建成区、工业园区和开发强度大、污染物排放强度高的工业聚集区等区域，项目所在区域属于一般管控区</w:t>
      </w:r>
      <w:r>
        <w:rPr>
          <w:rFonts w:hint="eastAsia" w:ascii="Times New Roman" w:hAnsi="Times New Roman" w:cs="Times New Roman"/>
          <w:color w:val="000000" w:themeColor="text1"/>
          <w:sz w:val="24"/>
          <w:szCs w:val="24"/>
          <w:lang w:val="en-US"/>
        </w:rPr>
        <w:t>。</w:t>
      </w:r>
    </w:p>
    <w:p>
      <w:pPr>
        <w:autoSpaceDE/>
        <w:autoSpaceDN/>
        <w:adjustRightInd w:val="0"/>
        <w:snapToGrid w:val="0"/>
        <w:spacing w:line="348" w:lineRule="auto"/>
        <w:ind w:firstLine="480" w:firstLineChars="200"/>
        <w:rPr>
          <w:rFonts w:ascii="Times New Roman" w:hAnsi="Times New Roman" w:cs="Times New Roman"/>
          <w:color w:val="000000" w:themeColor="text1"/>
          <w:sz w:val="24"/>
          <w:highlight w:val="none"/>
          <w:lang w:val="en-US"/>
        </w:rPr>
      </w:pPr>
      <w:r>
        <w:rPr>
          <w:rFonts w:ascii="Times New Roman" w:hAnsi="Times New Roman" w:cs="Times New Roman"/>
          <w:color w:val="000000" w:themeColor="text1"/>
          <w:sz w:val="24"/>
          <w:highlight w:val="none"/>
          <w:lang w:val="en-US"/>
        </w:rPr>
        <w:t>（2）环境质量底线</w:t>
      </w:r>
    </w:p>
    <w:p>
      <w:pPr>
        <w:autoSpaceDE/>
        <w:autoSpaceDN/>
        <w:adjustRightInd w:val="0"/>
        <w:snapToGrid w:val="0"/>
        <w:spacing w:line="348" w:lineRule="auto"/>
        <w:ind w:firstLine="480" w:firstLineChars="200"/>
        <w:rPr>
          <w:rFonts w:ascii="Times New Roman" w:hAnsi="Times New Roman" w:cs="Times New Roman"/>
          <w:color w:val="000000" w:themeColor="text1"/>
          <w:sz w:val="24"/>
          <w:highlight w:val="none"/>
          <w:lang w:val="en-US"/>
        </w:rPr>
      </w:pPr>
      <w:r>
        <w:rPr>
          <w:rFonts w:ascii="Times New Roman" w:hAnsi="Times New Roman" w:cs="Times New Roman"/>
          <w:color w:val="000000" w:themeColor="text1"/>
          <w:sz w:val="24"/>
          <w:highlight w:val="none"/>
          <w:lang w:val="en-US"/>
        </w:rPr>
        <w:t>环境质量底线就是只能改善不能恶化。大气环境质量底线就是在符合大气环境区域功能区划和大气环境管理的基础上，确保大气污染物排放不对区域功能区划造成影响，污染物排放总量低于大气环境容量。</w:t>
      </w:r>
    </w:p>
    <w:p>
      <w:pPr>
        <w:autoSpaceDE/>
        <w:autoSpaceDN/>
        <w:adjustRightInd w:val="0"/>
        <w:snapToGrid w:val="0"/>
        <w:spacing w:line="348" w:lineRule="auto"/>
        <w:ind w:firstLine="480" w:firstLineChars="200"/>
        <w:rPr>
          <w:rFonts w:ascii="Times New Roman" w:hAnsi="Times New Roman" w:cs="Times New Roman"/>
          <w:color w:val="000000" w:themeColor="text1"/>
          <w:sz w:val="24"/>
          <w:highlight w:val="none"/>
          <w:lang w:val="en-US"/>
        </w:rPr>
      </w:pPr>
      <w:r>
        <w:rPr>
          <w:rFonts w:hint="eastAsia" w:cs="Times New Roman"/>
          <w:color w:val="000000" w:themeColor="text1"/>
          <w:sz w:val="24"/>
          <w:highlight w:val="none"/>
          <w:lang w:val="en-US" w:eastAsia="zh-CN"/>
        </w:rPr>
        <w:t>本项目 产生的废气、废水、噪声经采取相应的污染防治措施后均可满足达标排放要求，固体废物合理处置。</w:t>
      </w:r>
      <w:r>
        <w:rPr>
          <w:rFonts w:ascii="Times New Roman" w:hAnsi="Times New Roman" w:cs="Times New Roman"/>
          <w:color w:val="000000" w:themeColor="text1"/>
          <w:sz w:val="24"/>
          <w:highlight w:val="none"/>
          <w:lang w:val="en-US"/>
        </w:rPr>
        <w:t>上述措施能确保项目污染物对环境质量的影响降到最小，不突破所在区域环境质量底线，符合环境质量底线要求。</w:t>
      </w:r>
    </w:p>
    <w:p>
      <w:pPr>
        <w:autoSpaceDE/>
        <w:autoSpaceDN/>
        <w:adjustRightInd w:val="0"/>
        <w:snapToGrid w:val="0"/>
        <w:spacing w:line="348" w:lineRule="auto"/>
        <w:ind w:firstLine="480" w:firstLineChars="20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（3）资源利用上线</w:t>
      </w:r>
    </w:p>
    <w:p>
      <w:pPr>
        <w:autoSpaceDE/>
        <w:autoSpaceDN/>
        <w:adjustRightInd w:val="0"/>
        <w:snapToGrid w:val="0"/>
        <w:spacing w:line="348" w:lineRule="auto"/>
        <w:ind w:firstLine="480" w:firstLineChars="20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本项目建成运行后通过内部管理、设备选择、原辅材料的选用和管理、废物回收利用、污染治理等多方面采取合理可行的环保措施，以“节能、降耗、减污”为目标，有效地控制污染。</w:t>
      </w:r>
    </w:p>
    <w:p>
      <w:pPr>
        <w:autoSpaceDE/>
        <w:autoSpaceDN/>
        <w:adjustRightInd w:val="0"/>
        <w:snapToGrid w:val="0"/>
        <w:spacing w:line="360" w:lineRule="auto"/>
        <w:ind w:firstLine="480" w:firstLineChars="200"/>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（4）生态环境准入清单</w:t>
      </w:r>
    </w:p>
    <w:p>
      <w:pPr>
        <w:autoSpaceDE/>
        <w:autoSpaceDN/>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rPr>
      </w:pPr>
      <w:r>
        <w:rPr>
          <w:rFonts w:ascii="Times New Roman" w:hAnsi="Times New Roman" w:cs="Times New Roman"/>
          <w:color w:val="000000" w:themeColor="text1"/>
          <w:sz w:val="24"/>
          <w:lang w:val="en-US"/>
        </w:rPr>
        <w:t>根据国家发改委颁布的《产业结构调整指导目录（</w:t>
      </w:r>
      <w:r>
        <w:rPr>
          <w:rFonts w:hint="eastAsia" w:cs="Times New Roman"/>
          <w:color w:val="000000" w:themeColor="text1"/>
          <w:sz w:val="24"/>
          <w:lang w:val="en-US" w:eastAsia="zh-CN"/>
        </w:rPr>
        <w:t>2024</w:t>
      </w:r>
      <w:r>
        <w:rPr>
          <w:rFonts w:ascii="Times New Roman" w:hAnsi="Times New Roman" w:cs="Times New Roman"/>
          <w:color w:val="000000" w:themeColor="text1"/>
          <w:sz w:val="24"/>
          <w:lang w:val="en-US"/>
        </w:rPr>
        <w:t xml:space="preserve"> 年本）》：本项目</w:t>
      </w:r>
      <w:r>
        <w:rPr>
          <w:rFonts w:hint="eastAsia" w:cs="Times New Roman"/>
          <w:color w:val="000000" w:themeColor="text1"/>
          <w:sz w:val="24"/>
          <w:lang w:val="en-US" w:eastAsia="zh-CN"/>
        </w:rPr>
        <w:t>属于“鼓励类”，符合国家法律、法规和政策规定。</w:t>
      </w:r>
    </w:p>
    <w:p>
      <w:pPr>
        <w:adjustRightInd w:val="0"/>
        <w:snapToGrid w:val="0"/>
        <w:spacing w:line="360" w:lineRule="auto"/>
        <w:ind w:firstLine="480" w:firstLineChars="2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lang w:val="en-US"/>
        </w:rPr>
        <w:t>综上所述，本项目的建设符合“三线一单”相关要求。</w:t>
      </w:r>
    </w:p>
    <w:p>
      <w:pPr>
        <w:pStyle w:val="2"/>
        <w:snapToGrid w:val="0"/>
        <w:spacing w:line="360" w:lineRule="auto"/>
        <w:ind w:firstLine="482" w:firstLineChars="200"/>
        <w:jc w:val="both"/>
        <w:rPr>
          <w:rFonts w:ascii="Times New Roman" w:hAnsi="Times New Roman" w:eastAsia="宋体" w:cs="Times New Roman"/>
          <w:b/>
          <w:bCs/>
          <w:color w:val="0000FF"/>
          <w:szCs w:val="24"/>
        </w:rPr>
      </w:pPr>
      <w:r>
        <w:rPr>
          <w:rFonts w:ascii="Times New Roman" w:hAnsi="Times New Roman" w:eastAsia="宋体" w:cs="Times New Roman"/>
          <w:b/>
          <w:bCs/>
          <w:color w:val="0000FF"/>
          <w:szCs w:val="24"/>
        </w:rPr>
        <w:t>1.</w:t>
      </w:r>
      <w:r>
        <w:rPr>
          <w:rFonts w:hint="eastAsia" w:ascii="Times New Roman" w:eastAsia="宋体" w:cs="Times New Roman"/>
          <w:b/>
          <w:bCs/>
          <w:color w:val="0000FF"/>
          <w:szCs w:val="24"/>
          <w:lang w:val="en-US" w:eastAsia="zh-CN"/>
        </w:rPr>
        <w:t>5</w:t>
      </w:r>
      <w:r>
        <w:rPr>
          <w:rFonts w:ascii="Times New Roman" w:hAnsi="Times New Roman" w:eastAsia="宋体" w:cs="Times New Roman"/>
          <w:b/>
          <w:bCs/>
          <w:color w:val="0000FF"/>
          <w:szCs w:val="24"/>
        </w:rPr>
        <w:t>.2与</w:t>
      </w:r>
      <w:r>
        <w:rPr>
          <w:rFonts w:hint="eastAsia" w:ascii="Times New Roman" w:hAnsi="Times New Roman" w:eastAsia="宋体" w:cs="Times New Roman"/>
          <w:b/>
          <w:bCs/>
          <w:color w:val="0000FF"/>
          <w:sz w:val="24"/>
          <w:szCs w:val="24"/>
          <w:highlight w:val="none"/>
          <w:lang w:eastAsia="zh-CN"/>
        </w:rPr>
        <w:t>《自治区生态环境分区管控方案和七大片区管控要求》</w:t>
      </w:r>
      <w:r>
        <w:rPr>
          <w:rFonts w:ascii="Times New Roman" w:hAnsi="Times New Roman" w:eastAsia="宋体" w:cs="Times New Roman"/>
          <w:b/>
          <w:bCs/>
          <w:color w:val="0000FF"/>
          <w:szCs w:val="24"/>
        </w:rPr>
        <w:t>相符性分析</w:t>
      </w:r>
    </w:p>
    <w:p>
      <w:pPr>
        <w:adjustRightInd w:val="0"/>
        <w:snapToGrid w:val="0"/>
        <w:spacing w:line="360" w:lineRule="auto"/>
        <w:ind w:firstLine="480" w:firstLineChars="200"/>
        <w:jc w:val="both"/>
        <w:rPr>
          <w:rFonts w:ascii="Times New Roman" w:hAnsi="Times New Roman" w:cs="Times New Roman"/>
          <w:color w:val="0000FF"/>
          <w:sz w:val="24"/>
          <w:szCs w:val="24"/>
          <w:lang w:val="en-US"/>
        </w:rPr>
      </w:pPr>
      <w:r>
        <w:rPr>
          <w:rFonts w:ascii="Times New Roman" w:hAnsi="Times New Roman" w:cs="Times New Roman"/>
          <w:color w:val="0000FF"/>
          <w:sz w:val="24"/>
          <w:szCs w:val="24"/>
          <w:lang w:val="en-US"/>
        </w:rPr>
        <w:t>根据《关于印发《新疆维吾尔自治区“三线一单”生态环境分区管控方案》的通知》（新政发〔2021〕18号），自治区按照管控要求，划定优先保护单元、重点管控单元、一般管控单元三类，实施分类管控。</w:t>
      </w:r>
    </w:p>
    <w:p>
      <w:pPr>
        <w:adjustRightInd w:val="0"/>
        <w:snapToGrid w:val="0"/>
        <w:spacing w:line="360" w:lineRule="auto"/>
        <w:ind w:firstLine="480" w:firstLineChars="200"/>
        <w:jc w:val="both"/>
        <w:rPr>
          <w:rFonts w:hint="eastAsia" w:ascii="宋体" w:hAnsi="宋体" w:cs="宋体"/>
          <w:color w:val="0000FF"/>
          <w:kern w:val="0"/>
          <w:sz w:val="24"/>
          <w:lang w:eastAsia="zh-CN" w:bidi="ar"/>
        </w:rPr>
      </w:pPr>
      <w:r>
        <w:rPr>
          <w:rFonts w:hint="eastAsia" w:ascii="宋体" w:hAnsi="宋体" w:cs="宋体"/>
          <w:color w:val="0000FF"/>
          <w:kern w:val="0"/>
          <w:sz w:val="24"/>
          <w:lang w:bidi="ar"/>
        </w:rPr>
        <w:t>按照《新疆维吾尔自治区“三线一单”生态环境分区管控方案》，全区划分为七大片区，包括北疆北部（塔城地区、阿勒泰地区）、伊犁河谷、克奎乌</w:t>
      </w:r>
      <w:r>
        <w:rPr>
          <w:color w:val="0000FF"/>
          <w:kern w:val="0"/>
          <w:sz w:val="24"/>
          <w:lang w:bidi="ar"/>
        </w:rPr>
        <w:t>-</w:t>
      </w:r>
      <w:r>
        <w:rPr>
          <w:rFonts w:hint="eastAsia" w:ascii="宋体" w:hAnsi="宋体" w:cs="宋体"/>
          <w:color w:val="0000FF"/>
          <w:kern w:val="0"/>
          <w:sz w:val="24"/>
          <w:lang w:bidi="ar"/>
        </w:rPr>
        <w:t>博州、乌昌石、吐哈、天山南坡（巴州、阿克苏地区）和南疆三地州片区，新疆维吾尔自治区生态环境厅制定《新疆维吾尔自治区七大片区“三线一单”生态环境分区管控要求》。塔城地区（不含沙湾市和乌苏市）主要涉及“北疆北部片区”，乌苏市涉及“克奎乌</w:t>
      </w:r>
      <w:r>
        <w:rPr>
          <w:color w:val="0000FF"/>
          <w:kern w:val="0"/>
          <w:sz w:val="24"/>
          <w:lang w:bidi="ar"/>
        </w:rPr>
        <w:t>-</w:t>
      </w:r>
      <w:r>
        <w:rPr>
          <w:rFonts w:hint="eastAsia" w:ascii="宋体" w:hAnsi="宋体" w:cs="宋体"/>
          <w:color w:val="0000FF"/>
          <w:kern w:val="0"/>
          <w:sz w:val="24"/>
          <w:lang w:bidi="ar"/>
        </w:rPr>
        <w:t>博州片区”，沙湾市涉及乌昌石片区。本项目位于七大片区中北疆北部片区，</w:t>
      </w:r>
      <w:r>
        <w:rPr>
          <w:rFonts w:hint="eastAsia" w:ascii="宋体" w:hAnsi="宋体" w:cs="宋体"/>
          <w:color w:val="0000FF"/>
          <w:kern w:val="0"/>
          <w:sz w:val="24"/>
          <w:lang w:eastAsia="zh-CN" w:bidi="ar"/>
        </w:rPr>
        <w:t>管控要求为：</w:t>
      </w:r>
    </w:p>
    <w:p>
      <w:pPr>
        <w:adjustRightInd w:val="0"/>
        <w:snapToGrid w:val="0"/>
        <w:spacing w:line="360" w:lineRule="auto"/>
        <w:ind w:firstLine="480" w:firstLineChars="200"/>
        <w:jc w:val="both"/>
        <w:rPr>
          <w:rFonts w:hint="eastAsia" w:ascii="宋体" w:hAnsi="宋体" w:eastAsia="宋体" w:cs="宋体"/>
          <w:color w:val="0000FF"/>
          <w:kern w:val="0"/>
          <w:sz w:val="24"/>
          <w:lang w:bidi="ar"/>
        </w:rPr>
      </w:pPr>
      <w:r>
        <w:rPr>
          <w:rFonts w:hint="eastAsia" w:ascii="宋体" w:hAnsi="宋体" w:eastAsia="宋体" w:cs="宋体"/>
          <w:color w:val="0000FF"/>
          <w:kern w:val="0"/>
          <w:sz w:val="24"/>
          <w:lang w:bidi="ar"/>
        </w:rPr>
        <w:t>巩固塔额盆地绿洲农业生态功能区基本农田土壤环境质量。积极推进地下水超采治理，逐步压减超采量，实现地下水采补平衡。</w:t>
      </w:r>
    </w:p>
    <w:p>
      <w:pPr>
        <w:adjustRightInd w:val="0"/>
        <w:snapToGrid w:val="0"/>
        <w:spacing w:line="360" w:lineRule="auto"/>
        <w:ind w:firstLine="480" w:firstLineChars="200"/>
        <w:jc w:val="both"/>
        <w:rPr>
          <w:rFonts w:hint="eastAsia" w:ascii="宋体" w:hAnsi="宋体" w:eastAsia="宋体" w:cs="宋体"/>
          <w:color w:val="0000FF"/>
          <w:kern w:val="0"/>
          <w:sz w:val="24"/>
          <w:lang w:val="en-US" w:bidi="ar"/>
        </w:rPr>
      </w:pPr>
      <w:r>
        <w:rPr>
          <w:rFonts w:hint="eastAsia" w:ascii="宋体" w:hAnsi="宋体" w:eastAsia="宋体" w:cs="宋体"/>
          <w:color w:val="0000FF"/>
          <w:kern w:val="0"/>
          <w:sz w:val="24"/>
          <w:lang w:bidi="ar"/>
        </w:rPr>
        <w:t>强化额尔齐斯河、额敏河等跨界河流突发水环境污染事故的环境风险防控;严格管控河流两岸汇水区内分布的排污口、尾矿库以及沿河公路段危险品运输、上游山区段矿产资源开发等活动，建立风险防控体系。加强废弃矿区土壤重金属污染风险管控及修复治理。</w:t>
      </w:r>
    </w:p>
    <w:p>
      <w:pPr>
        <w:adjustRightInd w:val="0"/>
        <w:snapToGrid w:val="0"/>
        <w:spacing w:line="360" w:lineRule="auto"/>
        <w:ind w:firstLine="480" w:firstLineChars="200"/>
        <w:jc w:val="both"/>
        <w:rPr>
          <w:rFonts w:hint="default" w:ascii="Times New Roman" w:hAnsi="Times New Roman" w:eastAsia="宋体" w:cs="Times New Roman"/>
          <w:color w:val="0000FF"/>
          <w:sz w:val="24"/>
          <w:szCs w:val="24"/>
          <w:lang w:val="en-US" w:eastAsia="zh-CN"/>
        </w:rPr>
      </w:pPr>
      <w:r>
        <w:rPr>
          <w:rFonts w:ascii="Times New Roman" w:hAnsi="Times New Roman" w:cs="Times New Roman"/>
          <w:color w:val="0000FF"/>
          <w:sz w:val="24"/>
          <w:szCs w:val="24"/>
          <w:lang w:val="en-US"/>
        </w:rPr>
        <w:t>本项目位于</w:t>
      </w:r>
      <w:r>
        <w:rPr>
          <w:rFonts w:hint="eastAsia" w:cs="Times New Roman"/>
          <w:color w:val="0000FF"/>
          <w:sz w:val="24"/>
          <w:szCs w:val="24"/>
          <w:lang w:val="en-US" w:eastAsia="zh-CN"/>
        </w:rPr>
        <w:t>塔城地区额敏县桥南中粮路21号中粮糖业控股股份有限公司额敏糖业分公司厂区内，不新增用地，</w:t>
      </w:r>
      <w:r>
        <w:rPr>
          <w:rFonts w:hint="eastAsia" w:ascii="Times New Roman" w:hAnsi="Times New Roman" w:cs="Times New Roman"/>
          <w:color w:val="0000FF"/>
          <w:sz w:val="24"/>
          <w:szCs w:val="24"/>
          <w:lang w:val="en-US"/>
        </w:rPr>
        <w:t>不属于</w:t>
      </w:r>
      <w:r>
        <w:rPr>
          <w:rFonts w:ascii="Times New Roman" w:hAnsi="Times New Roman" w:cs="Times New Roman"/>
          <w:color w:val="0000FF"/>
          <w:sz w:val="24"/>
          <w:szCs w:val="24"/>
          <w:lang w:val="en-US"/>
        </w:rPr>
        <w:t>生态保护红线区域和生态保护红线区以外的饮用水水源保护区、水源涵养区、防风固沙区、土地沙化防控区、水土流失防控区等一般生态空间管控区，项目所在区域属于一般管控区</w:t>
      </w:r>
      <w:r>
        <w:rPr>
          <w:rFonts w:hint="eastAsia" w:cs="Times New Roman"/>
          <w:color w:val="0000FF"/>
          <w:sz w:val="24"/>
          <w:szCs w:val="24"/>
          <w:lang w:val="en-US" w:eastAsia="zh-CN"/>
        </w:rPr>
        <w:t>（环境管控单元编码：ZH65422130003）</w:t>
      </w:r>
      <w:r>
        <w:rPr>
          <w:rFonts w:ascii="Times New Roman" w:hAnsi="Times New Roman" w:cs="Times New Roman"/>
          <w:color w:val="0000FF"/>
          <w:sz w:val="24"/>
          <w:szCs w:val="24"/>
          <w:lang w:val="en-US"/>
        </w:rPr>
        <w:t>，本项目在建设中严格落实生态环境保护措施，推动区域环境质量可持续发展，综合分析，本项目符合</w:t>
      </w:r>
      <w:r>
        <w:rPr>
          <w:rFonts w:hint="eastAsia" w:ascii="Times New Roman" w:hAnsi="Times New Roman" w:eastAsia="宋体" w:cs="Times New Roman"/>
          <w:b w:val="0"/>
          <w:bCs w:val="0"/>
          <w:color w:val="0000FF"/>
          <w:sz w:val="24"/>
          <w:szCs w:val="24"/>
          <w:highlight w:val="none"/>
          <w:lang w:eastAsia="zh-CN"/>
        </w:rPr>
        <w:t>《自治区生态环境分区管控方案和七大片区管控要求》</w:t>
      </w:r>
      <w:r>
        <w:rPr>
          <w:rFonts w:ascii="Times New Roman" w:hAnsi="Times New Roman" w:cs="Times New Roman"/>
          <w:color w:val="0000FF"/>
          <w:sz w:val="24"/>
          <w:szCs w:val="24"/>
          <w:lang w:val="en-US"/>
        </w:rPr>
        <w:t>。</w:t>
      </w:r>
      <w:r>
        <w:rPr>
          <w:rFonts w:hint="eastAsia" w:cs="Times New Roman"/>
          <w:color w:val="0000FF"/>
          <w:sz w:val="24"/>
          <w:szCs w:val="24"/>
          <w:lang w:val="en-US" w:eastAsia="zh-CN"/>
        </w:rPr>
        <w:t>项目区的环境管控单元分布见附图1.5-1。</w:t>
      </w:r>
    </w:p>
    <w:p>
      <w:pPr>
        <w:pStyle w:val="2"/>
        <w:snapToGrid w:val="0"/>
        <w:spacing w:line="360" w:lineRule="auto"/>
        <w:ind w:firstLine="482" w:firstLineChars="200"/>
        <w:jc w:val="both"/>
        <w:rPr>
          <w:rFonts w:ascii="Times New Roman" w:hAnsi="Times New Roman" w:eastAsia="宋体" w:cs="Times New Roman"/>
          <w:b/>
          <w:bCs/>
          <w:color w:val="0000FF"/>
          <w:szCs w:val="24"/>
        </w:rPr>
      </w:pPr>
      <w:r>
        <w:rPr>
          <w:rFonts w:ascii="Times New Roman" w:hAnsi="Times New Roman" w:eastAsia="宋体" w:cs="Times New Roman"/>
          <w:b/>
          <w:bCs/>
          <w:color w:val="0000FF"/>
          <w:szCs w:val="24"/>
        </w:rPr>
        <w:t>1.</w:t>
      </w:r>
      <w:r>
        <w:rPr>
          <w:rFonts w:hint="eastAsia" w:ascii="Times New Roman" w:eastAsia="宋体" w:cs="Times New Roman"/>
          <w:b/>
          <w:bCs/>
          <w:color w:val="0000FF"/>
          <w:szCs w:val="24"/>
          <w:lang w:val="en-US" w:eastAsia="zh-CN"/>
        </w:rPr>
        <w:t>5</w:t>
      </w:r>
      <w:r>
        <w:rPr>
          <w:rFonts w:ascii="Times New Roman" w:hAnsi="Times New Roman" w:eastAsia="宋体" w:cs="Times New Roman"/>
          <w:b/>
          <w:bCs/>
          <w:color w:val="0000FF"/>
          <w:szCs w:val="24"/>
        </w:rPr>
        <w:t>.3与《</w:t>
      </w:r>
      <w:r>
        <w:rPr>
          <w:rFonts w:hint="eastAsia" w:ascii="Times New Roman" w:hAnsi="Times New Roman" w:eastAsia="宋体" w:cs="Times New Roman"/>
          <w:b/>
          <w:bCs/>
          <w:color w:val="0000FF"/>
          <w:szCs w:val="24"/>
          <w:lang w:eastAsia="zh-CN"/>
        </w:rPr>
        <w:t>关于印发塔城地区</w:t>
      </w:r>
      <w:r>
        <w:rPr>
          <w:rFonts w:ascii="Times New Roman" w:hAnsi="Times New Roman" w:eastAsia="宋体" w:cs="Times New Roman"/>
          <w:b/>
          <w:bCs/>
          <w:color w:val="0000FF"/>
          <w:szCs w:val="24"/>
        </w:rPr>
        <w:t>“三线一单”生态环境分区管控方案</w:t>
      </w:r>
      <w:r>
        <w:rPr>
          <w:rFonts w:hint="eastAsia" w:ascii="Times New Roman" w:hAnsi="Times New Roman" w:eastAsia="宋体" w:cs="Times New Roman"/>
          <w:b/>
          <w:bCs/>
          <w:color w:val="0000FF"/>
          <w:szCs w:val="24"/>
          <w:lang w:eastAsia="zh-CN"/>
        </w:rPr>
        <w:t>的通知</w:t>
      </w:r>
      <w:r>
        <w:rPr>
          <w:rFonts w:ascii="Times New Roman" w:hAnsi="Times New Roman" w:eastAsia="宋体" w:cs="Times New Roman"/>
          <w:b/>
          <w:bCs/>
          <w:color w:val="0000FF"/>
          <w:szCs w:val="24"/>
        </w:rPr>
        <w:t>》相符性分析</w:t>
      </w:r>
    </w:p>
    <w:p>
      <w:pPr>
        <w:pStyle w:val="51"/>
        <w:spacing w:line="360" w:lineRule="auto"/>
        <w:ind w:firstLine="480"/>
        <w:rPr>
          <w:rFonts w:hint="eastAsia" w:eastAsia="宋体"/>
          <w:color w:val="0000FF"/>
          <w:sz w:val="24"/>
          <w:szCs w:val="24"/>
          <w:shd w:val="clear" w:color="auto" w:fill="FFFFFF"/>
          <w:lang w:eastAsia="zh-CN"/>
        </w:rPr>
      </w:pPr>
      <w:r>
        <w:rPr>
          <w:color w:val="0000FF"/>
          <w:sz w:val="24"/>
          <w:szCs w:val="24"/>
        </w:rPr>
        <w:t>根据</w:t>
      </w:r>
      <w:r>
        <w:rPr>
          <w:rFonts w:hint="eastAsia"/>
          <w:color w:val="0000FF"/>
          <w:sz w:val="24"/>
          <w:szCs w:val="24"/>
          <w:lang w:eastAsia="zh-CN"/>
        </w:rPr>
        <w:t>伊犁哈萨克自治州塔城地区行政公署</w:t>
      </w:r>
      <w:r>
        <w:rPr>
          <w:color w:val="0000FF"/>
          <w:sz w:val="24"/>
          <w:szCs w:val="24"/>
        </w:rPr>
        <w:t>印发《</w:t>
      </w:r>
      <w:r>
        <w:rPr>
          <w:rFonts w:hint="eastAsia"/>
          <w:color w:val="0000FF"/>
          <w:sz w:val="24"/>
          <w:szCs w:val="24"/>
          <w:lang w:eastAsia="zh-CN"/>
        </w:rPr>
        <w:t>关于印发塔城地区</w:t>
      </w:r>
      <w:r>
        <w:rPr>
          <w:color w:val="0000FF"/>
          <w:sz w:val="24"/>
          <w:szCs w:val="24"/>
        </w:rPr>
        <w:t>“三线一单”生态环境分区管控方案</w:t>
      </w:r>
      <w:r>
        <w:rPr>
          <w:rFonts w:hint="eastAsia"/>
          <w:color w:val="0000FF"/>
          <w:sz w:val="24"/>
          <w:szCs w:val="24"/>
          <w:lang w:eastAsia="zh-CN"/>
        </w:rPr>
        <w:t>的通知</w:t>
      </w:r>
      <w:r>
        <w:rPr>
          <w:color w:val="0000FF"/>
          <w:sz w:val="24"/>
          <w:szCs w:val="24"/>
        </w:rPr>
        <w:t>》可知，</w:t>
      </w:r>
      <w:r>
        <w:rPr>
          <w:rFonts w:hint="eastAsia"/>
          <w:color w:val="0000FF"/>
          <w:sz w:val="24"/>
          <w:szCs w:val="24"/>
          <w:shd w:val="clear" w:color="auto" w:fill="FFFFFF"/>
          <w:lang w:eastAsia="zh-CN"/>
        </w:rPr>
        <w:t>塔城地区</w:t>
      </w:r>
      <w:r>
        <w:rPr>
          <w:color w:val="0000FF"/>
          <w:sz w:val="24"/>
          <w:szCs w:val="24"/>
          <w:shd w:val="clear" w:color="auto" w:fill="FFFFFF"/>
        </w:rPr>
        <w:t>共划定</w:t>
      </w:r>
      <w:r>
        <w:rPr>
          <w:rFonts w:hint="eastAsia"/>
          <w:color w:val="0000FF"/>
          <w:sz w:val="24"/>
          <w:szCs w:val="24"/>
          <w:shd w:val="clear" w:color="auto" w:fill="FFFFFF"/>
          <w:lang w:val="en-US" w:eastAsia="zh-CN"/>
        </w:rPr>
        <w:t>108</w:t>
      </w:r>
      <w:r>
        <w:rPr>
          <w:color w:val="0000FF"/>
          <w:sz w:val="24"/>
          <w:szCs w:val="24"/>
          <w:shd w:val="clear" w:color="auto" w:fill="FFFFFF"/>
        </w:rPr>
        <w:t>个环境管控单元，分为优先保护、重点管控和一般管控三类。本项目选址位于</w:t>
      </w:r>
      <w:r>
        <w:rPr>
          <w:rFonts w:hint="eastAsia"/>
          <w:color w:val="0000FF"/>
          <w:sz w:val="24"/>
          <w:szCs w:val="24"/>
          <w:shd w:val="clear" w:color="auto" w:fill="FFFFFF"/>
          <w:lang w:eastAsia="zh-CN"/>
        </w:rPr>
        <w:t>塔城地区额敏县桥南中粮路21号中粮糖业控股股份有限公司额敏糖业分公司厂区内</w:t>
      </w:r>
      <w:r>
        <w:rPr>
          <w:color w:val="0000FF"/>
          <w:sz w:val="24"/>
          <w:szCs w:val="24"/>
          <w:shd w:val="clear" w:color="auto" w:fill="FFFFFF"/>
        </w:rPr>
        <w:t>，根据</w:t>
      </w:r>
      <w:r>
        <w:rPr>
          <w:color w:val="0000FF"/>
        </w:rPr>
        <w:fldChar w:fldCharType="begin"/>
      </w:r>
      <w:r>
        <w:rPr>
          <w:color w:val="0000FF"/>
        </w:rPr>
        <w:instrText xml:space="preserve"> HYPERLINK "http://www.kashi.gov.cn/UploadFiles/PublicInformation/ksdqhsksdqhzgsbgs/2021625132657.docx" </w:instrText>
      </w:r>
      <w:r>
        <w:rPr>
          <w:color w:val="0000FF"/>
        </w:rPr>
        <w:fldChar w:fldCharType="separate"/>
      </w:r>
      <w:r>
        <w:rPr>
          <w:rStyle w:val="34"/>
          <w:rFonts w:hint="eastAsia"/>
          <w:color w:val="0000FF"/>
          <w:sz w:val="24"/>
          <w:szCs w:val="24"/>
          <w:u w:val="none"/>
          <w:shd w:val="clear" w:color="auto" w:fill="FFFFFF"/>
          <w:lang w:eastAsia="zh-CN"/>
        </w:rPr>
        <w:t>塔城地区</w:t>
      </w:r>
      <w:r>
        <w:rPr>
          <w:rStyle w:val="34"/>
          <w:color w:val="0000FF"/>
          <w:sz w:val="24"/>
          <w:szCs w:val="24"/>
          <w:u w:val="none"/>
          <w:shd w:val="clear" w:color="auto" w:fill="FFFFFF"/>
        </w:rPr>
        <w:t>环境管控单元分类图</w:t>
      </w:r>
      <w:r>
        <w:rPr>
          <w:rStyle w:val="34"/>
          <w:color w:val="0000FF"/>
          <w:sz w:val="24"/>
          <w:szCs w:val="24"/>
          <w:u w:val="none"/>
          <w:shd w:val="clear" w:color="auto" w:fill="FFFFFF"/>
        </w:rPr>
        <w:fldChar w:fldCharType="end"/>
      </w:r>
      <w:r>
        <w:rPr>
          <w:color w:val="0000FF"/>
          <w:sz w:val="24"/>
          <w:szCs w:val="24"/>
          <w:shd w:val="clear" w:color="auto" w:fill="FFFFFF"/>
        </w:rPr>
        <w:t>可知选址区域处于“</w:t>
      </w:r>
      <w:r>
        <w:rPr>
          <w:rFonts w:hint="eastAsia"/>
          <w:color w:val="0000FF"/>
          <w:sz w:val="24"/>
          <w:szCs w:val="24"/>
          <w:shd w:val="clear" w:color="auto" w:fill="FFFFFF"/>
        </w:rPr>
        <w:t>一般</w:t>
      </w:r>
      <w:r>
        <w:rPr>
          <w:color w:val="0000FF"/>
          <w:sz w:val="24"/>
          <w:szCs w:val="24"/>
          <w:shd w:val="clear" w:color="auto" w:fill="FFFFFF"/>
        </w:rPr>
        <w:t>管控单元”</w:t>
      </w:r>
      <w:r>
        <w:rPr>
          <w:rFonts w:hint="eastAsia" w:cs="Times New Roman"/>
          <w:color w:val="0000FF"/>
          <w:sz w:val="24"/>
          <w:szCs w:val="24"/>
          <w:lang w:val="en-US" w:eastAsia="zh-CN"/>
        </w:rPr>
        <w:t>（环境管控单元编码：ZH65422130003）</w:t>
      </w:r>
      <w:r>
        <w:rPr>
          <w:color w:val="0000FF"/>
          <w:sz w:val="24"/>
          <w:szCs w:val="24"/>
          <w:shd w:val="clear" w:color="auto" w:fill="FFFFFF"/>
        </w:rPr>
        <w:t>。</w:t>
      </w:r>
      <w:r>
        <w:rPr>
          <w:rFonts w:hint="eastAsia"/>
          <w:color w:val="0000FF"/>
          <w:sz w:val="24"/>
          <w:szCs w:val="24"/>
          <w:shd w:val="clear" w:color="auto" w:fill="FFFFFF"/>
          <w:lang w:eastAsia="zh-CN"/>
        </w:rPr>
        <w:t>具体管控要求如下：</w:t>
      </w:r>
    </w:p>
    <w:p>
      <w:pPr>
        <w:pStyle w:val="51"/>
        <w:spacing w:line="360" w:lineRule="auto"/>
        <w:ind w:firstLine="480"/>
        <w:rPr>
          <w:rFonts w:hint="eastAsia" w:eastAsia="宋体"/>
          <w:color w:val="0000FF"/>
          <w:sz w:val="24"/>
          <w:szCs w:val="24"/>
          <w:lang w:eastAsia="zh-CN"/>
        </w:rPr>
      </w:pPr>
      <w:r>
        <w:rPr>
          <w:rFonts w:hint="eastAsia"/>
          <w:color w:val="0000FF"/>
          <w:sz w:val="24"/>
          <w:szCs w:val="24"/>
          <w:shd w:val="clear" w:color="auto" w:fill="FFFFFF"/>
          <w:lang w:eastAsia="zh-CN"/>
        </w:rPr>
        <w:t>空间布局约束：“执行自治区总体准入要求中</w:t>
      </w:r>
      <w:r>
        <w:rPr>
          <w:rFonts w:hint="eastAsia"/>
          <w:color w:val="0000FF"/>
          <w:sz w:val="24"/>
          <w:szCs w:val="24"/>
          <w:shd w:val="clear" w:color="auto" w:fill="FFFFFF"/>
          <w:lang w:val="en-US" w:eastAsia="zh-CN"/>
        </w:rPr>
        <w:t>[A1.4-1][A1.4-2]条要求；执行自治区管控单元分区管控要求[A7.1-1]条要求；执行塔城地区总体管控要求[1.6][1.8]条要求</w:t>
      </w:r>
      <w:r>
        <w:rPr>
          <w:rFonts w:hint="eastAsia"/>
          <w:color w:val="0000FF"/>
          <w:sz w:val="24"/>
          <w:szCs w:val="24"/>
          <w:shd w:val="clear" w:color="auto" w:fill="FFFFFF"/>
          <w:lang w:eastAsia="zh-CN"/>
        </w:rPr>
        <w:t>”。</w:t>
      </w:r>
    </w:p>
    <w:p>
      <w:pPr>
        <w:adjustRightInd w:val="0"/>
        <w:snapToGrid w:val="0"/>
        <w:spacing w:line="360" w:lineRule="auto"/>
        <w:ind w:firstLine="480" w:firstLineChars="200"/>
        <w:jc w:val="both"/>
        <w:rPr>
          <w:rFonts w:ascii="Times New Roman" w:hAnsi="Times New Roman" w:cs="Times New Roman"/>
          <w:color w:val="0000FF"/>
          <w:sz w:val="24"/>
          <w:szCs w:val="24"/>
          <w:lang w:val="en-US"/>
        </w:rPr>
      </w:pPr>
      <w:r>
        <w:rPr>
          <w:color w:val="0000FF"/>
          <w:sz w:val="24"/>
          <w:szCs w:val="24"/>
        </w:rPr>
        <w:t>本项目运营期产生污废全部进行妥善处置，对可能存在的生态环境风险采取了相应的处置措施，符合《</w:t>
      </w:r>
      <w:r>
        <w:rPr>
          <w:rFonts w:hint="eastAsia"/>
          <w:color w:val="0000FF"/>
          <w:sz w:val="24"/>
          <w:szCs w:val="24"/>
          <w:lang w:eastAsia="zh-CN"/>
        </w:rPr>
        <w:t>关于印发塔城地区</w:t>
      </w:r>
      <w:r>
        <w:rPr>
          <w:color w:val="0000FF"/>
          <w:sz w:val="24"/>
          <w:szCs w:val="24"/>
        </w:rPr>
        <w:t>“三线一单”生态环境分区管控方案</w:t>
      </w:r>
      <w:r>
        <w:rPr>
          <w:rFonts w:hint="eastAsia"/>
          <w:color w:val="0000FF"/>
          <w:sz w:val="24"/>
          <w:szCs w:val="24"/>
          <w:lang w:eastAsia="zh-CN"/>
        </w:rPr>
        <w:t>的通知</w:t>
      </w:r>
      <w:r>
        <w:rPr>
          <w:color w:val="0000FF"/>
          <w:sz w:val="24"/>
          <w:szCs w:val="24"/>
        </w:rPr>
        <w:t>》的要求。</w:t>
      </w:r>
    </w:p>
    <w:p>
      <w:pPr>
        <w:pStyle w:val="5"/>
        <w:keepNext w:val="0"/>
        <w:keepLines w:val="0"/>
        <w:pageBreakBefore w:val="0"/>
        <w:widowControl w:val="0"/>
        <w:numPr>
          <w:ilvl w:val="1"/>
          <w:numId w:val="3"/>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25" w:name="_Toc21345"/>
      <w:bookmarkStart w:id="26" w:name="_Toc20891"/>
      <w:r>
        <w:t>关注的主要环境问题及环境影响</w:t>
      </w:r>
      <w:bookmarkEnd w:id="25"/>
      <w:bookmarkEnd w:id="26"/>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根据本次扩建工程自身特点及区域环境特点，本次评价关注的主要环境问题如下：</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）扩建工程超低排放各污染物的达标排放；</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）脱硫、除尘、脱硝工艺的可行性。</w:t>
      </w:r>
    </w:p>
    <w:p>
      <w:pPr>
        <w:pStyle w:val="5"/>
        <w:keepNext w:val="0"/>
        <w:keepLines w:val="0"/>
        <w:pageBreakBefore w:val="0"/>
        <w:widowControl w:val="0"/>
        <w:numPr>
          <w:ilvl w:val="1"/>
          <w:numId w:val="3"/>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27" w:name="_bookmark5"/>
      <w:bookmarkEnd w:id="27"/>
      <w:bookmarkStart w:id="28" w:name="1.6_环境影响评价的主要结论"/>
      <w:bookmarkEnd w:id="28"/>
      <w:bookmarkStart w:id="29" w:name="_Toc1674"/>
      <w:bookmarkStart w:id="30" w:name="_Toc17858"/>
      <w:r>
        <w:t>环境影响评价的主要结论</w:t>
      </w:r>
      <w:bookmarkEnd w:id="29"/>
      <w:bookmarkEnd w:id="30"/>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通过调查、分析和综合评价认为本次扩建工程符合国家和地方有关环境保护法律法规、标准、政策、规范及相关规划要求，本次扩建后能够有效解决厂区动力能力不足的问题，环境效益、社会效益显著；本次扩建不新增占地，用地性质为工业用地，选址可行；所采用的各项污染防治措施技术可行、经济合理，能保证各类污染物长期稳定达标排放；预测结果表明本次扩建工程所排放的污染物对周围环境和环境保护目标影响较小；通过采取有针对性的风险防范措施并落实应急预案，全厂的环境风险可接受。建设单位开展的公众参与结果表明，公众对本次扩建工程建设无反对意见。</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综上所述，在落实本报告书中的各项环保措施以及各级环保主管部门管理要求的前提下，从环境角度分析，本次扩建工程的建设具有环境可行性。</w:t>
      </w:r>
    </w:p>
    <w:p>
      <w:pPr>
        <w:spacing w:line="364" w:lineRule="auto"/>
        <w:sectPr>
          <w:pgSz w:w="11910" w:h="16840"/>
          <w:pgMar w:top="1440" w:right="1803" w:bottom="1440" w:left="1803" w:header="896" w:footer="1088" w:gutter="0"/>
          <w:pgBorders>
            <w:top w:val="none" w:sz="0" w:space="0"/>
            <w:left w:val="none" w:sz="0" w:space="0"/>
            <w:bottom w:val="none" w:sz="0" w:space="0"/>
            <w:right w:val="none" w:sz="0" w:space="0"/>
          </w:pgBorders>
          <w:pgNumType w:start="1"/>
          <w:cols w:space="0" w:num="1"/>
        </w:sectPr>
      </w:pPr>
    </w:p>
    <w:p>
      <w:pPr>
        <w:pStyle w:val="4"/>
        <w:tabs>
          <w:tab w:val="left" w:pos="1444"/>
        </w:tabs>
        <w:spacing w:before="0" w:line="360" w:lineRule="auto"/>
        <w:ind w:right="0" w:firstLine="723" w:firstLineChars="200"/>
      </w:pPr>
      <w:bookmarkStart w:id="31" w:name="_Toc29370"/>
      <w:bookmarkStart w:id="32" w:name="_Toc19298"/>
      <w:bookmarkStart w:id="33" w:name="_Toc5659"/>
      <w:r>
        <w:t>第二章</w:t>
      </w:r>
      <w:bookmarkStart w:id="34" w:name="第二章_总则"/>
      <w:bookmarkEnd w:id="34"/>
      <w:r>
        <w:rPr>
          <w:rFonts w:hint="eastAsia"/>
          <w:lang w:val="en-US"/>
        </w:rPr>
        <w:t xml:space="preserve">  </w:t>
      </w:r>
      <w:r>
        <w:t>总则</w:t>
      </w:r>
      <w:bookmarkEnd w:id="31"/>
      <w:bookmarkEnd w:id="32"/>
      <w:bookmarkEnd w:id="33"/>
    </w:p>
    <w:p>
      <w:pPr>
        <w:pStyle w:val="5"/>
        <w:keepNext w:val="0"/>
        <w:keepLines w:val="0"/>
        <w:pageBreakBefore w:val="0"/>
        <w:widowControl w:val="0"/>
        <w:numPr>
          <w:ilvl w:val="1"/>
          <w:numId w:val="4"/>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35" w:name="2.1_评价目的及原则"/>
      <w:bookmarkEnd w:id="35"/>
      <w:bookmarkStart w:id="36" w:name="_bookmark7"/>
      <w:bookmarkEnd w:id="36"/>
      <w:bookmarkStart w:id="37" w:name="_Toc9975"/>
      <w:bookmarkStart w:id="38" w:name="_Toc17426"/>
      <w:bookmarkStart w:id="39" w:name="_Toc18414"/>
      <w:r>
        <w:t>评价目的及原则</w:t>
      </w:r>
      <w:bookmarkEnd w:id="37"/>
      <w:bookmarkEnd w:id="38"/>
      <w:bookmarkEnd w:id="39"/>
    </w:p>
    <w:p>
      <w:pPr>
        <w:pStyle w:val="7"/>
        <w:numPr>
          <w:ilvl w:val="2"/>
          <w:numId w:val="4"/>
        </w:numPr>
        <w:tabs>
          <w:tab w:val="left" w:pos="1140"/>
        </w:tabs>
        <w:spacing w:line="360" w:lineRule="auto"/>
        <w:ind w:left="0" w:firstLine="482" w:firstLineChars="200"/>
        <w:jc w:val="both"/>
        <w:rPr>
          <w:rFonts w:ascii="Times New Roman" w:eastAsia="Times New Roman"/>
        </w:rPr>
      </w:pPr>
      <w:r>
        <w:t>评价目的</w:t>
      </w:r>
    </w:p>
    <w:p>
      <w:pPr>
        <w:pStyle w:val="14"/>
        <w:spacing w:line="360" w:lineRule="auto"/>
        <w:ind w:left="0" w:firstLine="480" w:firstLineChars="200"/>
        <w:jc w:val="both"/>
      </w:pPr>
      <w:r>
        <w:t xml:space="preserve">根据《中华人民共和国环境影响评价法》，《建设项目环境保护管理条例》（中华人民共和国国务院令第 </w:t>
      </w:r>
      <w:r>
        <w:rPr>
          <w:rFonts w:ascii="Times New Roman" w:eastAsia="Times New Roman"/>
        </w:rPr>
        <w:t xml:space="preserve">253 </w:t>
      </w:r>
      <w:r>
        <w:t>号）的有关规定，环境影响评价是项目建设环境管理的重要环节之一，是项目前期可行性研究的重要组成部分。本次评价工作的主要目的是：</w:t>
      </w:r>
    </w:p>
    <w:p>
      <w:pPr>
        <w:pStyle w:val="41"/>
        <w:numPr>
          <w:ilvl w:val="3"/>
          <w:numId w:val="4"/>
        </w:numPr>
        <w:tabs>
          <w:tab w:val="left" w:pos="1100"/>
        </w:tabs>
        <w:spacing w:before="0" w:line="360" w:lineRule="auto"/>
        <w:ind w:left="0" w:firstLine="480" w:firstLineChars="200"/>
        <w:jc w:val="both"/>
        <w:rPr>
          <w:sz w:val="24"/>
        </w:rPr>
      </w:pPr>
      <w:r>
        <w:rPr>
          <w:sz w:val="24"/>
        </w:rPr>
        <w:t>通过对项目区现场勘察、调研，以及当地环境资料的收集、分析，弄清评价区域的大气环境、水环境、生态环境、社会环境和噪声等环境质量现状， 为评价建设项目的环境影响程度和范围，以及项目投产后的竣工环境保护验收提供依据；</w:t>
      </w:r>
    </w:p>
    <w:p>
      <w:pPr>
        <w:pStyle w:val="41"/>
        <w:numPr>
          <w:ilvl w:val="3"/>
          <w:numId w:val="4"/>
        </w:numPr>
        <w:tabs>
          <w:tab w:val="left" w:pos="1100"/>
        </w:tabs>
        <w:spacing w:before="0" w:line="360" w:lineRule="auto"/>
        <w:ind w:left="0" w:firstLine="480" w:firstLineChars="200"/>
        <w:jc w:val="both"/>
        <w:rPr>
          <w:sz w:val="24"/>
        </w:rPr>
      </w:pPr>
      <w:r>
        <w:rPr>
          <w:sz w:val="24"/>
        </w:rPr>
        <w:t>掌握本项目排污状况，查清评价区环境现状，预测和评价本项目实施对评价区环境影响的范围和程度；</w:t>
      </w:r>
    </w:p>
    <w:p>
      <w:pPr>
        <w:pStyle w:val="41"/>
        <w:numPr>
          <w:ilvl w:val="3"/>
          <w:numId w:val="4"/>
        </w:numPr>
        <w:tabs>
          <w:tab w:val="left" w:pos="1100"/>
        </w:tabs>
        <w:spacing w:before="0" w:line="360" w:lineRule="auto"/>
        <w:ind w:left="0" w:firstLine="480" w:firstLineChars="200"/>
        <w:jc w:val="both"/>
        <w:rPr>
          <w:sz w:val="24"/>
        </w:rPr>
      </w:pPr>
      <w:r>
        <w:rPr>
          <w:sz w:val="24"/>
        </w:rPr>
        <w:t>依据国家有关法律法规以及技术规范的要求，结合本地自然、社会环境特征，提出为减轻不利环境影响应采取的措施，并制定环境保护行动计划；</w:t>
      </w:r>
    </w:p>
    <w:p>
      <w:pPr>
        <w:pStyle w:val="41"/>
        <w:numPr>
          <w:ilvl w:val="3"/>
          <w:numId w:val="4"/>
        </w:numPr>
        <w:tabs>
          <w:tab w:val="left" w:pos="1100"/>
        </w:tabs>
        <w:spacing w:before="0" w:line="360" w:lineRule="auto"/>
        <w:ind w:left="0" w:firstLine="480" w:firstLineChars="200"/>
        <w:jc w:val="both"/>
        <w:rPr>
          <w:sz w:val="24"/>
        </w:rPr>
      </w:pPr>
      <w:r>
        <w:rPr>
          <w:sz w:val="24"/>
        </w:rPr>
        <w:t>评价项目对“达标排放和污染物排放总量控制”原则的符合性，并论证本项目建设方案的环境可行性；</w:t>
      </w:r>
    </w:p>
    <w:p>
      <w:pPr>
        <w:pStyle w:val="41"/>
        <w:numPr>
          <w:ilvl w:val="3"/>
          <w:numId w:val="4"/>
        </w:numPr>
        <w:tabs>
          <w:tab w:val="left" w:pos="1100"/>
        </w:tabs>
        <w:spacing w:before="0" w:line="360" w:lineRule="auto"/>
        <w:ind w:left="0" w:firstLine="480" w:firstLineChars="200"/>
        <w:jc w:val="both"/>
        <w:rPr>
          <w:sz w:val="24"/>
        </w:rPr>
      </w:pPr>
      <w:r>
        <w:rPr>
          <w:sz w:val="24"/>
        </w:rPr>
        <w:t>通过对项目建设和生产运行过程中可能发生的风险事故进行分析、预测、并提出切实可行的事故应急预案和事故防范、减缓措施，确保项目环境安全；</w:t>
      </w:r>
    </w:p>
    <w:p>
      <w:pPr>
        <w:pStyle w:val="41"/>
        <w:numPr>
          <w:ilvl w:val="3"/>
          <w:numId w:val="4"/>
        </w:numPr>
        <w:tabs>
          <w:tab w:val="left" w:pos="1100"/>
        </w:tabs>
        <w:spacing w:before="0" w:line="360" w:lineRule="auto"/>
        <w:ind w:left="0" w:firstLine="480" w:firstLineChars="200"/>
        <w:jc w:val="both"/>
        <w:rPr>
          <w:sz w:val="24"/>
        </w:rPr>
      </w:pPr>
      <w:r>
        <w:rPr>
          <w:sz w:val="24"/>
        </w:rPr>
        <w:t>通过本次评价工作，为建设项目开发建设、生产、环境管理和环境污染防治提供科学依据，最大限度地降低本项目建设过程中对周围环境产生的不利影响，促进本项目实现经济效益、社会效益和环境效益相统一。</w:t>
      </w:r>
    </w:p>
    <w:p>
      <w:pPr>
        <w:pStyle w:val="7"/>
        <w:numPr>
          <w:ilvl w:val="2"/>
          <w:numId w:val="4"/>
        </w:numPr>
        <w:tabs>
          <w:tab w:val="left" w:pos="1140"/>
        </w:tabs>
        <w:spacing w:line="360" w:lineRule="auto"/>
        <w:ind w:left="0" w:firstLine="482" w:firstLineChars="200"/>
        <w:jc w:val="both"/>
        <w:rPr>
          <w:rFonts w:ascii="Times New Roman" w:eastAsia="Times New Roman"/>
        </w:rPr>
      </w:pPr>
      <w:r>
        <w:t>评价原则</w:t>
      </w:r>
    </w:p>
    <w:p>
      <w:pPr>
        <w:pStyle w:val="14"/>
        <w:spacing w:line="360" w:lineRule="auto"/>
        <w:ind w:left="0" w:firstLine="480" w:firstLineChars="200"/>
        <w:jc w:val="both"/>
      </w:pPr>
      <w:r>
        <w:t>根据《建设项目环境影响评价技术导则 总纲》（</w:t>
      </w:r>
      <w:r>
        <w:rPr>
          <w:rFonts w:ascii="Times New Roman" w:eastAsia="Times New Roman"/>
        </w:rPr>
        <w:t>HJ 2.1-2016</w:t>
      </w:r>
      <w:r>
        <w:t>）中的有关规定，突出环境影响评价的源头预防作用，坚持保护和改善环境质量。本次评价工作原则是：</w:t>
      </w:r>
    </w:p>
    <w:p>
      <w:pPr>
        <w:pStyle w:val="41"/>
        <w:numPr>
          <w:ilvl w:val="0"/>
          <w:numId w:val="5"/>
        </w:numPr>
        <w:tabs>
          <w:tab w:val="left" w:pos="1621"/>
        </w:tabs>
        <w:spacing w:before="0" w:line="360" w:lineRule="auto"/>
        <w:ind w:firstLine="480" w:firstLineChars="200"/>
        <w:jc w:val="both"/>
        <w:rPr>
          <w:sz w:val="24"/>
        </w:rPr>
      </w:pPr>
      <w:r>
        <w:rPr>
          <w:sz w:val="24"/>
        </w:rPr>
        <w:t>依法评价</w:t>
      </w:r>
    </w:p>
    <w:p>
      <w:pPr>
        <w:pStyle w:val="14"/>
        <w:spacing w:line="360" w:lineRule="auto"/>
        <w:ind w:left="0" w:firstLine="480" w:firstLineChars="200"/>
        <w:jc w:val="both"/>
      </w:pPr>
      <w:r>
        <w:t>贯彻执行我国环境保护相关法律法规、标准、政策和规划等，优化项目建设，服务环境管理。</w:t>
      </w:r>
    </w:p>
    <w:p>
      <w:pPr>
        <w:pStyle w:val="41"/>
        <w:numPr>
          <w:ilvl w:val="0"/>
          <w:numId w:val="5"/>
        </w:numPr>
        <w:tabs>
          <w:tab w:val="left" w:pos="1621"/>
        </w:tabs>
        <w:spacing w:before="0" w:line="360" w:lineRule="auto"/>
        <w:jc w:val="both"/>
        <w:rPr>
          <w:sz w:val="24"/>
        </w:rPr>
      </w:pPr>
      <w:r>
        <w:rPr>
          <w:sz w:val="24"/>
        </w:rPr>
        <w:t>科学评价</w:t>
      </w:r>
    </w:p>
    <w:p>
      <w:pPr>
        <w:pStyle w:val="14"/>
        <w:spacing w:line="360" w:lineRule="auto"/>
        <w:ind w:left="0" w:firstLine="480" w:firstLineChars="200"/>
        <w:jc w:val="both"/>
      </w:pPr>
      <w:r>
        <w:t>规范环境影响评价方法，科学分析项目建设对环境质量的影响。</w:t>
      </w:r>
    </w:p>
    <w:p>
      <w:pPr>
        <w:pStyle w:val="41"/>
        <w:numPr>
          <w:ilvl w:val="0"/>
          <w:numId w:val="5"/>
        </w:numPr>
        <w:tabs>
          <w:tab w:val="left" w:pos="1621"/>
        </w:tabs>
        <w:spacing w:before="0" w:line="360" w:lineRule="auto"/>
        <w:jc w:val="both"/>
        <w:rPr>
          <w:sz w:val="24"/>
        </w:rPr>
      </w:pPr>
      <w:r>
        <w:rPr>
          <w:sz w:val="24"/>
        </w:rPr>
        <w:t>突出重点</w:t>
      </w:r>
    </w:p>
    <w:p>
      <w:pPr>
        <w:pStyle w:val="14"/>
        <w:spacing w:line="360" w:lineRule="auto"/>
        <w:ind w:left="0" w:firstLine="480" w:firstLineChars="200"/>
        <w:jc w:val="both"/>
      </w:pPr>
      <w: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5"/>
        <w:keepNext w:val="0"/>
        <w:keepLines w:val="0"/>
        <w:pageBreakBefore w:val="0"/>
        <w:widowControl w:val="0"/>
        <w:numPr>
          <w:ilvl w:val="1"/>
          <w:numId w:val="4"/>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40" w:name="_bookmark8"/>
      <w:bookmarkEnd w:id="40"/>
      <w:bookmarkStart w:id="41" w:name="2.2_编制依据"/>
      <w:bookmarkEnd w:id="41"/>
      <w:bookmarkStart w:id="42" w:name="_Toc1567"/>
      <w:bookmarkStart w:id="43" w:name="_Toc7627"/>
      <w:bookmarkStart w:id="44" w:name="_Toc4743"/>
      <w:r>
        <w:t>编制依据</w:t>
      </w:r>
      <w:bookmarkEnd w:id="42"/>
      <w:bookmarkEnd w:id="43"/>
      <w:bookmarkEnd w:id="44"/>
    </w:p>
    <w:p>
      <w:pPr>
        <w:pStyle w:val="6"/>
        <w:numPr>
          <w:ilvl w:val="2"/>
          <w:numId w:val="4"/>
        </w:numPr>
        <w:tabs>
          <w:tab w:val="left" w:pos="1241"/>
        </w:tabs>
        <w:spacing w:line="360" w:lineRule="auto"/>
        <w:ind w:left="0" w:firstLine="562" w:firstLineChars="200"/>
        <w:jc w:val="both"/>
        <w:rPr>
          <w:rFonts w:ascii="Times New Roman" w:eastAsia="Times New Roman"/>
        </w:rPr>
      </w:pPr>
      <w:bookmarkStart w:id="45" w:name="2.2.1_环境保护法律法规"/>
      <w:bookmarkEnd w:id="45"/>
      <w:r>
        <w:t>环境保护法律法规</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）《中华人民共和国环境保护法》，</w:t>
      </w:r>
      <w:r>
        <w:rPr>
          <w:rFonts w:hint="default" w:ascii="Times New Roman" w:hAnsi="Times New Roman" w:eastAsia="宋体" w:cs="Times New Roman"/>
          <w:color w:val="000000"/>
          <w:kern w:val="0"/>
          <w:sz w:val="24"/>
          <w:szCs w:val="24"/>
          <w:lang w:val="en-US" w:eastAsia="zh-CN" w:bidi="ar"/>
        </w:rPr>
        <w:t xml:space="preserve">2015.1.1 </w:t>
      </w:r>
      <w:r>
        <w:rPr>
          <w:rFonts w:hint="eastAsia" w:ascii="宋体" w:hAnsi="宋体" w:eastAsia="宋体" w:cs="宋体"/>
          <w:color w:val="000000"/>
          <w:kern w:val="0"/>
          <w:sz w:val="24"/>
          <w:szCs w:val="24"/>
          <w:lang w:val="en-US" w:eastAsia="zh-CN" w:bidi="ar"/>
        </w:rPr>
        <w:t>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）《中华人民共和国环境影响评价法》，</w:t>
      </w:r>
      <w:r>
        <w:rPr>
          <w:rFonts w:hint="default" w:ascii="Times New Roman" w:hAnsi="Times New Roman" w:eastAsia="宋体" w:cs="Times New Roman"/>
          <w:color w:val="000000"/>
          <w:kern w:val="0"/>
          <w:sz w:val="24"/>
          <w:szCs w:val="24"/>
          <w:lang w:val="en-US" w:eastAsia="zh-CN" w:bidi="ar"/>
        </w:rPr>
        <w:t xml:space="preserve">2018.12.29 </w:t>
      </w:r>
      <w:r>
        <w:rPr>
          <w:rFonts w:hint="eastAsia" w:ascii="宋体" w:hAnsi="宋体" w:eastAsia="宋体" w:cs="宋体"/>
          <w:color w:val="000000"/>
          <w:kern w:val="0"/>
          <w:sz w:val="24"/>
          <w:szCs w:val="24"/>
          <w:lang w:val="en-US" w:eastAsia="zh-CN" w:bidi="ar"/>
        </w:rPr>
        <w:t>修订并施行；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）《中华人民共和国大气污染防治法》，</w:t>
      </w:r>
      <w:r>
        <w:rPr>
          <w:rFonts w:hint="default" w:ascii="Times New Roman" w:hAnsi="Times New Roman" w:eastAsia="宋体" w:cs="Times New Roman"/>
          <w:color w:val="000000"/>
          <w:kern w:val="0"/>
          <w:sz w:val="24"/>
          <w:szCs w:val="24"/>
          <w:lang w:val="en-US" w:eastAsia="zh-CN" w:bidi="ar"/>
        </w:rPr>
        <w:t xml:space="preserve">2018.10.26 </w:t>
      </w:r>
      <w:r>
        <w:rPr>
          <w:rFonts w:hint="eastAsia" w:ascii="宋体" w:hAnsi="宋体" w:eastAsia="宋体" w:cs="宋体"/>
          <w:color w:val="000000"/>
          <w:kern w:val="0"/>
          <w:sz w:val="24"/>
          <w:szCs w:val="24"/>
          <w:lang w:val="en-US" w:eastAsia="zh-CN" w:bidi="ar"/>
        </w:rPr>
        <w:t>修订并施行；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）《中华人民共和国水污染防治法》，</w:t>
      </w:r>
      <w:r>
        <w:rPr>
          <w:rFonts w:hint="default" w:ascii="Times New Roman" w:hAnsi="Times New Roman" w:eastAsia="宋体" w:cs="Times New Roman"/>
          <w:color w:val="000000"/>
          <w:kern w:val="0"/>
          <w:sz w:val="24"/>
          <w:szCs w:val="24"/>
          <w:lang w:val="en-US" w:eastAsia="zh-CN" w:bidi="ar"/>
        </w:rPr>
        <w:t xml:space="preserve">2018.1.1 </w:t>
      </w:r>
      <w:r>
        <w:rPr>
          <w:rFonts w:hint="eastAsia" w:ascii="宋体" w:hAnsi="宋体" w:eastAsia="宋体" w:cs="宋体"/>
          <w:color w:val="000000"/>
          <w:kern w:val="0"/>
          <w:sz w:val="24"/>
          <w:szCs w:val="24"/>
          <w:lang w:val="en-US" w:eastAsia="zh-CN" w:bidi="ar"/>
        </w:rPr>
        <w:t>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）《中华人民共和国固体废物污染环境防治法》，</w:t>
      </w:r>
      <w:r>
        <w:rPr>
          <w:rFonts w:hint="default" w:ascii="Times New Roman" w:hAnsi="Times New Roman" w:eastAsia="宋体" w:cs="Times New Roman"/>
          <w:color w:val="000000"/>
          <w:kern w:val="0"/>
          <w:sz w:val="24"/>
          <w:szCs w:val="24"/>
          <w:lang w:val="en-US" w:eastAsia="zh-CN" w:bidi="ar"/>
        </w:rPr>
        <w:t xml:space="preserve">2020.9.1 </w:t>
      </w:r>
      <w:r>
        <w:rPr>
          <w:rFonts w:hint="eastAsia" w:ascii="宋体" w:hAnsi="宋体" w:eastAsia="宋体" w:cs="宋体"/>
          <w:color w:val="000000"/>
          <w:kern w:val="0"/>
          <w:sz w:val="24"/>
          <w:szCs w:val="24"/>
          <w:lang w:val="en-US" w:eastAsia="zh-CN" w:bidi="ar"/>
        </w:rPr>
        <w:t>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）《中华人民共和国噪声污染防治法》，</w:t>
      </w:r>
      <w:r>
        <w:rPr>
          <w:rFonts w:hint="default" w:ascii="Times New Roman" w:hAnsi="Times New Roman" w:eastAsia="宋体" w:cs="Times New Roman"/>
          <w:color w:val="000000"/>
          <w:kern w:val="0"/>
          <w:sz w:val="24"/>
          <w:szCs w:val="24"/>
          <w:lang w:val="en-US" w:eastAsia="zh-CN" w:bidi="ar"/>
        </w:rPr>
        <w:t xml:space="preserve">2022.6.5 </w:t>
      </w:r>
      <w:r>
        <w:rPr>
          <w:rFonts w:hint="eastAsia" w:ascii="宋体" w:hAnsi="宋体" w:eastAsia="宋体" w:cs="宋体"/>
          <w:color w:val="000000"/>
          <w:kern w:val="0"/>
          <w:sz w:val="24"/>
          <w:szCs w:val="24"/>
          <w:lang w:val="en-US" w:eastAsia="zh-CN" w:bidi="ar"/>
        </w:rPr>
        <w:t>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）《中华人民共和国土壤污染防治法》</w:t>
      </w:r>
      <w:r>
        <w:rPr>
          <w:rFonts w:hint="default" w:ascii="Times New Roman" w:hAnsi="Times New Roman" w:eastAsia="宋体" w:cs="Times New Roman"/>
          <w:color w:val="000000"/>
          <w:kern w:val="0"/>
          <w:sz w:val="24"/>
          <w:szCs w:val="24"/>
          <w:lang w:val="en-US" w:eastAsia="zh-CN" w:bidi="ar"/>
        </w:rPr>
        <w:t xml:space="preserve">2019.1.1 </w:t>
      </w:r>
      <w:r>
        <w:rPr>
          <w:rFonts w:hint="eastAsia" w:ascii="宋体" w:hAnsi="宋体" w:eastAsia="宋体" w:cs="宋体"/>
          <w:color w:val="000000"/>
          <w:kern w:val="0"/>
          <w:sz w:val="24"/>
          <w:szCs w:val="24"/>
          <w:lang w:val="en-US" w:eastAsia="zh-CN" w:bidi="ar"/>
        </w:rPr>
        <w:t>日施行；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）《建设项目环境保护管理条例》（国务院令第</w:t>
      </w:r>
      <w:r>
        <w:rPr>
          <w:rFonts w:hint="default" w:ascii="Times New Roman" w:hAnsi="Times New Roman" w:eastAsia="宋体" w:cs="Times New Roman"/>
          <w:color w:val="000000"/>
          <w:kern w:val="0"/>
          <w:sz w:val="24"/>
          <w:szCs w:val="24"/>
          <w:lang w:val="en-US" w:eastAsia="zh-CN" w:bidi="ar"/>
        </w:rPr>
        <w:t>682</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2017.10.1</w:t>
      </w:r>
      <w:r>
        <w:rPr>
          <w:rFonts w:hint="eastAsia" w:ascii="宋体" w:hAnsi="宋体" w:eastAsia="宋体" w:cs="宋体"/>
          <w:color w:val="000000"/>
          <w:kern w:val="0"/>
          <w:sz w:val="24"/>
          <w:szCs w:val="24"/>
          <w:lang w:val="en-US" w:eastAsia="zh-CN" w:bidi="ar"/>
        </w:rPr>
        <w:t>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）《中华人民共和国循环经济促进法》，</w:t>
      </w:r>
      <w:r>
        <w:rPr>
          <w:rFonts w:hint="default" w:ascii="Times New Roman" w:hAnsi="Times New Roman" w:eastAsia="宋体" w:cs="Times New Roman"/>
          <w:color w:val="000000"/>
          <w:kern w:val="0"/>
          <w:sz w:val="24"/>
          <w:szCs w:val="24"/>
          <w:lang w:val="en-US" w:eastAsia="zh-CN" w:bidi="ar"/>
        </w:rPr>
        <w:t>2018.10.26</w:t>
      </w:r>
      <w:r>
        <w:rPr>
          <w:rFonts w:hint="eastAsia" w:ascii="宋体" w:hAnsi="宋体" w:eastAsia="宋体" w:cs="宋体"/>
          <w:color w:val="000000"/>
          <w:kern w:val="0"/>
          <w:sz w:val="24"/>
          <w:szCs w:val="24"/>
          <w:lang w:val="en-US" w:eastAsia="zh-CN" w:bidi="ar"/>
        </w:rPr>
        <w:t>修订并施行；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）《中华人民共和国节约能源法》，</w:t>
      </w:r>
      <w:r>
        <w:rPr>
          <w:rFonts w:hint="default" w:ascii="Times New Roman" w:hAnsi="Times New Roman" w:eastAsia="宋体" w:cs="Times New Roman"/>
          <w:color w:val="000000"/>
          <w:kern w:val="0"/>
          <w:sz w:val="24"/>
          <w:szCs w:val="24"/>
          <w:lang w:val="en-US" w:eastAsia="zh-CN" w:bidi="ar"/>
        </w:rPr>
        <w:t>2018.10.26</w:t>
      </w:r>
      <w:r>
        <w:rPr>
          <w:rFonts w:hint="eastAsia" w:ascii="宋体" w:hAnsi="宋体" w:eastAsia="宋体" w:cs="宋体"/>
          <w:color w:val="000000"/>
          <w:kern w:val="0"/>
          <w:sz w:val="24"/>
          <w:szCs w:val="24"/>
          <w:lang w:val="en-US" w:eastAsia="zh-CN" w:bidi="ar"/>
        </w:rPr>
        <w:t>修订并施行；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）《地下水管理条例》（中华人民共和国国务院令第</w:t>
      </w:r>
      <w:r>
        <w:rPr>
          <w:rFonts w:hint="default" w:ascii="Times New Roman" w:hAnsi="Times New Roman" w:eastAsia="宋体" w:cs="Times New Roman"/>
          <w:color w:val="000000"/>
          <w:kern w:val="0"/>
          <w:sz w:val="24"/>
          <w:szCs w:val="24"/>
          <w:lang w:val="en-US" w:eastAsia="zh-CN" w:bidi="ar"/>
        </w:rPr>
        <w:t>748</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2021.12.1</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 xml:space="preserve">）《建设项目环境影响评价分类管理名录》（生态环境部令第 </w:t>
      </w:r>
      <w:r>
        <w:rPr>
          <w:rFonts w:hint="default" w:ascii="Times New Roman" w:hAnsi="Times New Roman" w:eastAsia="宋体" w:cs="Times New Roman"/>
          <w:color w:val="000000"/>
          <w:kern w:val="0"/>
          <w:sz w:val="24"/>
          <w:szCs w:val="24"/>
          <w:lang w:val="en-US" w:eastAsia="zh-CN" w:bidi="ar"/>
        </w:rPr>
        <w:t xml:space="preserve">16 </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 xml:space="preserve">2021.1.1 </w:t>
      </w:r>
      <w:r>
        <w:rPr>
          <w:rFonts w:hint="eastAsia" w:ascii="宋体" w:hAnsi="宋体" w:eastAsia="宋体" w:cs="宋体"/>
          <w:color w:val="000000"/>
          <w:kern w:val="0"/>
          <w:sz w:val="24"/>
          <w:szCs w:val="24"/>
          <w:lang w:val="en-US" w:eastAsia="zh-CN" w:bidi="ar"/>
        </w:rPr>
        <w:t>实施；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w:t>
      </w:r>
      <w:r>
        <w:rPr>
          <w:rFonts w:hint="eastAsia" w:ascii="宋体" w:hAnsi="宋体" w:eastAsia="宋体" w:cs="宋体"/>
          <w:color w:val="000000"/>
          <w:kern w:val="0"/>
          <w:sz w:val="24"/>
          <w:szCs w:val="24"/>
          <w:lang w:val="en-US" w:eastAsia="zh-CN" w:bidi="ar"/>
        </w:rPr>
        <w:t>）《国家危险废物名录》（生态环境部、国家发展和改革委员会、公安部、交通运输部、国家卫生健康委员会，生态环境部令第</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2021.1.1</w:t>
      </w:r>
      <w:r>
        <w:rPr>
          <w:rFonts w:hint="eastAsia" w:ascii="宋体" w:hAnsi="宋体" w:eastAsia="宋体" w:cs="宋体"/>
          <w:color w:val="000000"/>
          <w:kern w:val="0"/>
          <w:sz w:val="24"/>
          <w:szCs w:val="24"/>
          <w:lang w:val="en-US" w:eastAsia="zh-CN" w:bidi="ar"/>
        </w:rPr>
        <w:t>实施；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14</w:t>
      </w:r>
      <w:r>
        <w:rPr>
          <w:rFonts w:hint="eastAsia" w:ascii="宋体" w:hAnsi="宋体" w:eastAsia="宋体" w:cs="宋体"/>
          <w:color w:val="000000"/>
          <w:kern w:val="0"/>
          <w:sz w:val="24"/>
          <w:szCs w:val="24"/>
          <w:lang w:val="en-US" w:eastAsia="zh-CN" w:bidi="ar"/>
        </w:rPr>
        <w:t>）《危险废物污染防治技术政策》（环发</w:t>
      </w:r>
      <w:r>
        <w:rPr>
          <w:rFonts w:hint="default" w:ascii="Times New Roman" w:hAnsi="Times New Roman" w:eastAsia="宋体" w:cs="Times New Roman"/>
          <w:color w:val="000000"/>
          <w:kern w:val="0"/>
          <w:sz w:val="24"/>
          <w:szCs w:val="24"/>
          <w:lang w:val="en-US" w:eastAsia="zh-CN" w:bidi="ar"/>
        </w:rPr>
        <w:t>[2001]199</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2001.12.17</w:t>
      </w:r>
      <w:r>
        <w:rPr>
          <w:rFonts w:hint="eastAsia" w:ascii="宋体" w:hAnsi="宋体" w:eastAsia="宋体" w:cs="宋体"/>
          <w:color w:val="000000"/>
          <w:kern w:val="0"/>
          <w:sz w:val="24"/>
          <w:szCs w:val="24"/>
          <w:lang w:val="en-US" w:eastAsia="zh-CN" w:bidi="ar"/>
        </w:rPr>
        <w:t>实施；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）《关于做好环境影响评价制度与排污许可制衔接相关工作的通知》（环境保护部，环办环评</w:t>
      </w:r>
      <w:r>
        <w:rPr>
          <w:rFonts w:hint="default" w:ascii="Times New Roman" w:hAnsi="Times New Roman" w:eastAsia="宋体" w:cs="Times New Roman"/>
          <w:color w:val="000000"/>
          <w:kern w:val="0"/>
          <w:sz w:val="24"/>
          <w:szCs w:val="24"/>
          <w:lang w:val="en-US" w:eastAsia="zh-CN" w:bidi="ar"/>
        </w:rPr>
        <w:t>[2017]84</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2017</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日实施；</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16</w:t>
      </w:r>
      <w:r>
        <w:rPr>
          <w:rFonts w:hint="eastAsia" w:ascii="宋体" w:hAnsi="宋体" w:eastAsia="宋体" w:cs="宋体"/>
          <w:color w:val="000000"/>
          <w:kern w:val="0"/>
          <w:sz w:val="24"/>
          <w:szCs w:val="24"/>
          <w:lang w:val="en-US" w:eastAsia="zh-CN" w:bidi="ar"/>
        </w:rPr>
        <w:t>）《危险废物转移管理办法》（生态环境部令第</w:t>
      </w:r>
      <w:r>
        <w:rPr>
          <w:rFonts w:hint="default" w:ascii="Times New Roman" w:hAnsi="Times New Roman" w:eastAsia="宋体" w:cs="Times New Roman"/>
          <w:color w:val="000000"/>
          <w:kern w:val="0"/>
          <w:sz w:val="24"/>
          <w:szCs w:val="24"/>
          <w:lang w:val="en-US" w:eastAsia="zh-CN" w:bidi="ar"/>
        </w:rPr>
        <w:t>23</w:t>
      </w:r>
      <w:r>
        <w:rPr>
          <w:rFonts w:hint="eastAsia" w:ascii="宋体" w:hAnsi="宋体" w:eastAsia="宋体" w:cs="宋体"/>
          <w:color w:val="000000"/>
          <w:kern w:val="0"/>
          <w:sz w:val="24"/>
          <w:szCs w:val="24"/>
          <w:lang w:val="en-US" w:eastAsia="zh-CN" w:bidi="ar"/>
        </w:rPr>
        <w:t>号，生态环境部、公安部、交通运输部），</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日起施行；</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17</w:t>
      </w:r>
      <w:r>
        <w:rPr>
          <w:rFonts w:hint="eastAsia" w:ascii="宋体" w:hAnsi="宋体" w:eastAsia="宋体" w:cs="宋体"/>
          <w:color w:val="000000"/>
          <w:kern w:val="0"/>
          <w:sz w:val="24"/>
          <w:szCs w:val="24"/>
          <w:lang w:val="en-US" w:eastAsia="zh-CN" w:bidi="ar"/>
        </w:rPr>
        <w:t>）《环境影响评价公众参与办法》（生态环境部令第</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号）；</w:t>
      </w:r>
    </w:p>
    <w:p>
      <w:pPr>
        <w:pStyle w:val="41"/>
        <w:numPr>
          <w:ilvl w:val="0"/>
          <w:numId w:val="0"/>
        </w:numPr>
        <w:tabs>
          <w:tab w:val="left" w:pos="1741"/>
        </w:tabs>
        <w:spacing w:before="0" w:line="360" w:lineRule="auto"/>
        <w:ind w:leftChars="200"/>
        <w:jc w:val="both"/>
        <w:rPr>
          <w:color w:val="000000" w:themeColor="text1"/>
          <w:sz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18</w:t>
      </w:r>
      <w:r>
        <w:rPr>
          <w:rFonts w:hint="eastAsia" w:ascii="宋体" w:hAnsi="宋体" w:eastAsia="宋体" w:cs="宋体"/>
          <w:color w:val="000000"/>
          <w:kern w:val="0"/>
          <w:sz w:val="24"/>
          <w:szCs w:val="24"/>
          <w:lang w:val="en-US" w:eastAsia="zh-CN" w:bidi="ar"/>
        </w:rPr>
        <w:t>）《关于加强重点行业建设项目区域削减措施监督管理的通知》（环办环评〔</w:t>
      </w:r>
      <w:r>
        <w:rPr>
          <w:rFonts w:hint="default" w:ascii="Times New Roman" w:hAnsi="Times New Roman" w:eastAsia="宋体" w:cs="Times New Roman"/>
          <w:color w:val="000000"/>
          <w:kern w:val="0"/>
          <w:sz w:val="24"/>
          <w:szCs w:val="24"/>
          <w:lang w:val="en-US" w:eastAsia="zh-CN" w:bidi="ar"/>
        </w:rPr>
        <w:t>2020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36</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2020</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日）</w:t>
      </w:r>
      <w:r>
        <w:rPr>
          <w:rFonts w:hint="eastAsia" w:ascii="宋体" w:hAnsi="宋体" w:cs="宋体"/>
          <w:color w:val="000000"/>
          <w:kern w:val="0"/>
          <w:sz w:val="24"/>
          <w:szCs w:val="24"/>
          <w:lang w:val="en-US" w:eastAsia="zh-CN" w:bidi="ar"/>
        </w:rPr>
        <w:t>。</w:t>
      </w:r>
    </w:p>
    <w:p>
      <w:pPr>
        <w:pStyle w:val="6"/>
        <w:numPr>
          <w:ilvl w:val="2"/>
          <w:numId w:val="4"/>
        </w:numPr>
        <w:tabs>
          <w:tab w:val="left" w:pos="1241"/>
        </w:tabs>
        <w:spacing w:line="360" w:lineRule="auto"/>
        <w:ind w:left="0" w:firstLine="562" w:firstLineChars="200"/>
        <w:jc w:val="both"/>
        <w:rPr>
          <w:rFonts w:ascii="Times New Roman" w:eastAsia="Times New Roman"/>
          <w:color w:val="000000" w:themeColor="text1"/>
        </w:rPr>
      </w:pPr>
      <w:bookmarkStart w:id="46" w:name="2.2.2_相关政策及部门规章"/>
      <w:bookmarkEnd w:id="46"/>
      <w:r>
        <w:rPr>
          <w:color w:val="000000" w:themeColor="text1"/>
        </w:rPr>
        <w:t>相关政策及部门规章</w:t>
      </w:r>
    </w:p>
    <w:p>
      <w:pPr>
        <w:keepNext w:val="0"/>
        <w:keepLines w:val="0"/>
        <w:widowControl/>
        <w:suppressLineNumbers w:val="0"/>
        <w:jc w:val="left"/>
        <w:rPr>
          <w:color w:val="000000" w:themeColor="text1"/>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）《产业结构调整指导目录（</w:t>
      </w:r>
      <w:r>
        <w:rPr>
          <w:rFonts w:hint="default" w:ascii="Times New Roman" w:hAnsi="Times New Roman" w:eastAsia="宋体" w:cs="Times New Roman"/>
          <w:color w:val="000000"/>
          <w:kern w:val="0"/>
          <w:sz w:val="24"/>
          <w:szCs w:val="24"/>
          <w:lang w:val="en-US" w:eastAsia="zh-CN" w:bidi="ar"/>
        </w:rPr>
        <w:t>20</w:t>
      </w:r>
      <w:r>
        <w:rPr>
          <w:rFonts w:hint="eastAsia"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年本）》；</w:t>
      </w:r>
    </w:p>
    <w:p>
      <w:pPr>
        <w:pStyle w:val="6"/>
        <w:numPr>
          <w:ilvl w:val="2"/>
          <w:numId w:val="4"/>
        </w:numPr>
        <w:tabs>
          <w:tab w:val="left" w:pos="1241"/>
        </w:tabs>
        <w:spacing w:line="360" w:lineRule="auto"/>
        <w:ind w:left="0" w:firstLine="562" w:firstLineChars="200"/>
        <w:jc w:val="both"/>
        <w:rPr>
          <w:rFonts w:ascii="Times New Roman" w:hAnsi="Times New Roman" w:eastAsia="Times New Roman" w:cs="Times New Roman"/>
        </w:rPr>
      </w:pPr>
      <w:bookmarkStart w:id="47" w:name="2.2.3_地方有关法律法规"/>
      <w:bookmarkEnd w:id="47"/>
      <w:r>
        <w:rPr>
          <w:rFonts w:ascii="Times New Roman" w:hAnsi="Times New Roman" w:cs="Times New Roman"/>
        </w:rPr>
        <w:t>地方有关法律法规</w:t>
      </w:r>
    </w:p>
    <w:p>
      <w:pPr>
        <w:pStyle w:val="41"/>
        <w:numPr>
          <w:ilvl w:val="0"/>
          <w:numId w:val="6"/>
        </w:numPr>
        <w:tabs>
          <w:tab w:val="left" w:pos="1621"/>
        </w:tabs>
        <w:spacing w:before="0"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《新疆维吾尔自治区环境保护条例》，新疆维吾尔自治区第十三届人大常委第六次会议，</w:t>
      </w:r>
      <w:r>
        <w:rPr>
          <w:rFonts w:ascii="Times New Roman" w:hAnsi="Times New Roman" w:eastAsia="Times New Roman" w:cs="Times New Roman"/>
          <w:sz w:val="24"/>
          <w:szCs w:val="24"/>
        </w:rPr>
        <w:t xml:space="preserve">2018 </w:t>
      </w:r>
      <w:r>
        <w:rPr>
          <w:rFonts w:ascii="Times New Roman" w:hAnsi="Times New Roman" w:cs="Times New Roman"/>
          <w:sz w:val="24"/>
          <w:szCs w:val="24"/>
        </w:rPr>
        <w:t xml:space="preserve">年 </w:t>
      </w:r>
      <w:r>
        <w:rPr>
          <w:rFonts w:ascii="Times New Roman" w:hAnsi="Times New Roman" w:eastAsia="Times New Roman" w:cs="Times New Roman"/>
          <w:sz w:val="24"/>
          <w:szCs w:val="24"/>
        </w:rPr>
        <w:t xml:space="preserve">9 </w:t>
      </w:r>
      <w:r>
        <w:rPr>
          <w:rFonts w:ascii="Times New Roman" w:hAnsi="Times New Roman" w:cs="Times New Roman"/>
          <w:sz w:val="24"/>
          <w:szCs w:val="24"/>
        </w:rPr>
        <w:t xml:space="preserve">月 </w:t>
      </w:r>
      <w:r>
        <w:rPr>
          <w:rFonts w:ascii="Times New Roman" w:hAnsi="Times New Roman" w:eastAsia="Times New Roman" w:cs="Times New Roman"/>
          <w:sz w:val="24"/>
          <w:szCs w:val="24"/>
        </w:rPr>
        <w:t xml:space="preserve">21 </w:t>
      </w:r>
      <w:r>
        <w:rPr>
          <w:rFonts w:ascii="Times New Roman" w:hAnsi="Times New Roman" w:cs="Times New Roman"/>
          <w:sz w:val="24"/>
          <w:szCs w:val="24"/>
        </w:rPr>
        <w:t>日；</w:t>
      </w:r>
    </w:p>
    <w:p>
      <w:pPr>
        <w:pStyle w:val="41"/>
        <w:numPr>
          <w:ilvl w:val="0"/>
          <w:numId w:val="6"/>
        </w:numPr>
        <w:tabs>
          <w:tab w:val="left" w:pos="1621"/>
        </w:tabs>
        <w:spacing w:before="0"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《新疆维吾尔自治区水环境功能区划》，</w:t>
      </w:r>
      <w:r>
        <w:rPr>
          <w:rFonts w:ascii="Times New Roman" w:hAnsi="Times New Roman" w:eastAsia="Times New Roman" w:cs="Times New Roman"/>
          <w:sz w:val="24"/>
          <w:szCs w:val="24"/>
        </w:rPr>
        <w:t xml:space="preserve">2004 </w:t>
      </w:r>
      <w:r>
        <w:rPr>
          <w:rFonts w:ascii="Times New Roman" w:hAnsi="Times New Roman" w:cs="Times New Roman"/>
          <w:sz w:val="24"/>
          <w:szCs w:val="24"/>
        </w:rPr>
        <w:t xml:space="preserve">年 </w:t>
      </w:r>
      <w:r>
        <w:rPr>
          <w:rFonts w:ascii="Times New Roman" w:hAnsi="Times New Roman" w:eastAsia="Times New Roman" w:cs="Times New Roman"/>
          <w:sz w:val="24"/>
          <w:szCs w:val="24"/>
        </w:rPr>
        <w:t xml:space="preserve">8 </w:t>
      </w:r>
      <w:r>
        <w:rPr>
          <w:rFonts w:ascii="Times New Roman" w:hAnsi="Times New Roman" w:cs="Times New Roman"/>
          <w:sz w:val="24"/>
          <w:szCs w:val="24"/>
        </w:rPr>
        <w:t>月；</w:t>
      </w:r>
    </w:p>
    <w:p>
      <w:pPr>
        <w:pStyle w:val="41"/>
        <w:numPr>
          <w:ilvl w:val="0"/>
          <w:numId w:val="6"/>
        </w:numPr>
        <w:tabs>
          <w:tab w:val="left" w:pos="1621"/>
        </w:tabs>
        <w:spacing w:before="0"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 xml:space="preserve">《新疆生态功能区划》，新疆维吾尔自治区人民政府，新政函 </w:t>
      </w:r>
      <w:r>
        <w:rPr>
          <w:rFonts w:ascii="Times New Roman" w:hAnsi="Times New Roman" w:eastAsia="Times New Roman" w:cs="Times New Roman"/>
          <w:sz w:val="24"/>
          <w:szCs w:val="24"/>
        </w:rPr>
        <w:t xml:space="preserve">96 </w:t>
      </w:r>
      <w:r>
        <w:rPr>
          <w:rFonts w:ascii="Times New Roman" w:hAnsi="Times New Roman" w:cs="Times New Roman"/>
          <w:sz w:val="24"/>
          <w:szCs w:val="24"/>
        </w:rPr>
        <w:t>号，</w:t>
      </w:r>
      <w:r>
        <w:rPr>
          <w:rFonts w:ascii="Times New Roman" w:hAnsi="Times New Roman" w:eastAsia="Times New Roman" w:cs="Times New Roman"/>
          <w:sz w:val="24"/>
          <w:szCs w:val="24"/>
        </w:rPr>
        <w:t xml:space="preserve">2005 </w:t>
      </w:r>
      <w:r>
        <w:rPr>
          <w:rFonts w:ascii="Times New Roman" w:hAnsi="Times New Roman" w:cs="Times New Roman"/>
          <w:sz w:val="24"/>
          <w:szCs w:val="24"/>
        </w:rPr>
        <w:t xml:space="preserve">年 </w:t>
      </w:r>
      <w:r>
        <w:rPr>
          <w:rFonts w:ascii="Times New Roman" w:hAnsi="Times New Roman" w:eastAsia="Times New Roman" w:cs="Times New Roman"/>
          <w:sz w:val="24"/>
          <w:szCs w:val="24"/>
        </w:rPr>
        <w:t xml:space="preserve">12 </w:t>
      </w:r>
      <w:r>
        <w:rPr>
          <w:rFonts w:ascii="Times New Roman" w:hAnsi="Times New Roman" w:cs="Times New Roman"/>
          <w:sz w:val="24"/>
          <w:szCs w:val="24"/>
        </w:rPr>
        <w:t xml:space="preserve">月 </w:t>
      </w:r>
      <w:r>
        <w:rPr>
          <w:rFonts w:ascii="Times New Roman" w:hAnsi="Times New Roman" w:eastAsia="Times New Roman" w:cs="Times New Roman"/>
          <w:sz w:val="24"/>
          <w:szCs w:val="24"/>
        </w:rPr>
        <w:t xml:space="preserve">21 </w:t>
      </w:r>
      <w:r>
        <w:rPr>
          <w:rFonts w:ascii="Times New Roman" w:hAnsi="Times New Roman" w:cs="Times New Roman"/>
          <w:sz w:val="24"/>
          <w:szCs w:val="24"/>
        </w:rPr>
        <w:t>日；</w:t>
      </w:r>
    </w:p>
    <w:p>
      <w:pPr>
        <w:pStyle w:val="41"/>
        <w:numPr>
          <w:ilvl w:val="0"/>
          <w:numId w:val="6"/>
        </w:numPr>
        <w:tabs>
          <w:tab w:val="left" w:pos="1621"/>
        </w:tabs>
        <w:spacing w:before="0"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《新疆维吾尔自治区大气污染防治条例》，</w:t>
      </w:r>
      <w:r>
        <w:rPr>
          <w:rFonts w:ascii="Times New Roman" w:hAnsi="Times New Roman" w:eastAsia="Times New Roman" w:cs="Times New Roman"/>
          <w:sz w:val="24"/>
          <w:szCs w:val="24"/>
        </w:rPr>
        <w:t xml:space="preserve">2018 </w:t>
      </w:r>
      <w:r>
        <w:rPr>
          <w:rFonts w:ascii="Times New Roman" w:hAnsi="Times New Roman" w:cs="Times New Roman"/>
          <w:sz w:val="24"/>
          <w:szCs w:val="24"/>
        </w:rPr>
        <w:t xml:space="preserve">年第 </w:t>
      </w:r>
      <w:r>
        <w:rPr>
          <w:rFonts w:ascii="Times New Roman" w:hAnsi="Times New Roman" w:eastAsia="Times New Roman" w:cs="Times New Roman"/>
          <w:sz w:val="24"/>
          <w:szCs w:val="24"/>
        </w:rPr>
        <w:t xml:space="preserve">15 </w:t>
      </w:r>
      <w:r>
        <w:rPr>
          <w:rFonts w:ascii="Times New Roman" w:hAnsi="Times New Roman" w:cs="Times New Roman"/>
          <w:sz w:val="24"/>
          <w:szCs w:val="24"/>
        </w:rPr>
        <w:t>号，</w:t>
      </w:r>
      <w:r>
        <w:rPr>
          <w:rFonts w:ascii="Times New Roman" w:hAnsi="Times New Roman" w:eastAsia="Times New Roman" w:cs="Times New Roman"/>
          <w:sz w:val="24"/>
          <w:szCs w:val="24"/>
        </w:rPr>
        <w:t xml:space="preserve">2019 </w:t>
      </w:r>
      <w:r>
        <w:rPr>
          <w:rFonts w:ascii="Times New Roman" w:hAnsi="Times New Roman" w:cs="Times New Roman"/>
          <w:sz w:val="24"/>
          <w:szCs w:val="24"/>
        </w:rPr>
        <w:t>年</w:t>
      </w:r>
      <w:r>
        <w:rPr>
          <w:rFonts w:ascii="Times New Roman" w:hAnsi="Times New Roman" w:eastAsia="Times New Roman" w:cs="Times New Roman"/>
          <w:sz w:val="24"/>
          <w:szCs w:val="24"/>
        </w:rPr>
        <w:t xml:space="preserve">1 </w:t>
      </w:r>
      <w:r>
        <w:rPr>
          <w:rFonts w:ascii="Times New Roman" w:hAnsi="Times New Roman" w:cs="Times New Roman"/>
          <w:sz w:val="24"/>
          <w:szCs w:val="24"/>
        </w:rPr>
        <w:t xml:space="preserve">月 </w:t>
      </w:r>
      <w:r>
        <w:rPr>
          <w:rFonts w:ascii="Times New Roman" w:hAnsi="Times New Roman" w:eastAsia="Times New Roman" w:cs="Times New Roman"/>
          <w:sz w:val="24"/>
          <w:szCs w:val="24"/>
        </w:rPr>
        <w:t xml:space="preserve">1 </w:t>
      </w:r>
      <w:r>
        <w:rPr>
          <w:rFonts w:ascii="Times New Roman" w:hAnsi="Times New Roman" w:cs="Times New Roman"/>
          <w:sz w:val="24"/>
          <w:szCs w:val="24"/>
        </w:rPr>
        <w:t>日；</w:t>
      </w:r>
    </w:p>
    <w:p>
      <w:pPr>
        <w:pStyle w:val="41"/>
        <w:numPr>
          <w:ilvl w:val="0"/>
          <w:numId w:val="6"/>
        </w:numPr>
        <w:tabs>
          <w:tab w:val="left" w:pos="1621"/>
        </w:tabs>
        <w:spacing w:before="0"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《关于印发新疆维吾尔自治区水污染防治工作方案的通知》，新政发［</w:t>
      </w:r>
      <w:r>
        <w:rPr>
          <w:rFonts w:ascii="Times New Roman" w:hAnsi="Times New Roman" w:eastAsia="Times New Roman" w:cs="Times New Roman"/>
          <w:sz w:val="24"/>
          <w:szCs w:val="24"/>
        </w:rPr>
        <w:t>2016</w:t>
      </w:r>
      <w:r>
        <w:rPr>
          <w:rFonts w:ascii="Times New Roman" w:hAnsi="Times New Roman" w:cs="Times New Roman"/>
          <w:sz w:val="24"/>
          <w:szCs w:val="24"/>
        </w:rPr>
        <w:t>］</w:t>
      </w:r>
      <w:r>
        <w:rPr>
          <w:rFonts w:ascii="Times New Roman" w:hAnsi="Times New Roman" w:eastAsia="Times New Roman" w:cs="Times New Roman"/>
          <w:sz w:val="24"/>
          <w:szCs w:val="24"/>
        </w:rPr>
        <w:t xml:space="preserve">21 </w:t>
      </w:r>
      <w:r>
        <w:rPr>
          <w:rFonts w:ascii="Times New Roman" w:hAnsi="Times New Roman" w:cs="Times New Roman"/>
          <w:sz w:val="24"/>
          <w:szCs w:val="24"/>
        </w:rPr>
        <w:t>号，</w:t>
      </w:r>
      <w:r>
        <w:rPr>
          <w:rFonts w:ascii="Times New Roman" w:hAnsi="Times New Roman" w:eastAsia="Times New Roman" w:cs="Times New Roman"/>
          <w:sz w:val="24"/>
          <w:szCs w:val="24"/>
        </w:rPr>
        <w:t xml:space="preserve">2016 </w:t>
      </w:r>
      <w:r>
        <w:rPr>
          <w:rFonts w:ascii="Times New Roman" w:hAnsi="Times New Roman" w:cs="Times New Roman"/>
          <w:sz w:val="24"/>
          <w:szCs w:val="24"/>
        </w:rPr>
        <w:t xml:space="preserve">年 </w:t>
      </w:r>
      <w:r>
        <w:rPr>
          <w:rFonts w:ascii="Times New Roman" w:hAnsi="Times New Roman" w:eastAsia="Times New Roman" w:cs="Times New Roman"/>
          <w:sz w:val="24"/>
          <w:szCs w:val="24"/>
        </w:rPr>
        <w:t xml:space="preserve">1 </w:t>
      </w:r>
      <w:r>
        <w:rPr>
          <w:rFonts w:ascii="Times New Roman" w:hAnsi="Times New Roman" w:cs="Times New Roman"/>
          <w:sz w:val="24"/>
          <w:szCs w:val="24"/>
        </w:rPr>
        <w:t xml:space="preserve">月 </w:t>
      </w:r>
      <w:r>
        <w:rPr>
          <w:rFonts w:ascii="Times New Roman" w:hAnsi="Times New Roman" w:eastAsia="Times New Roman" w:cs="Times New Roman"/>
          <w:sz w:val="24"/>
          <w:szCs w:val="24"/>
        </w:rPr>
        <w:t xml:space="preserve">29 </w:t>
      </w:r>
      <w:r>
        <w:rPr>
          <w:rFonts w:ascii="Times New Roman" w:hAnsi="Times New Roman" w:cs="Times New Roman"/>
          <w:sz w:val="24"/>
          <w:szCs w:val="24"/>
        </w:rPr>
        <w:t>日；</w:t>
      </w:r>
    </w:p>
    <w:p>
      <w:pPr>
        <w:pStyle w:val="41"/>
        <w:numPr>
          <w:ilvl w:val="0"/>
          <w:numId w:val="6"/>
        </w:numPr>
        <w:tabs>
          <w:tab w:val="left" w:pos="1621"/>
        </w:tabs>
        <w:spacing w:before="0" w:line="360" w:lineRule="auto"/>
        <w:ind w:firstLine="480" w:firstLineChars="200"/>
        <w:jc w:val="both"/>
        <w:rPr>
          <w:rFonts w:ascii="Times New Roman" w:hAnsi="Times New Roman" w:cs="Times New Roman"/>
          <w:color w:val="000000" w:themeColor="text1"/>
          <w:sz w:val="24"/>
          <w:szCs w:val="24"/>
        </w:rPr>
      </w:pPr>
      <w:r>
        <w:rPr>
          <w:rFonts w:ascii="Times New Roman" w:hAnsi="Times New Roman" w:cs="Times New Roman"/>
          <w:sz w:val="24"/>
          <w:szCs w:val="24"/>
        </w:rPr>
        <w:t>《</w:t>
      </w:r>
      <w:r>
        <w:rPr>
          <w:rFonts w:ascii="Times New Roman" w:hAnsi="Times New Roman" w:cs="Times New Roman"/>
          <w:color w:val="000000" w:themeColor="text1"/>
          <w:sz w:val="24"/>
          <w:szCs w:val="24"/>
        </w:rPr>
        <w:t>关于印发新疆维吾尔自治区土壤污染防治工作方案的通知》，新政发［</w:t>
      </w:r>
      <w:r>
        <w:rPr>
          <w:rFonts w:ascii="Times New Roman" w:hAnsi="Times New Roman" w:eastAsia="Times New Roman" w:cs="Times New Roman"/>
          <w:color w:val="000000" w:themeColor="text1"/>
          <w:sz w:val="24"/>
          <w:szCs w:val="24"/>
        </w:rPr>
        <w:t>2017</w:t>
      </w:r>
      <w:r>
        <w:rPr>
          <w:rFonts w:ascii="Times New Roman" w:hAnsi="Times New Roman" w:cs="Times New Roman"/>
          <w:color w:val="000000" w:themeColor="text1"/>
          <w:sz w:val="24"/>
          <w:szCs w:val="24"/>
        </w:rPr>
        <w:t>］</w:t>
      </w:r>
      <w:r>
        <w:rPr>
          <w:rFonts w:ascii="Times New Roman" w:hAnsi="Times New Roman" w:eastAsia="Times New Roman" w:cs="Times New Roman"/>
          <w:color w:val="000000" w:themeColor="text1"/>
          <w:sz w:val="24"/>
          <w:szCs w:val="24"/>
        </w:rPr>
        <w:t xml:space="preserve">25 </w:t>
      </w:r>
      <w:r>
        <w:rPr>
          <w:rFonts w:ascii="Times New Roman" w:hAnsi="Times New Roman" w:cs="Times New Roman"/>
          <w:color w:val="000000" w:themeColor="text1"/>
          <w:sz w:val="24"/>
          <w:szCs w:val="24"/>
        </w:rPr>
        <w:t>号，</w:t>
      </w:r>
      <w:r>
        <w:rPr>
          <w:rFonts w:ascii="Times New Roman" w:hAnsi="Times New Roman" w:eastAsia="Times New Roman" w:cs="Times New Roman"/>
          <w:color w:val="000000" w:themeColor="text1"/>
          <w:sz w:val="24"/>
          <w:szCs w:val="24"/>
        </w:rPr>
        <w:t xml:space="preserve">2017 </w:t>
      </w:r>
      <w:r>
        <w:rPr>
          <w:rFonts w:ascii="Times New Roman" w:hAnsi="Times New Roman" w:cs="Times New Roman"/>
          <w:color w:val="000000" w:themeColor="text1"/>
          <w:sz w:val="24"/>
          <w:szCs w:val="24"/>
        </w:rPr>
        <w:t xml:space="preserve">年 </w:t>
      </w:r>
      <w:r>
        <w:rPr>
          <w:rFonts w:ascii="Times New Roman" w:hAnsi="Times New Roman" w:eastAsia="Times New Roman" w:cs="Times New Roman"/>
          <w:color w:val="000000" w:themeColor="text1"/>
          <w:sz w:val="24"/>
          <w:szCs w:val="24"/>
        </w:rPr>
        <w:t xml:space="preserve">3 </w:t>
      </w:r>
      <w:r>
        <w:rPr>
          <w:rFonts w:ascii="Times New Roman" w:hAnsi="Times New Roman" w:cs="Times New Roman"/>
          <w:color w:val="000000" w:themeColor="text1"/>
          <w:sz w:val="24"/>
          <w:szCs w:val="24"/>
        </w:rPr>
        <w:t xml:space="preserve">月 </w:t>
      </w:r>
      <w:r>
        <w:rPr>
          <w:rFonts w:ascii="Times New Roman" w:hAnsi="Times New Roman" w:eastAsia="Times New Roman" w:cs="Times New Roman"/>
          <w:color w:val="000000" w:themeColor="text1"/>
          <w:sz w:val="24"/>
          <w:szCs w:val="24"/>
        </w:rPr>
        <w:t xml:space="preserve">1 </w:t>
      </w:r>
      <w:r>
        <w:rPr>
          <w:rFonts w:ascii="Times New Roman" w:hAnsi="Times New Roman" w:cs="Times New Roman"/>
          <w:color w:val="000000" w:themeColor="text1"/>
          <w:sz w:val="24"/>
          <w:szCs w:val="24"/>
        </w:rPr>
        <w:t>日；</w:t>
      </w:r>
    </w:p>
    <w:p>
      <w:pPr>
        <w:pStyle w:val="41"/>
        <w:numPr>
          <w:ilvl w:val="0"/>
          <w:numId w:val="6"/>
        </w:numPr>
        <w:tabs>
          <w:tab w:val="left" w:pos="1732"/>
        </w:tabs>
        <w:spacing w:before="0" w:line="360" w:lineRule="auto"/>
        <w:ind w:firstLine="480" w:firstLineChars="2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bidi="ar"/>
        </w:rPr>
        <w:t>《自治区打赢蓝天保卫战三年行动计划（2018-2020 年）》（新发政[2018]66号），2018年9月20日。</w:t>
      </w:r>
    </w:p>
    <w:p>
      <w:pPr>
        <w:pStyle w:val="41"/>
        <w:numPr>
          <w:ilvl w:val="0"/>
          <w:numId w:val="6"/>
        </w:numPr>
        <w:tabs>
          <w:tab w:val="left" w:pos="1732"/>
        </w:tabs>
        <w:spacing w:before="0" w:line="360" w:lineRule="auto"/>
        <w:ind w:firstLine="480" w:firstLineChars="2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bidi="ar"/>
        </w:rPr>
        <w:t>《新疆维吾尔自治区“三线一单”生态环境分区管控方案》（新政发[2021]18号），2021年2月21日。</w:t>
      </w:r>
    </w:p>
    <w:p>
      <w:pPr>
        <w:pStyle w:val="41"/>
        <w:numPr>
          <w:ilvl w:val="0"/>
          <w:numId w:val="6"/>
        </w:numPr>
        <w:tabs>
          <w:tab w:val="left" w:pos="1732"/>
        </w:tabs>
        <w:spacing w:before="0" w:line="360" w:lineRule="auto"/>
        <w:ind w:firstLine="480" w:firstLineChars="2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bidi="ar"/>
        </w:rPr>
        <w:t>《新疆维吾尔自治区主体功能区规划》，2016年10月24日。</w:t>
      </w:r>
    </w:p>
    <w:p>
      <w:pPr>
        <w:pStyle w:val="41"/>
        <w:numPr>
          <w:ilvl w:val="0"/>
          <w:numId w:val="6"/>
        </w:numPr>
        <w:tabs>
          <w:tab w:val="left" w:pos="1732"/>
        </w:tabs>
        <w:spacing w:before="0" w:line="360" w:lineRule="auto"/>
        <w:ind w:firstLine="480" w:firstLineChars="2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bidi="ar"/>
        </w:rPr>
        <w:t>《新疆维吾尔自治区排污许可证管理暂行办法》，2015年5月11日。</w:t>
      </w:r>
    </w:p>
    <w:p>
      <w:pPr>
        <w:pStyle w:val="41"/>
        <w:numPr>
          <w:ilvl w:val="0"/>
          <w:numId w:val="6"/>
        </w:numPr>
        <w:tabs>
          <w:tab w:val="left" w:pos="1732"/>
        </w:tabs>
        <w:spacing w:before="0" w:line="360" w:lineRule="auto"/>
        <w:ind w:firstLine="480" w:firstLineChars="2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bidi="ar"/>
        </w:rPr>
        <w:t>《新疆维吾尔自治区国民经济和社会发展第十四个五年规划和 2035 年远景目标纲要》</w:t>
      </w:r>
      <w:r>
        <w:rPr>
          <w:rFonts w:hint="eastAsia" w:ascii="Times New Roman" w:hAnsi="Times New Roman" w:cs="Times New Roman"/>
          <w:color w:val="000000" w:themeColor="text1"/>
          <w:sz w:val="24"/>
          <w:szCs w:val="24"/>
          <w:lang w:val="en-US" w:bidi="ar"/>
        </w:rPr>
        <w:t>，2021年6月4日。</w:t>
      </w:r>
    </w:p>
    <w:p>
      <w:pPr>
        <w:pStyle w:val="6"/>
        <w:numPr>
          <w:ilvl w:val="2"/>
          <w:numId w:val="4"/>
        </w:numPr>
        <w:tabs>
          <w:tab w:val="left" w:pos="1241"/>
        </w:tabs>
        <w:spacing w:line="360" w:lineRule="auto"/>
        <w:ind w:left="0" w:firstLine="562" w:firstLineChars="200"/>
        <w:jc w:val="both"/>
        <w:rPr>
          <w:rFonts w:ascii="Times New Roman" w:eastAsia="Times New Roman"/>
        </w:rPr>
      </w:pPr>
      <w:bookmarkStart w:id="48" w:name="2.2.4_相关导则及技术规范依据"/>
      <w:bookmarkEnd w:id="48"/>
      <w:r>
        <w:t>相关导则及技术规范依据</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）《环境影响评价技术导则 总纲》（</w:t>
      </w:r>
      <w:r>
        <w:rPr>
          <w:rFonts w:hint="default" w:ascii="Times New Roman" w:hAnsi="Times New Roman" w:eastAsia="宋体" w:cs="Times New Roman"/>
          <w:color w:val="000000"/>
          <w:kern w:val="0"/>
          <w:sz w:val="24"/>
          <w:szCs w:val="24"/>
          <w:lang w:val="en-US" w:eastAsia="zh-CN" w:bidi="ar"/>
        </w:rPr>
        <w:t>HJ2.1-2016</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）《环境影响评价技术导则 大气环境》（</w:t>
      </w:r>
      <w:r>
        <w:rPr>
          <w:rFonts w:hint="default" w:ascii="Times New Roman" w:hAnsi="Times New Roman" w:eastAsia="宋体" w:cs="Times New Roman"/>
          <w:color w:val="000000"/>
          <w:kern w:val="0"/>
          <w:sz w:val="24"/>
          <w:szCs w:val="24"/>
          <w:lang w:val="en-US" w:eastAsia="zh-CN" w:bidi="ar"/>
        </w:rPr>
        <w:t>HJ2.2-2018</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）《环境影响评价技术导则 声环境》（</w:t>
      </w:r>
      <w:r>
        <w:rPr>
          <w:rFonts w:hint="default" w:ascii="Times New Roman" w:hAnsi="Times New Roman" w:eastAsia="宋体" w:cs="Times New Roman"/>
          <w:color w:val="000000"/>
          <w:kern w:val="0"/>
          <w:sz w:val="24"/>
          <w:szCs w:val="24"/>
          <w:lang w:val="en-US" w:eastAsia="zh-CN" w:bidi="ar"/>
        </w:rPr>
        <w:t>HJ2.4-2021</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）《环境影响评价技术导则 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）《环境影响评价技术导则 地表水环境》（</w:t>
      </w:r>
      <w:r>
        <w:rPr>
          <w:rFonts w:hint="default" w:ascii="Times New Roman" w:hAnsi="Times New Roman" w:eastAsia="宋体" w:cs="Times New Roman"/>
          <w:color w:val="000000"/>
          <w:kern w:val="0"/>
          <w:sz w:val="24"/>
          <w:szCs w:val="24"/>
          <w:lang w:val="en-US" w:eastAsia="zh-CN" w:bidi="ar"/>
        </w:rPr>
        <w:t>HJ2.3-2018</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）《环境影响评价技术导则 土壤环境（试行）》（</w:t>
      </w:r>
      <w:r>
        <w:rPr>
          <w:rFonts w:hint="default" w:ascii="Times New Roman" w:hAnsi="Times New Roman" w:eastAsia="宋体" w:cs="Times New Roman"/>
          <w:color w:val="000000"/>
          <w:kern w:val="0"/>
          <w:sz w:val="24"/>
          <w:szCs w:val="24"/>
          <w:lang w:val="en-US" w:eastAsia="zh-CN" w:bidi="ar"/>
        </w:rPr>
        <w:t>HJ964—2018</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）《环境影响评价技术导则 生态影响》（</w:t>
      </w:r>
      <w:r>
        <w:rPr>
          <w:rFonts w:hint="default" w:ascii="Times New Roman" w:hAnsi="Times New Roman" w:eastAsia="宋体" w:cs="Times New Roman"/>
          <w:color w:val="000000"/>
          <w:kern w:val="0"/>
          <w:sz w:val="24"/>
          <w:szCs w:val="24"/>
          <w:lang w:val="en-US" w:eastAsia="zh-CN" w:bidi="ar"/>
        </w:rPr>
        <w:t>HJ19-2022</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）《建设项目环境风险评价技术导则》（</w:t>
      </w:r>
      <w:r>
        <w:rPr>
          <w:rFonts w:hint="default" w:ascii="Times New Roman" w:hAnsi="Times New Roman" w:eastAsia="宋体" w:cs="Times New Roman"/>
          <w:color w:val="000000"/>
          <w:kern w:val="0"/>
          <w:sz w:val="24"/>
          <w:szCs w:val="24"/>
          <w:lang w:val="en-US" w:eastAsia="zh-CN" w:bidi="ar"/>
        </w:rPr>
        <w:t>HJ169-2018</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）《固体废物处理处置工程技术导则》（</w:t>
      </w:r>
      <w:r>
        <w:rPr>
          <w:rFonts w:hint="default" w:ascii="Times New Roman" w:hAnsi="Times New Roman" w:eastAsia="宋体" w:cs="Times New Roman"/>
          <w:color w:val="000000"/>
          <w:kern w:val="0"/>
          <w:sz w:val="24"/>
          <w:szCs w:val="24"/>
          <w:lang w:val="en-US" w:eastAsia="zh-CN" w:bidi="ar"/>
        </w:rPr>
        <w:t>HJ2035-2013</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）《排污单位自行监测技术指南 总则》（</w:t>
      </w:r>
      <w:r>
        <w:rPr>
          <w:rFonts w:hint="default" w:ascii="Times New Roman" w:hAnsi="Times New Roman" w:eastAsia="宋体" w:cs="Times New Roman"/>
          <w:color w:val="000000"/>
          <w:kern w:val="0"/>
          <w:sz w:val="24"/>
          <w:szCs w:val="24"/>
          <w:lang w:val="en-US" w:eastAsia="zh-CN" w:bidi="ar"/>
        </w:rPr>
        <w:t>HJ819-2017</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）《排污单位自行监测技术指南 火力发电及锅炉》（</w:t>
      </w:r>
      <w:r>
        <w:rPr>
          <w:rFonts w:hint="default" w:ascii="Times New Roman" w:hAnsi="Times New Roman" w:eastAsia="宋体" w:cs="Times New Roman"/>
          <w:color w:val="000000"/>
          <w:kern w:val="0"/>
          <w:sz w:val="24"/>
          <w:szCs w:val="24"/>
          <w:lang w:val="en-US" w:eastAsia="zh-CN" w:bidi="ar"/>
        </w:rPr>
        <w:t>HJ820-2017</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 xml:space="preserve">）《国家危险废物名录 </w:t>
      </w:r>
      <w:r>
        <w:rPr>
          <w:rFonts w:hint="default" w:ascii="Times New Roman" w:hAnsi="Times New Roman" w:eastAsia="宋体" w:cs="Times New Roman"/>
          <w:color w:val="000000"/>
          <w:kern w:val="0"/>
          <w:sz w:val="24"/>
          <w:szCs w:val="24"/>
          <w:lang w:val="en-US" w:eastAsia="zh-CN" w:bidi="ar"/>
        </w:rPr>
        <w:t xml:space="preserve">2021 </w:t>
      </w:r>
      <w:r>
        <w:rPr>
          <w:rFonts w:hint="eastAsia" w:ascii="宋体" w:hAnsi="宋体" w:eastAsia="宋体" w:cs="宋体"/>
          <w:color w:val="000000"/>
          <w:kern w:val="0"/>
          <w:sz w:val="24"/>
          <w:szCs w:val="24"/>
          <w:lang w:val="en-US" w:eastAsia="zh-CN" w:bidi="ar"/>
        </w:rPr>
        <w:t>版》（</w:t>
      </w:r>
      <w:r>
        <w:rPr>
          <w:rFonts w:hint="default" w:ascii="Times New Roman" w:hAnsi="Times New Roman" w:eastAsia="宋体" w:cs="Times New Roman"/>
          <w:color w:val="000000"/>
          <w:kern w:val="0"/>
          <w:sz w:val="24"/>
          <w:szCs w:val="24"/>
          <w:lang w:val="en-US" w:eastAsia="zh-CN" w:bidi="ar"/>
        </w:rPr>
        <w:t xml:space="preserve">2020 </w:t>
      </w: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11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5 </w:t>
      </w:r>
      <w:r>
        <w:rPr>
          <w:rFonts w:hint="eastAsia" w:ascii="宋体" w:hAnsi="宋体" w:eastAsia="宋体" w:cs="宋体"/>
          <w:color w:val="000000"/>
          <w:kern w:val="0"/>
          <w:sz w:val="24"/>
          <w:szCs w:val="24"/>
          <w:lang w:val="en-US" w:eastAsia="zh-CN" w:bidi="ar"/>
        </w:rPr>
        <w:t>日）；</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13</w:t>
      </w:r>
      <w:r>
        <w:rPr>
          <w:rFonts w:hint="eastAsia" w:ascii="宋体" w:hAnsi="宋体" w:eastAsia="宋体" w:cs="宋体"/>
          <w:color w:val="000000"/>
          <w:kern w:val="0"/>
          <w:sz w:val="24"/>
          <w:szCs w:val="24"/>
          <w:lang w:val="en-US" w:eastAsia="zh-CN" w:bidi="ar"/>
        </w:rPr>
        <w:t>）《污染源源强核算技术指南 准则》（</w:t>
      </w:r>
      <w:r>
        <w:rPr>
          <w:rFonts w:hint="default" w:ascii="Times New Roman" w:hAnsi="Times New Roman" w:eastAsia="宋体" w:cs="Times New Roman"/>
          <w:color w:val="000000"/>
          <w:kern w:val="0"/>
          <w:sz w:val="24"/>
          <w:szCs w:val="24"/>
          <w:lang w:val="en-US" w:eastAsia="zh-CN" w:bidi="ar"/>
        </w:rPr>
        <w:t>HJ884-2018</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14</w:t>
      </w:r>
      <w:r>
        <w:rPr>
          <w:rFonts w:hint="eastAsia" w:ascii="宋体" w:hAnsi="宋体" w:eastAsia="宋体" w:cs="宋体"/>
          <w:color w:val="000000"/>
          <w:kern w:val="0"/>
          <w:sz w:val="24"/>
          <w:szCs w:val="24"/>
          <w:lang w:val="en-US" w:eastAsia="zh-CN" w:bidi="ar"/>
        </w:rPr>
        <w:t>）《污染源源强核算技术指南 火电》（</w:t>
      </w:r>
      <w:r>
        <w:rPr>
          <w:rFonts w:hint="default" w:ascii="Times New Roman" w:hAnsi="Times New Roman" w:eastAsia="宋体" w:cs="Times New Roman"/>
          <w:color w:val="000000"/>
          <w:kern w:val="0"/>
          <w:sz w:val="24"/>
          <w:szCs w:val="24"/>
          <w:lang w:val="en-US" w:eastAsia="zh-CN" w:bidi="ar"/>
        </w:rPr>
        <w:t>HJ888—2018</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w:t>
      </w:r>
      <w:r>
        <w:rPr>
          <w:rFonts w:hint="eastAsia" w:ascii="宋体" w:hAnsi="宋体" w:eastAsia="宋体" w:cs="宋体"/>
          <w:color w:val="000000"/>
          <w:kern w:val="0"/>
          <w:sz w:val="24"/>
          <w:szCs w:val="24"/>
          <w:lang w:val="en-US" w:eastAsia="zh-CN" w:bidi="ar"/>
        </w:rPr>
        <w:t>）《固废废物鉴别标准通则》（</w:t>
      </w:r>
      <w:r>
        <w:rPr>
          <w:rFonts w:hint="default" w:ascii="Times New Roman" w:hAnsi="Times New Roman" w:eastAsia="宋体" w:cs="Times New Roman"/>
          <w:color w:val="000000"/>
          <w:kern w:val="0"/>
          <w:sz w:val="24"/>
          <w:szCs w:val="24"/>
          <w:lang w:val="en-US" w:eastAsia="zh-CN" w:bidi="ar"/>
        </w:rPr>
        <w:t>GB34330-2017</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16</w:t>
      </w:r>
      <w:r>
        <w:rPr>
          <w:rFonts w:hint="eastAsia" w:ascii="宋体" w:hAnsi="宋体" w:eastAsia="宋体" w:cs="宋体"/>
          <w:color w:val="000000"/>
          <w:kern w:val="0"/>
          <w:sz w:val="24"/>
          <w:szCs w:val="24"/>
          <w:lang w:val="en-US" w:eastAsia="zh-CN" w:bidi="ar"/>
        </w:rPr>
        <w:t>）《一般工业固体废物贮存、处置场污染控制标准》（</w:t>
      </w:r>
      <w:r>
        <w:rPr>
          <w:rFonts w:hint="default" w:ascii="Times New Roman" w:hAnsi="Times New Roman" w:eastAsia="宋体" w:cs="Times New Roman"/>
          <w:color w:val="000000"/>
          <w:kern w:val="0"/>
          <w:sz w:val="24"/>
          <w:szCs w:val="24"/>
          <w:lang w:val="en-US" w:eastAsia="zh-CN" w:bidi="ar"/>
        </w:rPr>
        <w:t>GB18599-2020</w:t>
      </w:r>
      <w:r>
        <w:rPr>
          <w:rFonts w:hint="eastAsia" w:ascii="宋体" w:hAnsi="宋体" w:eastAsia="宋体" w:cs="宋体"/>
          <w:color w:val="000000"/>
          <w:kern w:val="0"/>
          <w:sz w:val="24"/>
          <w:szCs w:val="24"/>
          <w:lang w:val="en-US" w:eastAsia="zh-CN" w:bidi="ar"/>
        </w:rPr>
        <w:t>）；</w:t>
      </w:r>
    </w:p>
    <w:p>
      <w:pPr>
        <w:pStyle w:val="41"/>
        <w:numPr>
          <w:ilvl w:val="0"/>
          <w:numId w:val="0"/>
        </w:numPr>
        <w:tabs>
          <w:tab w:val="left" w:pos="1741"/>
        </w:tabs>
        <w:spacing w:before="0" w:line="360" w:lineRule="auto"/>
        <w:ind w:leftChars="200"/>
        <w:jc w:val="both"/>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17</w:t>
      </w:r>
      <w:r>
        <w:rPr>
          <w:rFonts w:hint="eastAsia" w:ascii="宋体" w:hAnsi="宋体" w:eastAsia="宋体" w:cs="宋体"/>
          <w:color w:val="000000"/>
          <w:kern w:val="0"/>
          <w:sz w:val="24"/>
          <w:szCs w:val="24"/>
          <w:lang w:val="en-US" w:eastAsia="zh-CN" w:bidi="ar"/>
        </w:rPr>
        <w:t>）《排污许可证申请与核发技术规范 总则》（</w:t>
      </w:r>
      <w:r>
        <w:rPr>
          <w:rFonts w:hint="default" w:ascii="Times New Roman" w:hAnsi="Times New Roman" w:eastAsia="宋体" w:cs="Times New Roman"/>
          <w:color w:val="000000"/>
          <w:kern w:val="0"/>
          <w:sz w:val="24"/>
          <w:szCs w:val="24"/>
          <w:lang w:val="en-US" w:eastAsia="zh-CN" w:bidi="ar"/>
        </w:rPr>
        <w:t>HJ942-2018</w:t>
      </w:r>
      <w:r>
        <w:rPr>
          <w:rFonts w:hint="eastAsia" w:ascii="宋体" w:hAnsi="宋体" w:eastAsia="宋体" w:cs="宋体"/>
          <w:color w:val="000000"/>
          <w:kern w:val="0"/>
          <w:sz w:val="24"/>
          <w:szCs w:val="24"/>
          <w:lang w:val="en-US" w:eastAsia="zh-CN" w:bidi="ar"/>
        </w:rPr>
        <w:t>）。</w:t>
      </w:r>
    </w:p>
    <w:p>
      <w:pPr>
        <w:pStyle w:val="6"/>
        <w:numPr>
          <w:ilvl w:val="2"/>
          <w:numId w:val="4"/>
        </w:numPr>
        <w:tabs>
          <w:tab w:val="left" w:pos="1241"/>
        </w:tabs>
        <w:spacing w:line="360" w:lineRule="auto"/>
        <w:ind w:left="0" w:firstLine="562" w:firstLineChars="200"/>
        <w:jc w:val="both"/>
        <w:rPr>
          <w:rFonts w:ascii="Times New Roman" w:eastAsia="Times New Roman"/>
        </w:rPr>
      </w:pPr>
      <w:bookmarkStart w:id="49" w:name="2.2.5_项目编制依据"/>
      <w:bookmarkEnd w:id="49"/>
      <w:r>
        <w:t>项目编制依据</w:t>
      </w:r>
    </w:p>
    <w:p>
      <w:pPr>
        <w:pStyle w:val="41"/>
        <w:numPr>
          <w:ilvl w:val="0"/>
          <w:numId w:val="7"/>
        </w:numPr>
        <w:tabs>
          <w:tab w:val="left" w:pos="1621"/>
        </w:tabs>
        <w:spacing w:before="0" w:line="360" w:lineRule="auto"/>
        <w:ind w:firstLine="480" w:firstLineChars="200"/>
        <w:jc w:val="both"/>
        <w:rPr>
          <w:sz w:val="24"/>
        </w:rPr>
      </w:pPr>
      <w:r>
        <w:rPr>
          <w:sz w:val="24"/>
        </w:rPr>
        <w:t>《</w:t>
      </w:r>
      <w:r>
        <w:rPr>
          <w:rFonts w:hint="eastAsia"/>
          <w:sz w:val="24"/>
          <w:lang w:eastAsia="zh-CN"/>
        </w:rPr>
        <w:t>中粮糖业额敏工厂90吨/小时锅炉技改项目可行性研究报告</w:t>
      </w:r>
      <w:r>
        <w:rPr>
          <w:sz w:val="24"/>
        </w:rPr>
        <w:t>》，</w:t>
      </w:r>
      <w:r>
        <w:rPr>
          <w:rFonts w:ascii="Times New Roman" w:eastAsia="Times New Roman"/>
          <w:sz w:val="24"/>
        </w:rPr>
        <w:t>202</w:t>
      </w:r>
      <w:r>
        <w:rPr>
          <w:rFonts w:hint="eastAsia"/>
          <w:sz w:val="24"/>
          <w:lang w:val="en-US" w:eastAsia="zh-CN"/>
        </w:rPr>
        <w:t>3</w:t>
      </w:r>
      <w:r>
        <w:rPr>
          <w:sz w:val="24"/>
        </w:rPr>
        <w:t>年</w:t>
      </w:r>
      <w:r>
        <w:rPr>
          <w:rFonts w:hint="eastAsia"/>
          <w:sz w:val="24"/>
          <w:lang w:val="en-US" w:eastAsia="zh-CN"/>
        </w:rPr>
        <w:t>5</w:t>
      </w:r>
      <w:r>
        <w:rPr>
          <w:sz w:val="24"/>
        </w:rPr>
        <w:t>月；</w:t>
      </w:r>
    </w:p>
    <w:p>
      <w:pPr>
        <w:pStyle w:val="41"/>
        <w:numPr>
          <w:ilvl w:val="0"/>
          <w:numId w:val="7"/>
        </w:numPr>
        <w:tabs>
          <w:tab w:val="left" w:pos="1621"/>
        </w:tabs>
        <w:spacing w:before="0" w:line="360" w:lineRule="auto"/>
        <w:ind w:firstLine="480" w:firstLineChars="200"/>
        <w:jc w:val="both"/>
        <w:rPr>
          <w:sz w:val="24"/>
        </w:rPr>
      </w:pPr>
      <w:r>
        <w:rPr>
          <w:sz w:val="24"/>
        </w:rPr>
        <w:t>现状检测报告；</w:t>
      </w:r>
    </w:p>
    <w:p>
      <w:pPr>
        <w:pStyle w:val="41"/>
        <w:numPr>
          <w:ilvl w:val="0"/>
          <w:numId w:val="7"/>
        </w:numPr>
        <w:tabs>
          <w:tab w:val="left" w:pos="1621"/>
        </w:tabs>
        <w:spacing w:before="0" w:line="360" w:lineRule="auto"/>
        <w:ind w:firstLine="480" w:firstLineChars="200"/>
        <w:jc w:val="both"/>
        <w:rPr>
          <w:sz w:val="24"/>
        </w:rPr>
      </w:pPr>
      <w:r>
        <w:rPr>
          <w:sz w:val="24"/>
        </w:rPr>
        <w:t>关于本项目进行环境影响评价工作的委托书；</w:t>
      </w:r>
    </w:p>
    <w:p>
      <w:pPr>
        <w:pStyle w:val="41"/>
        <w:numPr>
          <w:ilvl w:val="0"/>
          <w:numId w:val="7"/>
        </w:numPr>
        <w:tabs>
          <w:tab w:val="left" w:pos="1621"/>
        </w:tabs>
        <w:spacing w:before="0" w:line="360" w:lineRule="auto"/>
        <w:ind w:firstLine="480" w:firstLineChars="200"/>
        <w:jc w:val="both"/>
        <w:rPr>
          <w:sz w:val="24"/>
        </w:rPr>
      </w:pPr>
      <w:r>
        <w:rPr>
          <w:sz w:val="24"/>
        </w:rPr>
        <w:t>本项目的环境影响评价合同及建设方提供的与项目有关的其他文件。</w:t>
      </w:r>
    </w:p>
    <w:p>
      <w:pPr>
        <w:pStyle w:val="5"/>
        <w:keepNext w:val="0"/>
        <w:keepLines w:val="0"/>
        <w:pageBreakBefore w:val="0"/>
        <w:widowControl w:val="0"/>
        <w:numPr>
          <w:ilvl w:val="1"/>
          <w:numId w:val="4"/>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50" w:name="_bookmark9"/>
      <w:bookmarkEnd w:id="50"/>
      <w:bookmarkStart w:id="51" w:name="2.3_环境影响因素识别及评价因子筛选"/>
      <w:bookmarkEnd w:id="51"/>
      <w:bookmarkStart w:id="52" w:name="_Toc18925"/>
      <w:bookmarkStart w:id="53" w:name="_Toc17472"/>
      <w:bookmarkStart w:id="54" w:name="_Toc14581"/>
      <w:r>
        <w:t>环境影响因素识别及评价因子筛选</w:t>
      </w:r>
      <w:bookmarkEnd w:id="52"/>
      <w:bookmarkEnd w:id="53"/>
      <w:bookmarkEnd w:id="54"/>
    </w:p>
    <w:p>
      <w:pPr>
        <w:pStyle w:val="6"/>
        <w:numPr>
          <w:ilvl w:val="2"/>
          <w:numId w:val="4"/>
        </w:numPr>
        <w:tabs>
          <w:tab w:val="left" w:pos="1241"/>
        </w:tabs>
        <w:spacing w:line="360" w:lineRule="auto"/>
        <w:ind w:left="0" w:firstLine="562" w:firstLineChars="200"/>
        <w:jc w:val="both"/>
        <w:rPr>
          <w:rFonts w:ascii="Times New Roman" w:eastAsia="Times New Roman"/>
        </w:rPr>
      </w:pPr>
      <w:bookmarkStart w:id="55" w:name="2.3.1_环境影响因素识别"/>
      <w:bookmarkEnd w:id="55"/>
      <w:r>
        <w:t>环境影响因素识别</w:t>
      </w:r>
    </w:p>
    <w:p>
      <w:pPr>
        <w:pStyle w:val="14"/>
        <w:spacing w:line="360" w:lineRule="auto"/>
        <w:ind w:left="0" w:firstLine="480" w:firstLineChars="200"/>
        <w:jc w:val="both"/>
      </w:pPr>
      <w:r>
        <w:t xml:space="preserve">本项目对环境的主要影响为施工期和运营期。项目施工期间对环境的影响很大程度上取决于工程特点、施工季节以及工程所处的地形、地貌等环境因素，施工期对环境的影响主要为施工扬尘、施工噪声、施工废水及固体废弃物。运营期产生废气、废水、噪声以及固废等污染因素，将相应对场址区域的环境空气、地下水环境及声环境等产生不同程度的影响。综上所述，确定本项目建设可能产生的环境影响因素见表 </w:t>
      </w:r>
      <w:r>
        <w:rPr>
          <w:rFonts w:ascii="Times New Roman" w:eastAsia="Times New Roman"/>
        </w:rPr>
        <w:t>2.3-1</w:t>
      </w:r>
      <w:r>
        <w:rPr>
          <w:rFonts w:hint="eastAsia" w:eastAsia="宋体"/>
          <w:lang w:eastAsia="zh-CN"/>
        </w:rPr>
        <w:t>、表</w:t>
      </w:r>
      <w:r>
        <w:rPr>
          <w:rFonts w:hint="eastAsia" w:eastAsia="宋体"/>
          <w:lang w:val="en-US" w:eastAsia="zh-CN"/>
        </w:rPr>
        <w:t>2.3-2</w:t>
      </w:r>
      <w:r>
        <w:t>。</w:t>
      </w:r>
    </w:p>
    <w:p>
      <w:pPr>
        <w:pStyle w:val="14"/>
        <w:keepNext w:val="0"/>
        <w:keepLines w:val="0"/>
        <w:pageBreakBefore w:val="0"/>
        <w:widowControl w:val="0"/>
        <w:kinsoku/>
        <w:wordWrap/>
        <w:overflowPunct/>
        <w:topLinePunct w:val="0"/>
        <w:autoSpaceDE w:val="0"/>
        <w:autoSpaceDN w:val="0"/>
        <w:bidi w:val="0"/>
        <w:adjustRightInd/>
        <w:snapToGrid/>
        <w:spacing w:before="0" w:beforeLines="50" w:line="360" w:lineRule="auto"/>
        <w:ind w:left="539"/>
        <w:jc w:val="center"/>
        <w:textAlignment w:val="auto"/>
        <w:rPr>
          <w:rFonts w:hint="eastAsia" w:ascii="Times New Roman" w:hAnsi="Times New Roman" w:eastAsia="宋体" w:cs="宋体"/>
          <w:b/>
          <w:bCs/>
          <w:sz w:val="21"/>
          <w:szCs w:val="21"/>
          <w:lang w:val="zh-CN" w:eastAsia="zh-CN" w:bidi="zh-CN"/>
        </w:rPr>
      </w:pPr>
      <w:r>
        <w:rPr>
          <w:rFonts w:hint="eastAsia" w:ascii="Times New Roman" w:hAnsi="Times New Roman" w:eastAsia="宋体" w:cs="宋体"/>
          <w:b/>
          <w:bCs/>
          <w:sz w:val="21"/>
          <w:szCs w:val="21"/>
          <w:lang w:val="zh-CN" w:eastAsia="zh-CN" w:bidi="zh-CN"/>
        </w:rPr>
        <w:t>表 2.3-1</w:t>
      </w:r>
      <w:r>
        <w:rPr>
          <w:rFonts w:hint="eastAsia" w:ascii="Times New Roman" w:hAnsi="Times New Roman" w:eastAsia="宋体" w:cs="宋体"/>
          <w:b/>
          <w:bCs/>
          <w:sz w:val="21"/>
          <w:szCs w:val="21"/>
          <w:lang w:val="zh-CN" w:eastAsia="zh-CN" w:bidi="zh-CN"/>
        </w:rPr>
        <w:tab/>
      </w:r>
      <w:r>
        <w:rPr>
          <w:rFonts w:hint="eastAsia" w:ascii="Times New Roman" w:hAnsi="Times New Roman" w:eastAsia="宋体" w:cs="宋体"/>
          <w:b/>
          <w:bCs/>
          <w:sz w:val="21"/>
          <w:szCs w:val="21"/>
          <w:lang w:val="zh-CN" w:eastAsia="zh-CN" w:bidi="zh-CN"/>
        </w:rPr>
        <w:t>项目环境影响识别一览表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b/>
                <w:bCs/>
                <w:spacing w:val="-20"/>
                <w:sz w:val="21"/>
                <w:szCs w:val="21"/>
                <w:vertAlign w:val="baseline"/>
                <w:lang w:eastAsia="zh-CN"/>
              </w:rPr>
            </w:pPr>
            <w:r>
              <w:rPr>
                <w:rFonts w:hint="default" w:ascii="Times New Roman" w:hAnsi="Times New Roman" w:cs="Times New Roman" w:eastAsiaTheme="minorEastAsia"/>
                <w:b/>
                <w:bCs/>
                <w:spacing w:val="-20"/>
                <w:sz w:val="21"/>
                <w:szCs w:val="21"/>
                <w:vertAlign w:val="baseline"/>
                <w:lang w:eastAsia="zh-CN"/>
              </w:rPr>
              <w:t>环境影响要素</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b/>
                <w:bCs/>
                <w:spacing w:val="-20"/>
                <w:sz w:val="21"/>
                <w:szCs w:val="21"/>
                <w:vertAlign w:val="baseline"/>
                <w:lang w:eastAsia="zh-CN"/>
              </w:rPr>
            </w:pPr>
            <w:r>
              <w:rPr>
                <w:rFonts w:hint="default" w:ascii="Times New Roman" w:hAnsi="Times New Roman" w:cs="Times New Roman" w:eastAsiaTheme="minorEastAsia"/>
                <w:b/>
                <w:bCs/>
                <w:spacing w:val="-20"/>
                <w:sz w:val="21"/>
                <w:szCs w:val="21"/>
                <w:vertAlign w:val="baseline"/>
                <w:lang w:eastAsia="zh-CN"/>
              </w:rPr>
              <w:t>施工期</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b/>
                <w:bCs/>
                <w:spacing w:val="-20"/>
                <w:sz w:val="21"/>
                <w:szCs w:val="21"/>
                <w:vertAlign w:val="baseline"/>
                <w:lang w:eastAsia="zh-CN"/>
              </w:rPr>
            </w:pPr>
            <w:r>
              <w:rPr>
                <w:rFonts w:hint="default" w:ascii="Times New Roman" w:hAnsi="Times New Roman" w:cs="Times New Roman" w:eastAsiaTheme="minorEastAsia"/>
                <w:b/>
                <w:bCs/>
                <w:spacing w:val="-20"/>
                <w:sz w:val="21"/>
                <w:szCs w:val="21"/>
                <w:vertAlign w:val="baseline"/>
                <w:lang w:eastAsia="zh-CN"/>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自然环境</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环境空气</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rPr>
            </w:pP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地表水水质</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0</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0</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环境噪声</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rPr>
            </w:pP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土壤</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生态环境</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植被</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0</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rPr>
            </w:pP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水土流失</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0</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社会环境</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交通</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rPr>
            </w:pP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就业</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rPr>
            </w:pP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eastAsia="zh-CN"/>
              </w:rPr>
            </w:pPr>
            <w:r>
              <w:rPr>
                <w:rFonts w:hint="default" w:ascii="Times New Roman" w:hAnsi="Times New Roman" w:cs="Times New Roman" w:eastAsiaTheme="minorEastAsia"/>
                <w:spacing w:val="-20"/>
                <w:sz w:val="21"/>
                <w:szCs w:val="21"/>
                <w:vertAlign w:val="baseline"/>
                <w:lang w:eastAsia="zh-CN"/>
              </w:rPr>
              <w:t>社会经济</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c>
          <w:tcPr>
            <w:tcW w:w="2130" w:type="dxa"/>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eastAsiaTheme="minorEastAsia"/>
                <w:spacing w:val="-20"/>
                <w:sz w:val="21"/>
                <w:szCs w:val="21"/>
                <w:vertAlign w:val="baseline"/>
                <w:lang w:val="en-US" w:eastAsia="zh-CN"/>
              </w:rPr>
            </w:pPr>
            <w:r>
              <w:rPr>
                <w:rFonts w:hint="default" w:ascii="Times New Roman" w:hAnsi="Times New Roman" w:cs="Times New Roman" w:eastAsiaTheme="minorEastAsia"/>
                <w:spacing w:val="-2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gridSpan w:val="4"/>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spacing w:val="-20"/>
                <w:sz w:val="21"/>
                <w:szCs w:val="21"/>
                <w:vertAlign w:val="baseline"/>
              </w:rPr>
            </w:pPr>
            <w:r>
              <w:rPr>
                <w:rFonts w:hint="default" w:ascii="Times New Roman" w:hAnsi="Times New Roman" w:cs="Times New Roman" w:eastAsiaTheme="minorEastAsia"/>
                <w:color w:val="000000"/>
                <w:kern w:val="0"/>
                <w:sz w:val="21"/>
                <w:szCs w:val="21"/>
                <w:lang w:val="en-US" w:eastAsia="zh-CN" w:bidi="ar"/>
              </w:rPr>
              <w:t>注：“-”表示不利影响，“+”表示有利影响，数字大小表示影响程度；1—轻度影响；2—中度影响；3—重度影响。</w:t>
            </w:r>
          </w:p>
        </w:tc>
      </w:tr>
    </w:tbl>
    <w:p>
      <w:pPr>
        <w:pStyle w:val="14"/>
        <w:keepNext w:val="0"/>
        <w:keepLines w:val="0"/>
        <w:pageBreakBefore w:val="0"/>
        <w:widowControl w:val="0"/>
        <w:kinsoku/>
        <w:wordWrap/>
        <w:overflowPunct/>
        <w:topLinePunct w:val="0"/>
        <w:autoSpaceDE w:val="0"/>
        <w:autoSpaceDN w:val="0"/>
        <w:bidi w:val="0"/>
        <w:adjustRightInd/>
        <w:snapToGrid/>
        <w:spacing w:before="0" w:beforeLines="50" w:line="360" w:lineRule="auto"/>
        <w:ind w:left="539"/>
        <w:jc w:val="center"/>
        <w:textAlignment w:val="auto"/>
        <w:rPr>
          <w:rFonts w:hint="default" w:eastAsia="宋体"/>
          <w:spacing w:val="-20"/>
          <w:sz w:val="21"/>
          <w:szCs w:val="21"/>
          <w:lang w:val="en-US" w:eastAsia="zh-CN"/>
        </w:rPr>
      </w:pPr>
      <w:r>
        <w:rPr>
          <w:rFonts w:hint="eastAsia" w:ascii="Times New Roman" w:hAnsi="Times New Roman" w:eastAsia="宋体" w:cs="宋体"/>
          <w:b/>
          <w:bCs/>
          <w:sz w:val="21"/>
          <w:szCs w:val="21"/>
          <w:lang w:val="zh-CN" w:eastAsia="zh-CN" w:bidi="zh-CN"/>
        </w:rPr>
        <w:t>表</w:t>
      </w:r>
      <w:r>
        <w:rPr>
          <w:rFonts w:hint="eastAsia" w:ascii="Times New Roman" w:hAnsi="Times New Roman" w:eastAsia="宋体" w:cs="宋体"/>
          <w:b/>
          <w:bCs/>
          <w:sz w:val="21"/>
          <w:szCs w:val="21"/>
          <w:lang w:val="en-US" w:eastAsia="zh-CN" w:bidi="zh-CN"/>
        </w:rPr>
        <w:t>2.3-2 各环境要素影响类型及程度</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7"/>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gridSpan w:val="2"/>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要素</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影响程度</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类型</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可逆性</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范围</w:t>
            </w:r>
          </w:p>
        </w:tc>
        <w:tc>
          <w:tcPr>
            <w:tcW w:w="1218"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营运期</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环境空气</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明显</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有后续影响</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基本可逆</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较大范围</w:t>
            </w:r>
          </w:p>
        </w:tc>
        <w:tc>
          <w:tcPr>
            <w:tcW w:w="1218"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20"/>
                <w:sz w:val="21"/>
                <w:szCs w:val="21"/>
                <w:vertAlign w:val="baseline"/>
              </w:rPr>
            </w:pP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水环境</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不明显</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有后续影响</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基本可逆</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局部</w:t>
            </w:r>
          </w:p>
        </w:tc>
        <w:tc>
          <w:tcPr>
            <w:tcW w:w="1218"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20"/>
                <w:sz w:val="21"/>
                <w:szCs w:val="21"/>
                <w:vertAlign w:val="baseline"/>
              </w:rPr>
            </w:pP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声环境</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较明显</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与声源同时存在</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可逆</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20"/>
                <w:sz w:val="21"/>
                <w:szCs w:val="21"/>
                <w:vertAlign w:val="baseline"/>
              </w:rPr>
            </w:pPr>
            <w:r>
              <w:rPr>
                <w:rFonts w:hint="eastAsia"/>
                <w:spacing w:val="-20"/>
                <w:sz w:val="21"/>
                <w:szCs w:val="21"/>
                <w:vertAlign w:val="baseline"/>
                <w:lang w:eastAsia="zh-CN"/>
              </w:rPr>
              <w:t>局部</w:t>
            </w:r>
          </w:p>
        </w:tc>
        <w:tc>
          <w:tcPr>
            <w:tcW w:w="1218"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20"/>
                <w:sz w:val="21"/>
                <w:szCs w:val="21"/>
                <w:vertAlign w:val="baseline"/>
              </w:rPr>
            </w:pPr>
            <w:r>
              <w:rPr>
                <w:rFonts w:hint="eastAsia"/>
                <w:spacing w:val="-20"/>
                <w:sz w:val="21"/>
                <w:szCs w:val="21"/>
                <w:vertAlign w:val="baseline"/>
                <w:lang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20"/>
                <w:sz w:val="21"/>
                <w:szCs w:val="21"/>
                <w:vertAlign w:val="baseline"/>
              </w:rPr>
            </w:pP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固废</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不明显</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val="en-US" w:eastAsia="zh-CN"/>
              </w:rPr>
            </w:pPr>
            <w:r>
              <w:rPr>
                <w:rFonts w:hint="eastAsia"/>
                <w:spacing w:val="-20"/>
                <w:sz w:val="21"/>
                <w:szCs w:val="21"/>
                <w:vertAlign w:val="baseline"/>
                <w:lang w:val="en-US" w:eastAsia="zh-CN"/>
              </w:rPr>
              <w:t>/</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不可逆</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20"/>
                <w:sz w:val="21"/>
                <w:szCs w:val="21"/>
                <w:vertAlign w:val="baseline"/>
              </w:rPr>
            </w:pPr>
            <w:r>
              <w:rPr>
                <w:rFonts w:hint="eastAsia"/>
                <w:spacing w:val="-20"/>
                <w:sz w:val="21"/>
                <w:szCs w:val="21"/>
                <w:vertAlign w:val="baseline"/>
                <w:lang w:eastAsia="zh-CN"/>
              </w:rPr>
              <w:t>局部</w:t>
            </w:r>
          </w:p>
        </w:tc>
        <w:tc>
          <w:tcPr>
            <w:tcW w:w="1218"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20"/>
                <w:sz w:val="21"/>
                <w:szCs w:val="21"/>
                <w:vertAlign w:val="baseline"/>
              </w:rPr>
            </w:pPr>
            <w:r>
              <w:rPr>
                <w:rFonts w:hint="eastAsia"/>
                <w:spacing w:val="-20"/>
                <w:sz w:val="21"/>
                <w:szCs w:val="21"/>
                <w:vertAlign w:val="baseline"/>
                <w:lang w:eastAsia="zh-CN"/>
              </w:rPr>
              <w:t>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20"/>
                <w:sz w:val="21"/>
                <w:szCs w:val="21"/>
                <w:vertAlign w:val="baseline"/>
              </w:rPr>
            </w:pP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环境风险</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不明显</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有后续影响</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基本可逆</w:t>
            </w:r>
          </w:p>
        </w:tc>
        <w:tc>
          <w:tcPr>
            <w:tcW w:w="1217"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较大范围</w:t>
            </w:r>
          </w:p>
        </w:tc>
        <w:tc>
          <w:tcPr>
            <w:tcW w:w="1218" w:type="dxa"/>
            <w:vAlign w:val="center"/>
          </w:tcPr>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eastAsia="宋体"/>
                <w:spacing w:val="-20"/>
                <w:sz w:val="21"/>
                <w:szCs w:val="21"/>
                <w:vertAlign w:val="baseline"/>
                <w:lang w:eastAsia="zh-CN"/>
              </w:rPr>
            </w:pPr>
            <w:r>
              <w:rPr>
                <w:rFonts w:hint="eastAsia"/>
                <w:spacing w:val="-20"/>
                <w:sz w:val="21"/>
                <w:szCs w:val="21"/>
                <w:vertAlign w:val="baseline"/>
                <w:lang w:eastAsia="zh-CN"/>
              </w:rPr>
              <w:t>短期</w:t>
            </w:r>
          </w:p>
        </w:tc>
      </w:tr>
    </w:tbl>
    <w:p>
      <w:pPr>
        <w:pStyle w:val="6"/>
        <w:numPr>
          <w:ilvl w:val="2"/>
          <w:numId w:val="4"/>
        </w:numPr>
        <w:tabs>
          <w:tab w:val="left" w:pos="1241"/>
        </w:tabs>
        <w:adjustRightInd w:val="0"/>
        <w:snapToGrid w:val="0"/>
        <w:spacing w:line="360" w:lineRule="auto"/>
        <w:ind w:left="0" w:firstLine="562" w:firstLineChars="200"/>
        <w:jc w:val="both"/>
        <w:rPr>
          <w:rFonts w:ascii="Times New Roman" w:eastAsia="Times New Roman"/>
        </w:rPr>
      </w:pPr>
      <w:bookmarkStart w:id="56" w:name="2.3.2_评价因子筛选"/>
      <w:bookmarkEnd w:id="56"/>
      <w:r>
        <w:t>评价因子筛选</w:t>
      </w:r>
    </w:p>
    <w:p>
      <w:pPr>
        <w:pStyle w:val="14"/>
        <w:adjustRightInd w:val="0"/>
        <w:snapToGrid w:val="0"/>
        <w:spacing w:line="360" w:lineRule="auto"/>
        <w:ind w:left="0" w:firstLine="452" w:firstLineChars="200"/>
        <w:jc w:val="both"/>
      </w:pPr>
      <w:r>
        <w:rPr>
          <w:spacing w:val="-7"/>
        </w:rPr>
        <w:t>根据环境影响因素的识别结果，结合建设项目的工程特点、排污种类、排污</w:t>
      </w:r>
      <w:r>
        <w:rPr>
          <w:spacing w:val="-3"/>
        </w:rPr>
        <w:t xml:space="preserve">去向及周围区域的环境质量状况，确定本次评价因子见表 </w:t>
      </w:r>
      <w:r>
        <w:rPr>
          <w:rFonts w:ascii="Times New Roman" w:eastAsia="Times New Roman"/>
        </w:rPr>
        <w:t>2.3-</w:t>
      </w:r>
      <w:r>
        <w:rPr>
          <w:rFonts w:hint="eastAsia" w:eastAsia="宋体"/>
          <w:lang w:val="en-US" w:eastAsia="zh-CN"/>
        </w:rPr>
        <w:t>3</w:t>
      </w:r>
      <w:r>
        <w:t>。</w:t>
      </w:r>
    </w:p>
    <w:p>
      <w:pPr>
        <w:bidi w:val="0"/>
        <w:jc w:val="center"/>
        <w:rPr>
          <w:b/>
          <w:bCs/>
          <w:color w:val="000000" w:themeColor="text1"/>
          <w:sz w:val="21"/>
          <w:szCs w:val="21"/>
        </w:rPr>
      </w:pPr>
      <w:r>
        <w:rPr>
          <w:b/>
          <w:bCs/>
          <w:color w:val="000000" w:themeColor="text1"/>
          <w:sz w:val="21"/>
          <w:szCs w:val="21"/>
        </w:rPr>
        <w:t>表</w:t>
      </w:r>
      <w:r>
        <w:rPr>
          <w:b/>
          <w:bCs/>
          <w:color w:val="000000" w:themeColor="text1"/>
          <w:spacing w:val="-62"/>
          <w:sz w:val="21"/>
          <w:szCs w:val="21"/>
        </w:rPr>
        <w:t xml:space="preserve"> </w:t>
      </w:r>
      <w:r>
        <w:rPr>
          <w:rFonts w:ascii="Times New Roman" w:eastAsia="Times New Roman"/>
          <w:b/>
          <w:bCs/>
          <w:color w:val="000000" w:themeColor="text1"/>
          <w:sz w:val="21"/>
          <w:szCs w:val="21"/>
        </w:rPr>
        <w:t>2.3-</w:t>
      </w:r>
      <w:r>
        <w:rPr>
          <w:rFonts w:hint="eastAsia" w:eastAsia="宋体"/>
          <w:b/>
          <w:bCs/>
          <w:color w:val="000000" w:themeColor="text1"/>
          <w:sz w:val="21"/>
          <w:szCs w:val="21"/>
          <w:lang w:val="en-US" w:eastAsia="zh-CN"/>
        </w:rPr>
        <w:t>3</w:t>
      </w:r>
      <w:r>
        <w:rPr>
          <w:rFonts w:ascii="Times New Roman" w:eastAsia="Times New Roman"/>
          <w:b/>
          <w:bCs/>
          <w:color w:val="000000" w:themeColor="text1"/>
          <w:sz w:val="21"/>
          <w:szCs w:val="21"/>
        </w:rPr>
        <w:tab/>
      </w:r>
      <w:r>
        <w:rPr>
          <w:b/>
          <w:bCs/>
          <w:color w:val="000000" w:themeColor="text1"/>
          <w:sz w:val="21"/>
          <w:szCs w:val="21"/>
        </w:rPr>
        <w:t>项目评价因子一览表</w:t>
      </w:r>
    </w:p>
    <w:tbl>
      <w:tblPr>
        <w:tblStyle w:val="31"/>
        <w:tblW w:w="50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2"/>
        <w:gridCol w:w="4132"/>
        <w:gridCol w:w="3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b/>
                <w:color w:val="000000" w:themeColor="text1"/>
                <w:sz w:val="21"/>
                <w:szCs w:val="21"/>
              </w:rPr>
            </w:pPr>
            <w:r>
              <w:rPr>
                <w:b/>
                <w:color w:val="000000" w:themeColor="text1"/>
                <w:sz w:val="21"/>
                <w:szCs w:val="21"/>
              </w:rPr>
              <w:t>类别</w:t>
            </w:r>
          </w:p>
        </w:tc>
        <w:tc>
          <w:tcPr>
            <w:tcW w:w="247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b/>
                <w:color w:val="000000" w:themeColor="text1"/>
                <w:sz w:val="21"/>
                <w:szCs w:val="21"/>
              </w:rPr>
            </w:pPr>
            <w:r>
              <w:rPr>
                <w:b/>
                <w:color w:val="000000" w:themeColor="text1"/>
                <w:sz w:val="21"/>
                <w:szCs w:val="21"/>
              </w:rPr>
              <w:t>现状评价因子</w:t>
            </w:r>
          </w:p>
        </w:tc>
        <w:tc>
          <w:tcPr>
            <w:tcW w:w="180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b/>
                <w:color w:val="000000" w:themeColor="text1"/>
                <w:sz w:val="21"/>
                <w:szCs w:val="21"/>
              </w:rPr>
            </w:pPr>
            <w:r>
              <w:rPr>
                <w:b/>
                <w:color w:val="000000" w:themeColor="text1"/>
                <w:sz w:val="21"/>
                <w:szCs w:val="21"/>
              </w:rPr>
              <w:t>影响评价因子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71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大气环境</w:t>
            </w:r>
          </w:p>
        </w:tc>
        <w:tc>
          <w:tcPr>
            <w:tcW w:w="247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rFonts w:hint="eastAsia" w:ascii="Times New Roman" w:eastAsia="宋体"/>
                <w:color w:val="000000" w:themeColor="text1"/>
                <w:sz w:val="21"/>
                <w:szCs w:val="21"/>
                <w:lang w:val="en-US" w:eastAsia="zh-CN"/>
              </w:rPr>
            </w:pPr>
            <w:r>
              <w:rPr>
                <w:rFonts w:ascii="Times New Roman" w:eastAsia="Times New Roman"/>
                <w:color w:val="000000" w:themeColor="text1"/>
                <w:position w:val="2"/>
                <w:sz w:val="21"/>
                <w:szCs w:val="21"/>
              </w:rPr>
              <w:t>SO</w:t>
            </w:r>
            <w:r>
              <w:rPr>
                <w:rFonts w:ascii="Times New Roman" w:eastAsia="Times New Roman"/>
                <w:color w:val="000000" w:themeColor="text1"/>
                <w:position w:val="2"/>
                <w:sz w:val="21"/>
                <w:szCs w:val="21"/>
                <w:vertAlign w:val="subscript"/>
              </w:rPr>
              <w:t>2</w:t>
            </w:r>
            <w:r>
              <w:rPr>
                <w:color w:val="000000" w:themeColor="text1"/>
                <w:position w:val="2"/>
                <w:sz w:val="21"/>
                <w:szCs w:val="21"/>
              </w:rPr>
              <w:t>、</w:t>
            </w:r>
            <w:r>
              <w:rPr>
                <w:rFonts w:ascii="Times New Roman" w:eastAsia="Times New Roman"/>
                <w:color w:val="000000" w:themeColor="text1"/>
                <w:position w:val="2"/>
                <w:sz w:val="21"/>
                <w:szCs w:val="21"/>
              </w:rPr>
              <w:t>NO</w:t>
            </w:r>
            <w:r>
              <w:rPr>
                <w:rFonts w:ascii="Times New Roman" w:eastAsia="Times New Roman"/>
                <w:color w:val="000000" w:themeColor="text1"/>
                <w:position w:val="2"/>
                <w:sz w:val="21"/>
                <w:szCs w:val="21"/>
                <w:vertAlign w:val="subscript"/>
              </w:rPr>
              <w:t>2</w:t>
            </w:r>
            <w:r>
              <w:rPr>
                <w:color w:val="000000" w:themeColor="text1"/>
                <w:position w:val="2"/>
                <w:sz w:val="21"/>
                <w:szCs w:val="21"/>
              </w:rPr>
              <w:t>、</w:t>
            </w:r>
            <w:r>
              <w:rPr>
                <w:rFonts w:ascii="Times New Roman" w:eastAsia="Times New Roman"/>
                <w:color w:val="000000" w:themeColor="text1"/>
                <w:position w:val="2"/>
                <w:sz w:val="21"/>
                <w:szCs w:val="21"/>
              </w:rPr>
              <w:t>PM</w:t>
            </w:r>
            <w:r>
              <w:rPr>
                <w:rFonts w:ascii="Times New Roman" w:eastAsia="Times New Roman"/>
                <w:color w:val="000000" w:themeColor="text1"/>
                <w:position w:val="2"/>
                <w:sz w:val="21"/>
                <w:szCs w:val="21"/>
                <w:vertAlign w:val="subscript"/>
              </w:rPr>
              <w:t>10</w:t>
            </w:r>
            <w:r>
              <w:rPr>
                <w:color w:val="000000" w:themeColor="text1"/>
                <w:position w:val="2"/>
                <w:sz w:val="21"/>
                <w:szCs w:val="21"/>
              </w:rPr>
              <w:t>、</w:t>
            </w:r>
            <w:r>
              <w:rPr>
                <w:rFonts w:ascii="Times New Roman" w:eastAsia="Times New Roman"/>
                <w:color w:val="000000" w:themeColor="text1"/>
                <w:position w:val="2"/>
                <w:sz w:val="21"/>
                <w:szCs w:val="21"/>
              </w:rPr>
              <w:t>PM</w:t>
            </w:r>
            <w:r>
              <w:rPr>
                <w:rFonts w:ascii="Times New Roman" w:eastAsia="Times New Roman"/>
                <w:color w:val="000000" w:themeColor="text1"/>
                <w:position w:val="2"/>
                <w:sz w:val="21"/>
                <w:szCs w:val="21"/>
                <w:vertAlign w:val="subscript"/>
              </w:rPr>
              <w:t>2.5</w:t>
            </w:r>
            <w:r>
              <w:rPr>
                <w:color w:val="000000" w:themeColor="text1"/>
                <w:position w:val="2"/>
                <w:sz w:val="21"/>
                <w:szCs w:val="21"/>
              </w:rPr>
              <w:t>、</w:t>
            </w:r>
            <w:r>
              <w:rPr>
                <w:rFonts w:ascii="Times New Roman" w:eastAsia="Times New Roman"/>
                <w:color w:val="000000" w:themeColor="text1"/>
                <w:position w:val="2"/>
                <w:sz w:val="21"/>
                <w:szCs w:val="21"/>
              </w:rPr>
              <w:t>CO</w:t>
            </w:r>
            <w:r>
              <w:rPr>
                <w:color w:val="000000" w:themeColor="text1"/>
                <w:position w:val="2"/>
                <w:sz w:val="21"/>
                <w:szCs w:val="21"/>
              </w:rPr>
              <w:t>、</w:t>
            </w:r>
            <w:r>
              <w:rPr>
                <w:rFonts w:ascii="Times New Roman" w:eastAsia="Times New Roman"/>
                <w:color w:val="000000" w:themeColor="text1"/>
                <w:position w:val="2"/>
                <w:sz w:val="21"/>
                <w:szCs w:val="21"/>
              </w:rPr>
              <w:t>O</w:t>
            </w:r>
            <w:r>
              <w:rPr>
                <w:rFonts w:ascii="Times New Roman" w:eastAsia="Times New Roman"/>
                <w:color w:val="000000" w:themeColor="text1"/>
                <w:position w:val="2"/>
                <w:sz w:val="21"/>
                <w:szCs w:val="21"/>
                <w:vertAlign w:val="subscript"/>
              </w:rPr>
              <w:t>3</w:t>
            </w:r>
            <w:r>
              <w:rPr>
                <w:color w:val="000000" w:themeColor="text1"/>
                <w:position w:val="2"/>
                <w:sz w:val="21"/>
                <w:szCs w:val="21"/>
              </w:rPr>
              <w:t>、</w:t>
            </w:r>
            <w:r>
              <w:rPr>
                <w:rFonts w:hint="eastAsia"/>
                <w:color w:val="000000" w:themeColor="text1"/>
                <w:position w:val="2"/>
                <w:sz w:val="21"/>
                <w:szCs w:val="21"/>
                <w:lang w:val="en-US" w:eastAsia="zh-CN"/>
              </w:rPr>
              <w:t>TSP、NO</w:t>
            </w:r>
            <w:r>
              <w:rPr>
                <w:rFonts w:hint="eastAsia"/>
                <w:color w:val="000000" w:themeColor="text1"/>
                <w:position w:val="2"/>
                <w:sz w:val="21"/>
                <w:szCs w:val="21"/>
                <w:vertAlign w:val="subscript"/>
                <w:lang w:val="en-US" w:eastAsia="zh-CN"/>
              </w:rPr>
              <w:t>x</w:t>
            </w:r>
            <w:r>
              <w:rPr>
                <w:rFonts w:hint="eastAsia"/>
                <w:color w:val="000000" w:themeColor="text1"/>
                <w:position w:val="2"/>
                <w:sz w:val="21"/>
                <w:szCs w:val="21"/>
                <w:lang w:val="en-US" w:eastAsia="zh-CN"/>
              </w:rPr>
              <w:t>、SO</w:t>
            </w:r>
            <w:r>
              <w:rPr>
                <w:rFonts w:hint="eastAsia"/>
                <w:color w:val="000000" w:themeColor="text1"/>
                <w:position w:val="2"/>
                <w:sz w:val="21"/>
                <w:szCs w:val="21"/>
                <w:vertAlign w:val="subscript"/>
                <w:lang w:val="en-US" w:eastAsia="zh-CN"/>
              </w:rPr>
              <w:t>2</w:t>
            </w:r>
            <w:r>
              <w:rPr>
                <w:color w:val="000000" w:themeColor="text1"/>
                <w:position w:val="2"/>
                <w:sz w:val="21"/>
                <w:szCs w:val="21"/>
              </w:rPr>
              <w:t>、</w:t>
            </w:r>
            <w:r>
              <w:rPr>
                <w:rFonts w:ascii="Times New Roman" w:hAnsi="Times New Roman" w:eastAsia="Times New Roman"/>
                <w:color w:val="000000" w:themeColor="text1"/>
                <w:position w:val="2"/>
                <w:sz w:val="21"/>
                <w:szCs w:val="21"/>
              </w:rPr>
              <w:t>NH</w:t>
            </w:r>
            <w:r>
              <w:rPr>
                <w:rFonts w:ascii="Times New Roman" w:hAnsi="Times New Roman" w:eastAsia="Times New Roman"/>
                <w:color w:val="000000" w:themeColor="text1"/>
                <w:position w:val="2"/>
                <w:sz w:val="21"/>
                <w:szCs w:val="21"/>
                <w:vertAlign w:val="subscript"/>
              </w:rPr>
              <w:t>3</w:t>
            </w:r>
            <w:r>
              <w:rPr>
                <w:rFonts w:hint="eastAsia"/>
                <w:color w:val="000000" w:themeColor="text1"/>
                <w:position w:val="2"/>
                <w:sz w:val="21"/>
                <w:szCs w:val="21"/>
                <w:lang w:eastAsia="zh-CN"/>
              </w:rPr>
              <w:t>、汞</w:t>
            </w:r>
          </w:p>
        </w:tc>
        <w:tc>
          <w:tcPr>
            <w:tcW w:w="180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rFonts w:hint="eastAsia"/>
                <w:color w:val="000000" w:themeColor="text1"/>
                <w:position w:val="2"/>
                <w:sz w:val="21"/>
                <w:szCs w:val="21"/>
                <w:lang w:val="en-US" w:eastAsia="zh-CN"/>
              </w:rPr>
              <w:t>TSP、NO</w:t>
            </w:r>
            <w:r>
              <w:rPr>
                <w:rFonts w:hint="eastAsia"/>
                <w:color w:val="000000" w:themeColor="text1"/>
                <w:position w:val="2"/>
                <w:sz w:val="21"/>
                <w:szCs w:val="21"/>
                <w:vertAlign w:val="subscript"/>
                <w:lang w:val="en-US" w:eastAsia="zh-CN"/>
              </w:rPr>
              <w:t>x</w:t>
            </w:r>
            <w:r>
              <w:rPr>
                <w:rFonts w:hint="eastAsia"/>
                <w:color w:val="000000" w:themeColor="text1"/>
                <w:position w:val="2"/>
                <w:sz w:val="21"/>
                <w:szCs w:val="21"/>
                <w:lang w:val="en-US" w:eastAsia="zh-CN"/>
              </w:rPr>
              <w:t>、SO</w:t>
            </w:r>
            <w:r>
              <w:rPr>
                <w:rFonts w:hint="eastAsia"/>
                <w:color w:val="000000" w:themeColor="text1"/>
                <w:position w:val="2"/>
                <w:sz w:val="21"/>
                <w:szCs w:val="21"/>
                <w:vertAlign w:val="subscript"/>
                <w:lang w:val="en-US" w:eastAsia="zh-CN"/>
              </w:rPr>
              <w:t>2</w:t>
            </w:r>
            <w:r>
              <w:rPr>
                <w:rFonts w:hint="eastAsia"/>
                <w:color w:val="000000" w:themeColor="text1"/>
                <w:position w:val="2"/>
                <w:sz w:val="21"/>
                <w:szCs w:val="21"/>
                <w:lang w:eastAsia="zh-CN"/>
              </w:rPr>
              <w:t>、汞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71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水环境</w:t>
            </w:r>
          </w:p>
        </w:tc>
        <w:tc>
          <w:tcPr>
            <w:tcW w:w="247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w w:val="99"/>
                <w:sz w:val="21"/>
                <w:szCs w:val="21"/>
              </w:rPr>
              <w:t>—</w:t>
            </w:r>
          </w:p>
        </w:tc>
        <w:tc>
          <w:tcPr>
            <w:tcW w:w="180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pacing w:val="-10"/>
                <w:sz w:val="21"/>
                <w:szCs w:val="21"/>
              </w:rPr>
              <w:t>悬浮物、化学需氧量、五日生化需</w:t>
            </w:r>
            <w:r>
              <w:rPr>
                <w:color w:val="000000" w:themeColor="text1"/>
                <w:spacing w:val="-16"/>
                <w:sz w:val="21"/>
                <w:szCs w:val="21"/>
              </w:rPr>
              <w:t>氧量、氨氮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声环境</w:t>
            </w:r>
          </w:p>
        </w:tc>
        <w:tc>
          <w:tcPr>
            <w:tcW w:w="247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 xml:space="preserve">等效连续 </w:t>
            </w:r>
            <w:r>
              <w:rPr>
                <w:rFonts w:ascii="Times New Roman" w:eastAsia="Times New Roman"/>
                <w:color w:val="000000" w:themeColor="text1"/>
                <w:sz w:val="21"/>
                <w:szCs w:val="21"/>
              </w:rPr>
              <w:t xml:space="preserve">A </w:t>
            </w:r>
            <w:r>
              <w:rPr>
                <w:color w:val="000000" w:themeColor="text1"/>
                <w:sz w:val="21"/>
                <w:szCs w:val="21"/>
              </w:rPr>
              <w:t>声级</w:t>
            </w:r>
          </w:p>
        </w:tc>
        <w:tc>
          <w:tcPr>
            <w:tcW w:w="180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 xml:space="preserve">等效连续 </w:t>
            </w:r>
            <w:r>
              <w:rPr>
                <w:rFonts w:ascii="Times New Roman" w:eastAsia="Times New Roman"/>
                <w:color w:val="000000" w:themeColor="text1"/>
                <w:sz w:val="21"/>
                <w:szCs w:val="21"/>
              </w:rPr>
              <w:t xml:space="preserve">A </w:t>
            </w:r>
            <w:r>
              <w:rPr>
                <w:color w:val="000000" w:themeColor="text1"/>
                <w:sz w:val="21"/>
                <w:szCs w:val="21"/>
              </w:rPr>
              <w:t>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71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固体废弃物</w:t>
            </w:r>
          </w:p>
        </w:tc>
        <w:tc>
          <w:tcPr>
            <w:tcW w:w="247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w w:val="99"/>
                <w:sz w:val="21"/>
                <w:szCs w:val="21"/>
              </w:rPr>
              <w:t>—</w:t>
            </w:r>
          </w:p>
        </w:tc>
        <w:tc>
          <w:tcPr>
            <w:tcW w:w="180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rFonts w:hint="eastAsia" w:eastAsia="宋体"/>
                <w:color w:val="000000" w:themeColor="text1"/>
                <w:sz w:val="21"/>
                <w:szCs w:val="21"/>
                <w:lang w:eastAsia="zh-CN"/>
              </w:rPr>
            </w:pPr>
            <w:r>
              <w:rPr>
                <w:rFonts w:hint="eastAsia"/>
                <w:color w:val="000000" w:themeColor="text1"/>
                <w:sz w:val="21"/>
                <w:szCs w:val="21"/>
                <w:lang w:eastAsia="zh-CN"/>
              </w:rPr>
              <w:t>一般工业固废、危险废物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71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土壤环境</w:t>
            </w:r>
          </w:p>
        </w:tc>
        <w:tc>
          <w:tcPr>
            <w:tcW w:w="247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rFonts w:hint="eastAsia"/>
                <w:color w:val="000000" w:themeColor="text1"/>
                <w:sz w:val="21"/>
                <w:szCs w:val="21"/>
              </w:rPr>
              <w:t>砷、镉、铬（六价）、铜、铅、汞、镍、四氯化碳、氯仿、氯甲烷、1,1-二氯乙烷、1,2-二氯乙烷、1,1-二氯乙烯、顺-1,2-二氯乙烯、反-1,2-二氯乙烯、二氯甲烷、1,2-二氯丙烷、1,1,1,2-四氯乙烷 、1,1,2,2-四氯乙烷 、四氯乙烯 、1,1,1-三氯乙烷 、1,1,2-三氯乙烷 、三氯乙烯 、1,2,3-三氯丙烷 、氯乙烯 、苯 、氯苯 、1,2-二氯苯 、1,4-二氯苯 、乙苯 、苯乙烯 、甲苯 、间二甲苯+对二甲苯、邻二甲苯 、硝基苯 、苯胺、2-氯酚 、苯并[a]蒽 、苯并[a]芘 、苯并[b]荧蒽 、苯并[k]荧蒽 、</w:t>
            </w:r>
            <w:r>
              <w:rPr>
                <w:rFonts w:hint="eastAsia" w:ascii="宋体-方正超大字符集" w:hAnsi="宋体-方正超大字符集" w:eastAsia="宋体-方正超大字符集" w:cs="宋体-方正超大字符集"/>
                <w:color w:val="000000" w:themeColor="text1"/>
                <w:sz w:val="21"/>
                <w:szCs w:val="21"/>
              </w:rPr>
              <w:t>䓛</w:t>
            </w:r>
            <w:r>
              <w:rPr>
                <w:color w:val="000000" w:themeColor="text1"/>
                <w:sz w:val="21"/>
                <w:szCs w:val="21"/>
              </w:rPr>
              <w:t xml:space="preserve"> </w:t>
            </w:r>
            <w:r>
              <w:rPr>
                <w:rFonts w:hint="eastAsia"/>
                <w:color w:val="000000" w:themeColor="text1"/>
                <w:sz w:val="21"/>
                <w:szCs w:val="21"/>
              </w:rPr>
              <w:t>、二苯并[a,h]蒽 、茚并[1,2,3-cd]芘、萘</w:t>
            </w:r>
          </w:p>
        </w:tc>
        <w:tc>
          <w:tcPr>
            <w:tcW w:w="180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rFonts w:hint="eastAsia" w:eastAsia="宋体"/>
                <w:color w:val="000000" w:themeColor="text1"/>
                <w:sz w:val="21"/>
                <w:szCs w:val="21"/>
                <w:lang w:val="en-US" w:eastAsia="zh-CN"/>
              </w:rPr>
            </w:pPr>
            <w:r>
              <w:rPr>
                <w:color w:val="000000" w:themeColor="text1"/>
                <w:w w:val="99"/>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71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生态环境</w:t>
            </w:r>
          </w:p>
        </w:tc>
        <w:tc>
          <w:tcPr>
            <w:tcW w:w="247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rFonts w:hint="eastAsia"/>
                <w:color w:val="000000" w:themeColor="text1"/>
                <w:sz w:val="21"/>
                <w:szCs w:val="21"/>
              </w:rPr>
              <w:t>土地利用、水土流失、土壤、植被、野生动物</w:t>
            </w:r>
          </w:p>
        </w:tc>
        <w:tc>
          <w:tcPr>
            <w:tcW w:w="180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pacing w:val="-14"/>
                <w:sz w:val="21"/>
                <w:szCs w:val="21"/>
              </w:rPr>
              <w:t>土地利用、水土流失、土壤、植被、野生动物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sz w:val="21"/>
                <w:szCs w:val="21"/>
              </w:rPr>
              <w:t>环境风险</w:t>
            </w:r>
          </w:p>
        </w:tc>
        <w:tc>
          <w:tcPr>
            <w:tcW w:w="247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w w:val="99"/>
                <w:sz w:val="21"/>
                <w:szCs w:val="21"/>
              </w:rPr>
              <w:t>—</w:t>
            </w:r>
          </w:p>
        </w:tc>
        <w:tc>
          <w:tcPr>
            <w:tcW w:w="180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color w:val="000000" w:themeColor="text1"/>
                <w:sz w:val="21"/>
                <w:szCs w:val="21"/>
              </w:rPr>
            </w:pPr>
            <w:r>
              <w:rPr>
                <w:color w:val="000000" w:themeColor="text1"/>
                <w:w w:val="99"/>
                <w:sz w:val="21"/>
                <w:szCs w:val="21"/>
              </w:rPr>
              <w:t>—</w:t>
            </w:r>
          </w:p>
        </w:tc>
      </w:tr>
    </w:tbl>
    <w:p>
      <w:pPr>
        <w:spacing w:line="240" w:lineRule="exact"/>
        <w:rPr>
          <w:sz w:val="21"/>
        </w:rPr>
        <w:sectPr>
          <w:footerReference r:id="rId11" w:type="default"/>
          <w:footerReference r:id="rId12" w:type="even"/>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pStyle w:val="5"/>
        <w:keepNext w:val="0"/>
        <w:keepLines w:val="0"/>
        <w:pageBreakBefore w:val="0"/>
        <w:widowControl w:val="0"/>
        <w:numPr>
          <w:ilvl w:val="1"/>
          <w:numId w:val="4"/>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57" w:name="_bookmark10"/>
      <w:bookmarkEnd w:id="57"/>
      <w:bookmarkStart w:id="58" w:name="2.4_环境功能区划及评价标准"/>
      <w:bookmarkEnd w:id="58"/>
      <w:bookmarkStart w:id="59" w:name="_Toc21352"/>
      <w:bookmarkStart w:id="60" w:name="_Toc15523"/>
      <w:bookmarkStart w:id="61" w:name="_Toc1200"/>
      <w:r>
        <w:t>环境功能区划及评价标准</w:t>
      </w:r>
      <w:bookmarkEnd w:id="59"/>
      <w:bookmarkEnd w:id="60"/>
      <w:bookmarkEnd w:id="61"/>
    </w:p>
    <w:p>
      <w:pPr>
        <w:pStyle w:val="41"/>
        <w:numPr>
          <w:ilvl w:val="2"/>
          <w:numId w:val="4"/>
        </w:numPr>
        <w:tabs>
          <w:tab w:val="left" w:pos="1241"/>
        </w:tabs>
        <w:adjustRightInd w:val="0"/>
        <w:snapToGrid w:val="0"/>
        <w:spacing w:before="0" w:line="360" w:lineRule="auto"/>
        <w:ind w:left="0" w:firstLine="562" w:firstLineChars="200"/>
        <w:jc w:val="both"/>
        <w:outlineLvl w:val="2"/>
        <w:rPr>
          <w:rFonts w:ascii="Times New Roman" w:eastAsia="Times New Roman"/>
          <w:b/>
          <w:sz w:val="28"/>
        </w:rPr>
      </w:pPr>
      <w:bookmarkStart w:id="62" w:name="2.4.1_环境功能区划"/>
      <w:bookmarkEnd w:id="62"/>
      <w:r>
        <w:rPr>
          <w:b/>
          <w:sz w:val="28"/>
        </w:rPr>
        <w:t>环境功能区划</w:t>
      </w:r>
    </w:p>
    <w:p>
      <w:pPr>
        <w:pStyle w:val="41"/>
        <w:numPr>
          <w:ilvl w:val="0"/>
          <w:numId w:val="8"/>
        </w:numPr>
        <w:tabs>
          <w:tab w:val="left" w:pos="1621"/>
        </w:tabs>
        <w:adjustRightInd w:val="0"/>
        <w:snapToGrid w:val="0"/>
        <w:spacing w:before="0" w:line="360" w:lineRule="auto"/>
        <w:ind w:firstLine="480" w:firstLineChars="200"/>
        <w:jc w:val="both"/>
        <w:rPr>
          <w:sz w:val="24"/>
        </w:rPr>
      </w:pPr>
      <w:r>
        <w:rPr>
          <w:sz w:val="24"/>
        </w:rPr>
        <w:t>环境空气功能区划</w:t>
      </w:r>
    </w:p>
    <w:p>
      <w:pPr>
        <w:pStyle w:val="14"/>
        <w:adjustRightInd w:val="0"/>
        <w:snapToGrid w:val="0"/>
        <w:spacing w:line="360" w:lineRule="auto"/>
        <w:ind w:left="0" w:firstLine="480" w:firstLineChars="200"/>
        <w:jc w:val="both"/>
      </w:pPr>
      <w:r>
        <w:t>根据《环境空气质量标准》（</w:t>
      </w:r>
      <w:r>
        <w:rPr>
          <w:rFonts w:ascii="Times New Roman" w:eastAsia="Times New Roman"/>
        </w:rPr>
        <w:t>GB3095-2012</w:t>
      </w:r>
      <w:r>
        <w:t>）中的环境空气质量功能区的分类和标准分级要求，项目属于二类环境空气功能区，执行《环境空气质量标准》（</w:t>
      </w:r>
      <w:r>
        <w:rPr>
          <w:rFonts w:ascii="Times New Roman" w:eastAsia="Times New Roman"/>
        </w:rPr>
        <w:t>GB3095-2012</w:t>
      </w:r>
      <w:r>
        <w:t>）中二级标准。</w:t>
      </w:r>
    </w:p>
    <w:p>
      <w:pPr>
        <w:pStyle w:val="41"/>
        <w:numPr>
          <w:ilvl w:val="0"/>
          <w:numId w:val="8"/>
        </w:numPr>
        <w:tabs>
          <w:tab w:val="left" w:pos="1621"/>
        </w:tabs>
        <w:adjustRightInd w:val="0"/>
        <w:snapToGrid w:val="0"/>
        <w:spacing w:before="0" w:line="360" w:lineRule="auto"/>
        <w:ind w:firstLine="480" w:firstLineChars="200"/>
        <w:jc w:val="both"/>
        <w:rPr>
          <w:sz w:val="24"/>
        </w:rPr>
      </w:pPr>
      <w:r>
        <w:rPr>
          <w:sz w:val="24"/>
        </w:rPr>
        <w:t>水环境功能区划</w:t>
      </w:r>
    </w:p>
    <w:p>
      <w:pPr>
        <w:pStyle w:val="14"/>
        <w:adjustRightInd w:val="0"/>
        <w:snapToGrid w:val="0"/>
        <w:spacing w:line="360" w:lineRule="auto"/>
        <w:ind w:left="0" w:firstLine="480" w:firstLineChars="200"/>
        <w:jc w:val="both"/>
      </w:pPr>
      <w:r>
        <w:t>地下水：根据区域地下水的使用功能，地下水划分为Ⅲ类功能区，执行国家《地下水质量标准》（</w:t>
      </w:r>
      <w:r>
        <w:rPr>
          <w:rFonts w:ascii="Times New Roman" w:hAnsi="Times New Roman" w:eastAsia="Times New Roman"/>
        </w:rPr>
        <w:t>GB/T 14848-2017</w:t>
      </w:r>
      <w:r>
        <w:t>）中的Ⅲ类标准。</w:t>
      </w:r>
    </w:p>
    <w:p>
      <w:pPr>
        <w:pStyle w:val="41"/>
        <w:numPr>
          <w:ilvl w:val="0"/>
          <w:numId w:val="8"/>
        </w:numPr>
        <w:tabs>
          <w:tab w:val="left" w:pos="1621"/>
        </w:tabs>
        <w:adjustRightInd w:val="0"/>
        <w:snapToGrid w:val="0"/>
        <w:spacing w:before="0" w:line="360" w:lineRule="auto"/>
        <w:ind w:firstLine="480" w:firstLineChars="200"/>
        <w:jc w:val="both"/>
        <w:rPr>
          <w:sz w:val="24"/>
        </w:rPr>
      </w:pPr>
      <w:r>
        <w:rPr>
          <w:sz w:val="24"/>
        </w:rPr>
        <w:t>声环境功能区划</w:t>
      </w:r>
    </w:p>
    <w:p>
      <w:pPr>
        <w:pStyle w:val="14"/>
        <w:adjustRightInd w:val="0"/>
        <w:snapToGrid w:val="0"/>
        <w:spacing w:line="360" w:lineRule="auto"/>
        <w:ind w:left="0" w:firstLine="480" w:firstLineChars="200"/>
        <w:jc w:val="both"/>
      </w:pPr>
      <w:r>
        <w:t>本项目位于新疆</w:t>
      </w:r>
      <w:r>
        <w:rPr>
          <w:rFonts w:hint="eastAsia"/>
          <w:lang w:eastAsia="zh-CN"/>
        </w:rPr>
        <w:t>塔城地区额敏县桥南中粮路</w:t>
      </w:r>
      <w:r>
        <w:rPr>
          <w:rFonts w:hint="eastAsia"/>
          <w:lang w:val="en-US" w:eastAsia="zh-CN"/>
        </w:rPr>
        <w:t>21号中粮糖业控股股份有限公司额敏糖业分公司厂区内</w:t>
      </w:r>
      <w:r>
        <w:t>，根据《声环境质量标准》</w:t>
      </w:r>
      <w:r>
        <w:rPr>
          <w:spacing w:val="-6"/>
        </w:rPr>
        <w:t>（</w:t>
      </w:r>
      <w:r>
        <w:rPr>
          <w:rFonts w:ascii="Times New Roman" w:eastAsia="Times New Roman"/>
          <w:spacing w:val="-6"/>
        </w:rPr>
        <w:t>GB3096-2008</w:t>
      </w:r>
      <w:r>
        <w:rPr>
          <w:spacing w:val="-6"/>
        </w:rPr>
        <w:t>）</w:t>
      </w:r>
      <w:r>
        <w:rPr>
          <w:spacing w:val="-10"/>
        </w:rPr>
        <w:t>中声环境功能区分类要求，项目所在区域为</w:t>
      </w:r>
      <w:r>
        <w:rPr>
          <w:rFonts w:hint="eastAsia"/>
          <w:spacing w:val="-10"/>
          <w:lang w:val="en-US" w:eastAsia="zh-CN"/>
        </w:rPr>
        <w:t>3</w:t>
      </w:r>
      <w:r>
        <w:t>类声环境功能区。</w:t>
      </w:r>
    </w:p>
    <w:p>
      <w:pPr>
        <w:pStyle w:val="41"/>
        <w:numPr>
          <w:ilvl w:val="0"/>
          <w:numId w:val="8"/>
        </w:numPr>
        <w:tabs>
          <w:tab w:val="left" w:pos="1621"/>
        </w:tabs>
        <w:adjustRightInd w:val="0"/>
        <w:snapToGrid w:val="0"/>
        <w:spacing w:before="0" w:line="360" w:lineRule="auto"/>
        <w:ind w:firstLine="480" w:firstLineChars="200"/>
        <w:jc w:val="both"/>
        <w:rPr>
          <w:sz w:val="24"/>
        </w:rPr>
      </w:pPr>
      <w:r>
        <w:rPr>
          <w:sz w:val="24"/>
        </w:rPr>
        <w:t>生态环境</w:t>
      </w:r>
    </w:p>
    <w:p>
      <w:pPr>
        <w:pStyle w:val="14"/>
        <w:adjustRightInd w:val="0"/>
        <w:snapToGrid w:val="0"/>
        <w:spacing w:line="360" w:lineRule="auto"/>
        <w:ind w:left="0" w:firstLine="456" w:firstLineChars="200"/>
        <w:jc w:val="both"/>
      </w:pPr>
      <w:r>
        <w:rPr>
          <w:rFonts w:hint="eastAsia"/>
          <w:spacing w:val="-6"/>
        </w:rPr>
        <w:t>根据《新疆生态功能区划》，</w:t>
      </w:r>
      <w:r>
        <w:rPr>
          <w:color w:val="000000"/>
        </w:rPr>
        <w:t>项目处于</w:t>
      </w:r>
      <w:r>
        <w:rPr>
          <w:rFonts w:hint="eastAsia"/>
          <w:color w:val="000000"/>
          <w:lang w:val="en-US" w:eastAsia="zh-CN"/>
        </w:rPr>
        <w:t>I阿尔泰-准噶尔西部山地温凉森林、草原生态区-I</w:t>
      </w:r>
      <w:r>
        <w:rPr>
          <w:rFonts w:hint="eastAsia"/>
          <w:color w:val="000000"/>
          <w:vertAlign w:val="subscript"/>
          <w:lang w:val="en-US" w:eastAsia="zh-CN"/>
        </w:rPr>
        <w:t>3</w:t>
      </w:r>
      <w:r>
        <w:rPr>
          <w:rFonts w:hint="eastAsia"/>
          <w:color w:val="000000"/>
          <w:lang w:eastAsia="zh-CN"/>
        </w:rPr>
        <w:t>准噶尔西部山地草原牧业及盆地绿洲农业生态亚区</w:t>
      </w:r>
      <w:r>
        <w:rPr>
          <w:rFonts w:hint="eastAsia"/>
          <w:color w:val="000000"/>
          <w:lang w:val="en-US"/>
        </w:rPr>
        <w:t>-</w:t>
      </w:r>
      <w:r>
        <w:rPr>
          <w:rFonts w:hint="eastAsia"/>
          <w:color w:val="000000"/>
          <w:lang w:val="en-US" w:eastAsia="zh-CN"/>
        </w:rPr>
        <w:t>11.塔城盆地绿洲农业生态功能区</w:t>
      </w:r>
      <w:r>
        <w:t>。</w:t>
      </w:r>
    </w:p>
    <w:p>
      <w:pPr>
        <w:pStyle w:val="6"/>
        <w:numPr>
          <w:ilvl w:val="2"/>
          <w:numId w:val="4"/>
        </w:numPr>
        <w:tabs>
          <w:tab w:val="left" w:pos="1241"/>
        </w:tabs>
        <w:adjustRightInd w:val="0"/>
        <w:snapToGrid w:val="0"/>
        <w:spacing w:line="360" w:lineRule="auto"/>
        <w:ind w:left="0" w:firstLine="562" w:firstLineChars="200"/>
        <w:jc w:val="both"/>
        <w:rPr>
          <w:rFonts w:ascii="Times New Roman" w:eastAsia="Times New Roman"/>
        </w:rPr>
      </w:pPr>
      <w:bookmarkStart w:id="63" w:name="2.4.2_评价标准"/>
      <w:bookmarkEnd w:id="63"/>
      <w:r>
        <w:t>评价标准</w:t>
      </w:r>
    </w:p>
    <w:p>
      <w:pPr>
        <w:pStyle w:val="41"/>
        <w:numPr>
          <w:ilvl w:val="3"/>
          <w:numId w:val="9"/>
        </w:numPr>
        <w:tabs>
          <w:tab w:val="left" w:pos="1320"/>
        </w:tabs>
        <w:adjustRightInd w:val="0"/>
        <w:snapToGrid w:val="0"/>
        <w:spacing w:before="0" w:line="360" w:lineRule="auto"/>
        <w:ind w:left="0" w:firstLine="480" w:firstLineChars="200"/>
        <w:jc w:val="both"/>
        <w:rPr>
          <w:sz w:val="24"/>
        </w:rPr>
      </w:pPr>
      <w:bookmarkStart w:id="64" w:name="2.4.2.1_环境质量标准"/>
      <w:bookmarkEnd w:id="64"/>
      <w:r>
        <w:rPr>
          <w:sz w:val="24"/>
        </w:rPr>
        <w:t>环境质量标准</w:t>
      </w:r>
    </w:p>
    <w:p>
      <w:pPr>
        <w:pStyle w:val="41"/>
        <w:numPr>
          <w:ilvl w:val="4"/>
          <w:numId w:val="9"/>
        </w:numPr>
        <w:tabs>
          <w:tab w:val="left" w:pos="1621"/>
        </w:tabs>
        <w:adjustRightInd w:val="0"/>
        <w:snapToGrid w:val="0"/>
        <w:spacing w:before="0" w:line="360" w:lineRule="auto"/>
        <w:ind w:firstLine="480" w:firstLineChars="200"/>
        <w:jc w:val="both"/>
        <w:rPr>
          <w:sz w:val="24"/>
        </w:rPr>
      </w:pPr>
      <w:r>
        <w:rPr>
          <w:sz w:val="24"/>
        </w:rPr>
        <w:t>环境空气质量标准</w:t>
      </w:r>
    </w:p>
    <w:p>
      <w:pPr>
        <w:pStyle w:val="14"/>
        <w:adjustRightInd w:val="0"/>
        <w:snapToGrid w:val="0"/>
        <w:spacing w:line="360" w:lineRule="auto"/>
        <w:ind w:left="0" w:firstLine="444" w:firstLineChars="200"/>
        <w:jc w:val="both"/>
      </w:pPr>
      <w:r>
        <w:rPr>
          <w:spacing w:val="-9"/>
          <w:position w:val="2"/>
        </w:rPr>
        <w:t xml:space="preserve">项目所在地属环境空气质量二类区，环境空气质量中 </w:t>
      </w:r>
      <w:r>
        <w:rPr>
          <w:rFonts w:ascii="Times New Roman" w:hAnsi="Times New Roman" w:eastAsia="Times New Roman"/>
          <w:position w:val="2"/>
        </w:rPr>
        <w:t>SO</w:t>
      </w:r>
      <w:r>
        <w:rPr>
          <w:rFonts w:ascii="Times New Roman" w:hAnsi="Times New Roman" w:eastAsia="Times New Roman"/>
          <w:position w:val="2"/>
          <w:vertAlign w:val="subscript"/>
        </w:rPr>
        <w:t>2</w:t>
      </w:r>
      <w:r>
        <w:rPr>
          <w:spacing w:val="-111"/>
          <w:position w:val="2"/>
        </w:rPr>
        <w:t>、</w:t>
      </w:r>
      <w:r>
        <w:rPr>
          <w:rFonts w:ascii="Times New Roman" w:hAnsi="Times New Roman" w:eastAsia="Times New Roman"/>
          <w:position w:val="2"/>
        </w:rPr>
        <w:t>NO</w:t>
      </w:r>
      <w:r>
        <w:rPr>
          <w:rFonts w:ascii="Times New Roman" w:hAnsi="Times New Roman" w:eastAsia="Times New Roman"/>
          <w:position w:val="2"/>
          <w:vertAlign w:val="subscript"/>
        </w:rPr>
        <w:t>2</w:t>
      </w:r>
      <w:r>
        <w:rPr>
          <w:spacing w:val="-111"/>
          <w:position w:val="2"/>
        </w:rPr>
        <w:t>、</w:t>
      </w:r>
      <w:r>
        <w:rPr>
          <w:rFonts w:ascii="Times New Roman" w:hAnsi="Times New Roman" w:eastAsia="Times New Roman"/>
          <w:position w:val="2"/>
        </w:rPr>
        <w:t>PM</w:t>
      </w:r>
      <w:r>
        <w:rPr>
          <w:rFonts w:ascii="Times New Roman" w:hAnsi="Times New Roman" w:eastAsia="Times New Roman"/>
          <w:position w:val="2"/>
          <w:vertAlign w:val="subscript"/>
        </w:rPr>
        <w:t>10</w:t>
      </w:r>
      <w:r>
        <w:rPr>
          <w:spacing w:val="-108"/>
          <w:position w:val="2"/>
        </w:rPr>
        <w:t>、</w:t>
      </w:r>
      <w:r>
        <w:rPr>
          <w:rFonts w:ascii="Times New Roman" w:hAnsi="Times New Roman" w:eastAsia="Times New Roman"/>
          <w:position w:val="2"/>
        </w:rPr>
        <w:t>PM</w:t>
      </w:r>
      <w:r>
        <w:rPr>
          <w:rFonts w:ascii="Times New Roman" w:hAnsi="Times New Roman" w:eastAsia="Times New Roman"/>
          <w:position w:val="2"/>
          <w:vertAlign w:val="subscript"/>
        </w:rPr>
        <w:t>2.5</w:t>
      </w:r>
      <w:r>
        <w:rPr>
          <w:spacing w:val="-28"/>
          <w:position w:val="2"/>
        </w:rPr>
        <w:t>、</w:t>
      </w:r>
      <w:r>
        <w:rPr>
          <w:rFonts w:ascii="Times New Roman" w:hAnsi="Times New Roman" w:eastAsia="Times New Roman"/>
          <w:position w:val="2"/>
        </w:rPr>
        <w:t>CO</w:t>
      </w:r>
      <w:r>
        <w:rPr>
          <w:position w:val="2"/>
        </w:rPr>
        <w:t>、</w:t>
      </w:r>
      <w:r>
        <w:rPr>
          <w:rFonts w:ascii="Times New Roman" w:hAnsi="Times New Roman" w:eastAsia="Times New Roman"/>
          <w:position w:val="2"/>
        </w:rPr>
        <w:t>O</w:t>
      </w:r>
      <w:r>
        <w:rPr>
          <w:rFonts w:ascii="Times New Roman" w:hAnsi="Times New Roman" w:eastAsia="Times New Roman"/>
          <w:position w:val="2"/>
          <w:vertAlign w:val="subscript"/>
        </w:rPr>
        <w:t>3</w:t>
      </w:r>
      <w:r>
        <w:rPr>
          <w:position w:val="2"/>
        </w:rPr>
        <w:t>、</w:t>
      </w:r>
      <w:r>
        <w:rPr>
          <w:rFonts w:hint="eastAsia"/>
          <w:position w:val="2"/>
          <w:lang w:eastAsia="zh-CN"/>
        </w:rPr>
        <w:t>汞、</w:t>
      </w:r>
      <w:r>
        <w:rPr>
          <w:rFonts w:hint="eastAsia"/>
          <w:position w:val="2"/>
          <w:lang w:val="en-US" w:eastAsia="zh-CN"/>
        </w:rPr>
        <w:t>TSP</w:t>
      </w:r>
      <w:r>
        <w:rPr>
          <w:position w:val="2"/>
        </w:rPr>
        <w:t>指标</w:t>
      </w:r>
      <w:r>
        <w:rPr>
          <w:color w:val="0000FF"/>
          <w:position w:val="2"/>
        </w:rPr>
        <w:t>执行《环境空气质量标准》（</w:t>
      </w:r>
      <w:r>
        <w:rPr>
          <w:rFonts w:ascii="Times New Roman" w:hAnsi="Times New Roman" w:eastAsia="Times New Roman"/>
          <w:color w:val="0000FF"/>
          <w:position w:val="2"/>
        </w:rPr>
        <w:t>GB3095-2012</w:t>
      </w:r>
      <w:r>
        <w:rPr>
          <w:color w:val="0000FF"/>
          <w:position w:val="2"/>
        </w:rPr>
        <w:t>）</w:t>
      </w:r>
      <w:r>
        <w:rPr>
          <w:rFonts w:hint="eastAsia"/>
          <w:b w:val="0"/>
          <w:bCs w:val="0"/>
          <w:color w:val="0000FF"/>
          <w:lang w:val="en-US" w:eastAsia="zh-CN"/>
        </w:rPr>
        <w:t>及其修改单要求</w:t>
      </w:r>
      <w:r>
        <w:rPr>
          <w:color w:val="0000FF"/>
          <w:position w:val="2"/>
        </w:rPr>
        <w:t>二级浓度限值；</w:t>
      </w:r>
      <w:r>
        <w:rPr>
          <w:rFonts w:ascii="Times New Roman" w:hAnsi="Times New Roman" w:eastAsia="Times New Roman"/>
          <w:color w:val="000000" w:themeColor="text1"/>
          <w:position w:val="2"/>
        </w:rPr>
        <w:t>NH</w:t>
      </w:r>
      <w:r>
        <w:rPr>
          <w:rFonts w:ascii="Times New Roman" w:hAnsi="Times New Roman" w:eastAsia="Times New Roman"/>
          <w:color w:val="000000" w:themeColor="text1"/>
          <w:position w:val="2"/>
          <w:vertAlign w:val="subscript"/>
        </w:rPr>
        <w:t>3</w:t>
      </w:r>
      <w:r>
        <w:rPr>
          <w:color w:val="000000" w:themeColor="text1"/>
          <w:spacing w:val="7"/>
          <w:position w:val="2"/>
        </w:rPr>
        <w:t>执行《环境影响评价技术导则</w:t>
      </w:r>
      <w:r>
        <w:rPr>
          <w:rFonts w:ascii="Times New Roman" w:hAnsi="Times New Roman" w:eastAsia="Times New Roman"/>
          <w:color w:val="000000" w:themeColor="text1"/>
          <w:spacing w:val="6"/>
          <w:position w:val="2"/>
        </w:rPr>
        <w:t>·</w:t>
      </w:r>
      <w:r>
        <w:rPr>
          <w:color w:val="000000" w:themeColor="text1"/>
          <w:spacing w:val="7"/>
          <w:position w:val="2"/>
        </w:rPr>
        <w:t>大气环境》</w:t>
      </w:r>
      <w:r>
        <w:rPr>
          <w:color w:val="000000" w:themeColor="text1"/>
          <w:position w:val="2"/>
        </w:rPr>
        <w:t>（</w:t>
      </w:r>
      <w:r>
        <w:rPr>
          <w:rFonts w:ascii="Times New Roman" w:hAnsi="Times New Roman" w:eastAsia="Times New Roman"/>
          <w:color w:val="000000" w:themeColor="text1"/>
          <w:position w:val="2"/>
        </w:rPr>
        <w:t>HJ2.2-2018</w:t>
      </w:r>
      <w:r>
        <w:rPr>
          <w:color w:val="000000" w:themeColor="text1"/>
          <w:position w:val="2"/>
        </w:rPr>
        <w:t>）</w:t>
      </w:r>
      <w:r>
        <w:rPr>
          <w:color w:val="000000" w:themeColor="text1"/>
          <w:spacing w:val="-14"/>
          <w:position w:val="2"/>
        </w:rPr>
        <w:t xml:space="preserve">附录 </w:t>
      </w:r>
      <w:r>
        <w:rPr>
          <w:rFonts w:ascii="Times New Roman" w:hAnsi="Times New Roman" w:eastAsia="Times New Roman"/>
          <w:color w:val="000000" w:themeColor="text1"/>
          <w:position w:val="2"/>
        </w:rPr>
        <w:t xml:space="preserve">D </w:t>
      </w:r>
      <w:r>
        <w:rPr>
          <w:color w:val="000000" w:themeColor="text1"/>
          <w:position w:val="2"/>
        </w:rPr>
        <w:t>表</w:t>
      </w:r>
      <w:r>
        <w:rPr>
          <w:rFonts w:ascii="Times New Roman" w:eastAsia="Times New Roman"/>
          <w:color w:val="000000" w:themeColor="text1"/>
        </w:rPr>
        <w:t xml:space="preserve">D.1 </w:t>
      </w:r>
      <w:r>
        <w:rPr>
          <w:color w:val="000000" w:themeColor="text1"/>
        </w:rPr>
        <w:t>其他污染物空气质量浓度参考限值。其主要</w:t>
      </w:r>
      <w:r>
        <w:t xml:space="preserve">评价指标见 </w:t>
      </w:r>
      <w:r>
        <w:rPr>
          <w:rFonts w:ascii="Times New Roman" w:eastAsia="Times New Roman"/>
        </w:rPr>
        <w:t>2.4-1</w:t>
      </w:r>
      <w:r>
        <w:t>。</w:t>
      </w:r>
    </w:p>
    <w:p>
      <w:pPr>
        <w:jc w:val="both"/>
        <w:sectPr>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keepNext w:val="0"/>
        <w:keepLines w:val="0"/>
        <w:pageBreakBefore w:val="0"/>
        <w:widowControl w:val="0"/>
        <w:tabs>
          <w:tab w:val="left" w:pos="1521"/>
          <w:tab w:val="left" w:pos="4651"/>
        </w:tabs>
        <w:kinsoku/>
        <w:wordWrap/>
        <w:overflowPunct/>
        <w:topLinePunct w:val="0"/>
        <w:autoSpaceDE w:val="0"/>
        <w:autoSpaceDN w:val="0"/>
        <w:bidi w:val="0"/>
        <w:adjustRightInd w:val="0"/>
        <w:snapToGrid w:val="0"/>
        <w:spacing w:before="70"/>
        <w:ind w:right="23"/>
        <w:textAlignment w:val="auto"/>
        <w:outlineLvl w:val="9"/>
        <w:rPr>
          <w:rFonts w:ascii="Times New Roman" w:eastAsia="Times New Roman"/>
          <w:sz w:val="15"/>
        </w:rPr>
      </w:pPr>
      <w:r>
        <w:t>表</w:t>
      </w:r>
      <w:r>
        <w:rPr>
          <w:spacing w:val="-62"/>
        </w:rPr>
        <w:t xml:space="preserve"> </w:t>
      </w:r>
      <w:r>
        <w:rPr>
          <w:rFonts w:ascii="Times New Roman" w:eastAsia="Times New Roman"/>
        </w:rPr>
        <w:t>2.4-1</w:t>
      </w:r>
      <w:r>
        <w:rPr>
          <w:rFonts w:ascii="Times New Roman" w:eastAsia="Times New Roman"/>
        </w:rPr>
        <w:tab/>
      </w:r>
      <w:r>
        <w:t>环境空气质量标准限值</w:t>
      </w:r>
      <w:r>
        <w:tab/>
      </w:r>
      <w:r>
        <w:t>单位：</w:t>
      </w:r>
      <w:r>
        <w:rPr>
          <w:rFonts w:ascii="Times New Roman" w:eastAsia="Times New Roman"/>
        </w:rPr>
        <w:t>mg/m</w:t>
      </w:r>
      <w:r>
        <w:rPr>
          <w:rFonts w:ascii="Times New Roman" w:eastAsia="Times New Roman"/>
          <w:position w:val="8"/>
          <w:sz w:val="15"/>
        </w:rPr>
        <w:t>3</w:t>
      </w:r>
    </w:p>
    <w:tbl>
      <w:tblPr>
        <w:tblStyle w:val="31"/>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73"/>
        <w:gridCol w:w="1864"/>
        <w:gridCol w:w="1290"/>
        <w:gridCol w:w="3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污染物名称</w:t>
            </w: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取值时间</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浓度限值</w:t>
            </w:r>
          </w:p>
        </w:tc>
        <w:tc>
          <w:tcPr>
            <w:tcW w:w="222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position w:val="2"/>
                <w:sz w:val="21"/>
                <w:szCs w:val="21"/>
              </w:rPr>
              <w:t>SO</w:t>
            </w:r>
            <w:r>
              <w:rPr>
                <w:rFonts w:ascii="Times New Roman"/>
                <w:position w:val="2"/>
                <w:sz w:val="21"/>
                <w:szCs w:val="21"/>
                <w:vertAlign w:val="subscript"/>
              </w:rPr>
              <w:t>2</w:t>
            </w: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24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0.15</w:t>
            </w:r>
          </w:p>
        </w:tc>
        <w:tc>
          <w:tcPr>
            <w:tcW w:w="2226"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hint="default" w:ascii="Times New Roman" w:hAnsi="Times New Roman" w:cs="Times New Roman"/>
                <w:sz w:val="21"/>
                <w:szCs w:val="21"/>
              </w:rPr>
              <w:t>《环境空气质量标准》（GB3095-2012）</w:t>
            </w:r>
            <w:r>
              <w:rPr>
                <w:w w:val="95"/>
                <w:sz w:val="21"/>
                <w:szCs w:val="21"/>
              </w:rPr>
              <w:t xml:space="preserve"> </w:t>
            </w:r>
            <w:r>
              <w:rPr>
                <w:sz w:val="21"/>
                <w:szCs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1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0.50</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position w:val="2"/>
                <w:sz w:val="21"/>
                <w:szCs w:val="21"/>
              </w:rPr>
              <w:t>NO</w:t>
            </w:r>
            <w:r>
              <w:rPr>
                <w:rFonts w:ascii="Times New Roman"/>
                <w:position w:val="2"/>
                <w:sz w:val="21"/>
                <w:szCs w:val="21"/>
                <w:vertAlign w:val="subscript"/>
              </w:rPr>
              <w:t>2</w:t>
            </w: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24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0.08</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1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0.20</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position w:val="2"/>
                <w:sz w:val="21"/>
                <w:szCs w:val="21"/>
              </w:rPr>
              <w:t>PM</w:t>
            </w:r>
            <w:r>
              <w:rPr>
                <w:rFonts w:ascii="Times New Roman"/>
                <w:position w:val="2"/>
                <w:sz w:val="21"/>
                <w:szCs w:val="21"/>
                <w:vertAlign w:val="subscript"/>
              </w:rPr>
              <w:t>10</w:t>
            </w: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24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0.15</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83"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w w:val="105"/>
                <w:position w:val="2"/>
                <w:sz w:val="21"/>
                <w:szCs w:val="21"/>
              </w:rPr>
              <w:t>PM</w:t>
            </w:r>
            <w:r>
              <w:rPr>
                <w:rFonts w:ascii="Times New Roman"/>
                <w:w w:val="105"/>
                <w:sz w:val="21"/>
                <w:szCs w:val="21"/>
              </w:rPr>
              <w:t>2.5</w:t>
            </w: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24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0.075</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CO</w:t>
            </w: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24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w w:val="99"/>
                <w:sz w:val="21"/>
                <w:szCs w:val="21"/>
              </w:rPr>
              <w:t>4</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1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10</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position w:val="2"/>
                <w:sz w:val="21"/>
                <w:szCs w:val="21"/>
              </w:rPr>
              <w:t>O</w:t>
            </w:r>
            <w:r>
              <w:rPr>
                <w:rFonts w:ascii="Times New Roman"/>
                <w:position w:val="2"/>
                <w:sz w:val="21"/>
                <w:szCs w:val="21"/>
                <w:vertAlign w:val="subscript"/>
              </w:rPr>
              <w:t>3</w:t>
            </w: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日最大</w:t>
            </w:r>
            <w:r>
              <w:rPr>
                <w:rFonts w:ascii="Times New Roman" w:eastAsia="Times New Roman"/>
                <w:sz w:val="21"/>
                <w:szCs w:val="21"/>
              </w:rPr>
              <w:t xml:space="preserve">8 </w:t>
            </w:r>
            <w:r>
              <w:rPr>
                <w:sz w:val="21"/>
                <w:szCs w:val="21"/>
              </w:rPr>
              <w:t>小时评价</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0.16</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c>
          <w:tcPr>
            <w:tcW w:w="111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1 </w:t>
            </w:r>
            <w:r>
              <w:rPr>
                <w:sz w:val="21"/>
                <w:szCs w:val="21"/>
              </w:rPr>
              <w:t>小时平均</w:t>
            </w:r>
          </w:p>
        </w:tc>
        <w:tc>
          <w:tcPr>
            <w:tcW w:w="77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0.2</w:t>
            </w:r>
          </w:p>
        </w:tc>
        <w:tc>
          <w:tcPr>
            <w:tcW w:w="222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tcBorders>
              <w:bottom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eastAsia="宋体"/>
                <w:sz w:val="21"/>
                <w:szCs w:val="21"/>
                <w:lang w:val="en-US" w:eastAsia="zh-CN"/>
              </w:rPr>
            </w:pPr>
            <w:r>
              <w:rPr>
                <w:rFonts w:hint="eastAsia"/>
                <w:sz w:val="21"/>
                <w:szCs w:val="21"/>
                <w:lang w:val="en-US" w:eastAsia="zh-CN"/>
              </w:rPr>
              <w:t>TSP</w:t>
            </w:r>
          </w:p>
        </w:tc>
        <w:tc>
          <w:tcPr>
            <w:tcW w:w="1117" w:type="pct"/>
            <w:tcBorders>
              <w:bottom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eastAsia="宋体"/>
                <w:sz w:val="21"/>
                <w:szCs w:val="21"/>
                <w:lang w:val="en-US" w:eastAsia="zh-CN"/>
              </w:rPr>
            </w:pPr>
            <w:r>
              <w:rPr>
                <w:rFonts w:hint="eastAsia"/>
                <w:sz w:val="21"/>
                <w:szCs w:val="21"/>
                <w:lang w:val="en-US" w:eastAsia="zh-CN"/>
              </w:rPr>
              <w:t>年平均</w:t>
            </w:r>
          </w:p>
        </w:tc>
        <w:tc>
          <w:tcPr>
            <w:tcW w:w="773" w:type="pct"/>
            <w:tcBorders>
              <w:bottom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eastAsia="宋体"/>
                <w:sz w:val="21"/>
                <w:szCs w:val="21"/>
                <w:lang w:val="en-US" w:eastAsia="zh-CN"/>
              </w:rPr>
            </w:pPr>
            <w:r>
              <w:rPr>
                <w:rFonts w:hint="eastAsia"/>
                <w:sz w:val="21"/>
                <w:szCs w:val="21"/>
                <w:lang w:val="en-US" w:eastAsia="zh-CN"/>
              </w:rPr>
              <w:t>0.2</w:t>
            </w:r>
          </w:p>
        </w:tc>
        <w:tc>
          <w:tcPr>
            <w:tcW w:w="2226"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eastAsia="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tcBorders>
              <w:bottom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eastAsia="宋体"/>
                <w:sz w:val="21"/>
                <w:szCs w:val="21"/>
                <w:lang w:eastAsia="zh-CN"/>
              </w:rPr>
            </w:pPr>
            <w:r>
              <w:rPr>
                <w:rFonts w:hint="eastAsia"/>
                <w:sz w:val="21"/>
                <w:szCs w:val="21"/>
                <w:lang w:eastAsia="zh-CN"/>
              </w:rPr>
              <w:t>汞</w:t>
            </w:r>
          </w:p>
        </w:tc>
        <w:tc>
          <w:tcPr>
            <w:tcW w:w="1117" w:type="pct"/>
            <w:tcBorders>
              <w:bottom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eastAsia="宋体"/>
                <w:sz w:val="21"/>
                <w:szCs w:val="21"/>
                <w:lang w:eastAsia="zh-CN"/>
              </w:rPr>
            </w:pPr>
            <w:r>
              <w:rPr>
                <w:rFonts w:hint="eastAsia"/>
                <w:sz w:val="21"/>
                <w:szCs w:val="21"/>
                <w:lang w:eastAsia="zh-CN"/>
              </w:rPr>
              <w:t>年平均</w:t>
            </w:r>
          </w:p>
        </w:tc>
        <w:tc>
          <w:tcPr>
            <w:tcW w:w="773" w:type="pct"/>
            <w:tcBorders>
              <w:bottom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eastAsia="宋体"/>
                <w:sz w:val="21"/>
                <w:szCs w:val="21"/>
                <w:lang w:val="en-US" w:eastAsia="zh-CN"/>
              </w:rPr>
            </w:pPr>
            <w:r>
              <w:rPr>
                <w:rFonts w:hint="eastAsia"/>
                <w:sz w:val="21"/>
                <w:szCs w:val="21"/>
                <w:lang w:val="en-US" w:eastAsia="zh-CN"/>
              </w:rPr>
              <w:t>0.05</w:t>
            </w:r>
            <w:r>
              <w:rPr>
                <w:rFonts w:hint="eastAsia" w:eastAsia="宋体"/>
                <w:sz w:val="21"/>
                <w:szCs w:val="21"/>
                <w:lang w:eastAsia="zh-CN"/>
              </w:rPr>
              <w:t>μ</w:t>
            </w:r>
            <w:r>
              <w:rPr>
                <w:rFonts w:ascii="Times New Roman" w:eastAsia="Times New Roman"/>
                <w:sz w:val="21"/>
                <w:szCs w:val="21"/>
              </w:rPr>
              <w:t>g/m</w:t>
            </w:r>
            <w:r>
              <w:rPr>
                <w:rFonts w:hint="eastAsia" w:eastAsia="宋体"/>
                <w:sz w:val="21"/>
                <w:szCs w:val="21"/>
                <w:vertAlign w:val="superscript"/>
                <w:lang w:val="en-US" w:eastAsia="zh-CN"/>
              </w:rPr>
              <w:t>3</w:t>
            </w:r>
          </w:p>
        </w:tc>
        <w:tc>
          <w:tcPr>
            <w:tcW w:w="2226" w:type="pct"/>
            <w:vMerge w:val="continue"/>
            <w:tcBorders>
              <w:bottom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eastAsia="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83" w:type="pct"/>
            <w:tcBorders>
              <w:top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position w:val="2"/>
                <w:sz w:val="21"/>
                <w:szCs w:val="21"/>
              </w:rPr>
              <w:t>NH</w:t>
            </w:r>
            <w:r>
              <w:rPr>
                <w:rFonts w:ascii="Times New Roman"/>
                <w:position w:val="2"/>
                <w:sz w:val="21"/>
                <w:szCs w:val="21"/>
                <w:vertAlign w:val="subscript"/>
              </w:rPr>
              <w:t>3</w:t>
            </w:r>
          </w:p>
        </w:tc>
        <w:tc>
          <w:tcPr>
            <w:tcW w:w="1117" w:type="pct"/>
            <w:tcBorders>
              <w:top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ascii="Times New Roman" w:eastAsia="Times New Roman"/>
                <w:sz w:val="21"/>
                <w:szCs w:val="21"/>
              </w:rPr>
              <w:t xml:space="preserve">1 </w:t>
            </w:r>
            <w:r>
              <w:rPr>
                <w:sz w:val="21"/>
                <w:szCs w:val="21"/>
              </w:rPr>
              <w:t>小时平均</w:t>
            </w:r>
          </w:p>
        </w:tc>
        <w:tc>
          <w:tcPr>
            <w:tcW w:w="773" w:type="pct"/>
            <w:tcBorders>
              <w:top w:val="single" w:color="auto"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0.20</w:t>
            </w:r>
          </w:p>
        </w:tc>
        <w:tc>
          <w:tcPr>
            <w:tcW w:w="2226" w:type="pct"/>
            <w:tcBorders>
              <w:top w:val="single" w:color="auto"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《环境影响评价技术导则</w:t>
            </w:r>
            <w:r>
              <w:rPr>
                <w:rFonts w:ascii="Times New Roman" w:eastAsia="Times New Roman"/>
                <w:sz w:val="21"/>
                <w:szCs w:val="21"/>
              </w:rPr>
              <w:t>-</w:t>
            </w:r>
            <w:r>
              <w:rPr>
                <w:sz w:val="21"/>
                <w:szCs w:val="21"/>
              </w:rPr>
              <w:t>大气环境》</w:t>
            </w:r>
          </w:p>
          <w:p>
            <w:pPr>
              <w:jc w:val="center"/>
              <w:rPr>
                <w:sz w:val="21"/>
                <w:szCs w:val="21"/>
              </w:rPr>
            </w:pPr>
            <w:r>
              <w:rPr>
                <w:sz w:val="21"/>
                <w:szCs w:val="21"/>
              </w:rPr>
              <w:t>（</w:t>
            </w:r>
            <w:r>
              <w:rPr>
                <w:rFonts w:ascii="Times New Roman" w:eastAsia="Times New Roman"/>
                <w:sz w:val="21"/>
                <w:szCs w:val="21"/>
              </w:rPr>
              <w:t>HJ2.2-2018</w:t>
            </w:r>
            <w:r>
              <w:rPr>
                <w:sz w:val="21"/>
                <w:szCs w:val="21"/>
              </w:rPr>
              <w:t xml:space="preserve">）附录 </w:t>
            </w:r>
            <w:r>
              <w:rPr>
                <w:rFonts w:ascii="Times New Roman" w:eastAsia="Times New Roman"/>
                <w:sz w:val="21"/>
                <w:szCs w:val="21"/>
              </w:rPr>
              <w:t>D</w:t>
            </w:r>
          </w:p>
        </w:tc>
      </w:tr>
    </w:tbl>
    <w:p>
      <w:pPr>
        <w:pStyle w:val="41"/>
        <w:numPr>
          <w:ilvl w:val="4"/>
          <w:numId w:val="9"/>
        </w:numPr>
        <w:tabs>
          <w:tab w:val="left" w:pos="1621"/>
        </w:tabs>
        <w:spacing w:before="0" w:line="360" w:lineRule="auto"/>
        <w:ind w:firstLine="480" w:firstLineChars="200"/>
        <w:jc w:val="both"/>
        <w:rPr>
          <w:sz w:val="24"/>
        </w:rPr>
      </w:pPr>
      <w:r>
        <w:rPr>
          <w:sz w:val="24"/>
        </w:rPr>
        <w:t>声环境质量标准</w:t>
      </w:r>
    </w:p>
    <w:p>
      <w:pPr>
        <w:pStyle w:val="14"/>
        <w:spacing w:line="360" w:lineRule="auto"/>
        <w:ind w:left="0" w:firstLine="448" w:firstLineChars="200"/>
        <w:jc w:val="both"/>
      </w:pPr>
      <w:r>
        <w:rPr>
          <w:spacing w:val="-8"/>
        </w:rPr>
        <w:t>项目所在区声环境执行《声环境质量标准》</w:t>
      </w:r>
      <w:r>
        <w:rPr>
          <w:spacing w:val="-4"/>
        </w:rPr>
        <w:t>（</w:t>
      </w:r>
      <w:r>
        <w:rPr>
          <w:rFonts w:ascii="Times New Roman" w:eastAsia="Times New Roman"/>
          <w:spacing w:val="-4"/>
        </w:rPr>
        <w:t>GB3096-2008</w:t>
      </w:r>
      <w:r>
        <w:rPr>
          <w:spacing w:val="-4"/>
        </w:rPr>
        <w:t>）</w:t>
      </w:r>
      <w:r>
        <w:rPr>
          <w:spacing w:val="-19"/>
        </w:rPr>
        <w:t>中的</w:t>
      </w:r>
      <w:r>
        <w:rPr>
          <w:rFonts w:hint="eastAsia"/>
          <w:spacing w:val="-19"/>
          <w:lang w:val="en-US" w:eastAsia="zh-CN"/>
        </w:rPr>
        <w:t>3</w:t>
      </w:r>
      <w:r>
        <w:rPr>
          <w:spacing w:val="-4"/>
        </w:rPr>
        <w:t>类标准，</w:t>
      </w:r>
      <w:r>
        <w:rPr>
          <w:spacing w:val="-7"/>
        </w:rPr>
        <w:t xml:space="preserve">具体标准限值见表 </w:t>
      </w:r>
      <w:r>
        <w:rPr>
          <w:rFonts w:ascii="Times New Roman" w:eastAsia="Times New Roman"/>
        </w:rPr>
        <w:t>2.4-3</w:t>
      </w:r>
      <w:r>
        <w:t>。</w:t>
      </w:r>
    </w:p>
    <w:p>
      <w:pPr>
        <w:keepNext w:val="0"/>
        <w:keepLines w:val="0"/>
        <w:pageBreakBefore w:val="0"/>
        <w:widowControl w:val="0"/>
        <w:tabs>
          <w:tab w:val="left" w:pos="3419"/>
          <w:tab w:val="left" w:pos="5827"/>
        </w:tabs>
        <w:kinsoku/>
        <w:wordWrap/>
        <w:overflowPunct/>
        <w:topLinePunct w:val="0"/>
        <w:autoSpaceDE w:val="0"/>
        <w:autoSpaceDN w:val="0"/>
        <w:bidi w:val="0"/>
        <w:adjustRightInd w:val="0"/>
        <w:snapToGrid w:val="0"/>
        <w:spacing w:line="360" w:lineRule="auto"/>
        <w:textAlignment w:val="auto"/>
        <w:outlineLvl w:val="9"/>
      </w:pPr>
      <w:r>
        <w:t>表</w:t>
      </w:r>
      <w:r>
        <w:rPr>
          <w:spacing w:val="-62"/>
        </w:rPr>
        <w:t xml:space="preserve"> </w:t>
      </w:r>
      <w:r>
        <w:rPr>
          <w:rFonts w:ascii="Times New Roman" w:eastAsia="Times New Roman"/>
        </w:rPr>
        <w:t>2.4-3</w:t>
      </w:r>
      <w:r>
        <w:rPr>
          <w:rFonts w:hint="eastAsia" w:ascii="Times New Roman"/>
          <w:lang w:val="en-US"/>
        </w:rPr>
        <w:t xml:space="preserve">     </w:t>
      </w:r>
      <w:r>
        <w:t>声环境质量标准</w:t>
      </w:r>
      <w:r>
        <w:tab/>
      </w:r>
      <w:r>
        <w:t>单位：</w:t>
      </w:r>
      <w:r>
        <w:rPr>
          <w:rFonts w:ascii="Times New Roman" w:eastAsia="Times New Roman"/>
        </w:rPr>
        <w:t>dB</w:t>
      </w:r>
      <w:r>
        <w:t>（</w:t>
      </w:r>
      <w:r>
        <w:rPr>
          <w:rFonts w:ascii="Times New Roman" w:eastAsia="Times New Roman"/>
        </w:rPr>
        <w:t>A</w:t>
      </w:r>
      <w:r>
        <w:t>）</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528"/>
        <w:gridCol w:w="2215"/>
        <w:gridCol w:w="1264"/>
        <w:gridCol w:w="1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122"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rPr>
            </w:pPr>
            <w:r>
              <w:rPr>
                <w:b/>
                <w:sz w:val="21"/>
              </w:rPr>
              <w:t>标准名称</w:t>
            </w:r>
          </w:p>
        </w:tc>
        <w:tc>
          <w:tcPr>
            <w:tcW w:w="1332"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rPr>
            </w:pPr>
            <w:r>
              <w:rPr>
                <w:b/>
                <w:sz w:val="21"/>
              </w:rPr>
              <w:t>声环境功能区类别</w:t>
            </w:r>
          </w:p>
        </w:tc>
        <w:tc>
          <w:tcPr>
            <w:tcW w:w="1544" w:type="pct"/>
            <w:gridSpan w:val="2"/>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rPr>
            </w:pPr>
            <w:r>
              <w:rPr>
                <w:b/>
                <w:sz w:val="21"/>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122"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
                <w:szCs w:val="2"/>
              </w:rPr>
            </w:pPr>
          </w:p>
        </w:tc>
        <w:tc>
          <w:tcPr>
            <w:tcW w:w="1332"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
                <w:szCs w:val="2"/>
              </w:rPr>
            </w:pPr>
          </w:p>
        </w:tc>
        <w:tc>
          <w:tcPr>
            <w:tcW w:w="76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rPr>
            </w:pPr>
            <w:r>
              <w:rPr>
                <w:b/>
                <w:sz w:val="21"/>
              </w:rPr>
              <w:t>昼间</w:t>
            </w:r>
          </w:p>
        </w:tc>
        <w:tc>
          <w:tcPr>
            <w:tcW w:w="78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rPr>
            </w:pPr>
            <w:r>
              <w:rPr>
                <w:b/>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12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rPr>
            </w:pPr>
            <w:r>
              <w:rPr>
                <w:spacing w:val="-1"/>
                <w:sz w:val="21"/>
              </w:rPr>
              <w:t>《声环境质量标准》</w:t>
            </w:r>
            <w:r>
              <w:rPr>
                <w:sz w:val="21"/>
              </w:rPr>
              <w:t>（</w:t>
            </w:r>
            <w:r>
              <w:rPr>
                <w:rFonts w:ascii="Times New Roman" w:eastAsia="Times New Roman"/>
                <w:sz w:val="21"/>
              </w:rPr>
              <w:t>GB3096-2008</w:t>
            </w:r>
            <w:r>
              <w:rPr>
                <w:sz w:val="21"/>
              </w:rPr>
              <w:t>）</w:t>
            </w:r>
          </w:p>
        </w:tc>
        <w:tc>
          <w:tcPr>
            <w:tcW w:w="133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rPr>
            </w:pPr>
            <w:r>
              <w:rPr>
                <w:rFonts w:hint="eastAsia" w:eastAsia="宋体"/>
                <w:sz w:val="21"/>
                <w:lang w:val="en-US" w:eastAsia="zh-CN"/>
              </w:rPr>
              <w:t>3</w:t>
            </w:r>
            <w:r>
              <w:rPr>
                <w:sz w:val="21"/>
              </w:rPr>
              <w:t>类</w:t>
            </w:r>
          </w:p>
        </w:tc>
        <w:tc>
          <w:tcPr>
            <w:tcW w:w="76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eastAsia="宋体"/>
                <w:sz w:val="21"/>
                <w:lang w:eastAsia="zh-CN"/>
              </w:rPr>
            </w:pPr>
            <w:r>
              <w:rPr>
                <w:rFonts w:ascii="Times New Roman"/>
                <w:sz w:val="21"/>
              </w:rPr>
              <w:t>6</w:t>
            </w:r>
            <w:r>
              <w:rPr>
                <w:rFonts w:hint="eastAsia"/>
                <w:sz w:val="21"/>
                <w:lang w:val="en-US" w:eastAsia="zh-CN"/>
              </w:rPr>
              <w:t>5</w:t>
            </w:r>
          </w:p>
        </w:tc>
        <w:tc>
          <w:tcPr>
            <w:tcW w:w="78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eastAsia="宋体"/>
                <w:sz w:val="21"/>
                <w:lang w:eastAsia="zh-CN"/>
              </w:rPr>
            </w:pPr>
            <w:r>
              <w:rPr>
                <w:rFonts w:ascii="Times New Roman"/>
                <w:sz w:val="21"/>
              </w:rPr>
              <w:t>5</w:t>
            </w:r>
            <w:r>
              <w:rPr>
                <w:rFonts w:hint="eastAsia"/>
                <w:sz w:val="21"/>
                <w:lang w:val="en-US" w:eastAsia="zh-CN"/>
              </w:rPr>
              <w:t>5</w:t>
            </w:r>
          </w:p>
        </w:tc>
      </w:tr>
    </w:tbl>
    <w:p>
      <w:pPr>
        <w:pStyle w:val="41"/>
        <w:numPr>
          <w:ilvl w:val="4"/>
          <w:numId w:val="9"/>
        </w:numPr>
        <w:tabs>
          <w:tab w:val="left" w:pos="1621"/>
        </w:tabs>
        <w:adjustRightInd w:val="0"/>
        <w:snapToGrid w:val="0"/>
        <w:spacing w:before="0" w:line="360" w:lineRule="auto"/>
        <w:ind w:firstLine="480" w:firstLineChars="200"/>
        <w:jc w:val="both"/>
        <w:rPr>
          <w:sz w:val="24"/>
        </w:rPr>
      </w:pPr>
      <w:r>
        <w:rPr>
          <w:sz w:val="24"/>
        </w:rPr>
        <w:t>土壤环境质量标准</w:t>
      </w:r>
    </w:p>
    <w:p>
      <w:pPr>
        <w:adjustRightInd w:val="0"/>
        <w:snapToGrid w:val="0"/>
        <w:spacing w:line="360" w:lineRule="auto"/>
        <w:ind w:firstLine="480" w:firstLineChars="200"/>
        <w:jc w:val="both"/>
        <w:rPr>
          <w:rFonts w:ascii="Times New Roman" w:hAnsi="Times New Roman" w:cs="Times New Roman"/>
          <w:color w:val="000000" w:themeColor="text1"/>
          <w:sz w:val="24"/>
        </w:rPr>
      </w:pPr>
      <w:r>
        <w:rPr>
          <w:rFonts w:ascii="Times New Roman" w:hAnsi="Times New Roman" w:cs="Times New Roman"/>
          <w:sz w:val="24"/>
        </w:rPr>
        <w:t>项目建设区域土壤环</w:t>
      </w:r>
      <w:r>
        <w:rPr>
          <w:rFonts w:ascii="Times New Roman" w:hAnsi="Times New Roman" w:cs="Times New Roman"/>
          <w:sz w:val="24"/>
          <w:szCs w:val="24"/>
        </w:rPr>
        <w:t>境</w:t>
      </w:r>
      <w:r>
        <w:rPr>
          <w:rFonts w:ascii="Times New Roman" w:hAnsi="Times New Roman" w:cs="Times New Roman"/>
          <w:color w:val="000000" w:themeColor="text1"/>
          <w:sz w:val="24"/>
          <w:szCs w:val="24"/>
        </w:rPr>
        <w:t>质量标准采用</w:t>
      </w:r>
      <w:r>
        <w:rPr>
          <w:rFonts w:hint="eastAsia"/>
          <w:snapToGrid w:val="0"/>
          <w:color w:val="000000" w:themeColor="text1"/>
          <w:sz w:val="24"/>
          <w:szCs w:val="24"/>
        </w:rPr>
        <w:t>《土壤环境质量</w:t>
      </w:r>
      <w:r>
        <w:rPr>
          <w:rFonts w:hint="eastAsia"/>
          <w:snapToGrid w:val="0"/>
          <w:color w:val="000000" w:themeColor="text1"/>
          <w:sz w:val="24"/>
          <w:szCs w:val="24"/>
          <w:lang w:val="en-US" w:eastAsia="zh-CN"/>
        </w:rPr>
        <w:t xml:space="preserve"> </w:t>
      </w:r>
      <w:r>
        <w:rPr>
          <w:rFonts w:hint="eastAsia"/>
          <w:snapToGrid w:val="0"/>
          <w:color w:val="000000" w:themeColor="text1"/>
          <w:sz w:val="24"/>
          <w:szCs w:val="24"/>
        </w:rPr>
        <w:t>建设用地土壤污染风险管控标准（试行）》</w:t>
      </w:r>
      <w:r>
        <w:rPr>
          <w:rFonts w:ascii="Times New Roman" w:hAnsi="Times New Roman"/>
          <w:snapToGrid w:val="0"/>
          <w:color w:val="000000" w:themeColor="text1"/>
          <w:sz w:val="24"/>
          <w:szCs w:val="24"/>
        </w:rPr>
        <w:t>(GB36600—2018)</w:t>
      </w:r>
      <w:r>
        <w:rPr>
          <w:rFonts w:hint="eastAsia"/>
          <w:snapToGrid w:val="0"/>
          <w:color w:val="000000" w:themeColor="text1"/>
          <w:sz w:val="24"/>
          <w:szCs w:val="24"/>
        </w:rPr>
        <w:t>中第二类用地筛选值为评价标准</w:t>
      </w:r>
      <w:r>
        <w:rPr>
          <w:rFonts w:ascii="Times New Roman" w:hAnsi="Times New Roman" w:cs="Times New Roman"/>
          <w:color w:val="000000" w:themeColor="text1"/>
          <w:sz w:val="24"/>
          <w:lang w:val="en-US"/>
        </w:rPr>
        <w:t>，标准见表</w:t>
      </w:r>
      <w:r>
        <w:rPr>
          <w:rFonts w:hint="eastAsia" w:ascii="Times New Roman" w:hAnsi="Times New Roman" w:cs="Times New Roman"/>
          <w:color w:val="000000" w:themeColor="text1"/>
          <w:sz w:val="24"/>
          <w:lang w:val="en-US"/>
        </w:rPr>
        <w:t>2.4-4</w:t>
      </w:r>
      <w:r>
        <w:rPr>
          <w:rFonts w:ascii="Times New Roman" w:hAnsi="Times New Roman" w:cs="Times New Roman"/>
          <w:color w:val="000000" w:themeColor="text1"/>
          <w:sz w:val="24"/>
        </w:rPr>
        <w:t>。</w:t>
      </w:r>
    </w:p>
    <w:p>
      <w:pPr>
        <w:pStyle w:val="45"/>
        <w:adjustRightInd w:val="0"/>
        <w:snapToGrid w:val="0"/>
        <w:ind w:firstLine="422" w:firstLineChars="200"/>
        <w:rPr>
          <w:rFonts w:ascii="Times New Roman" w:hAnsi="Times New Roman" w:cs="Times New Roman"/>
          <w:snapToGrid w:val="0"/>
          <w:color w:val="000000" w:themeColor="text1"/>
          <w:highlight w:val="none"/>
        </w:rPr>
      </w:pPr>
      <w:r>
        <w:rPr>
          <w:rFonts w:ascii="Times New Roman" w:hAnsi="Times New Roman" w:eastAsia="宋体" w:cs="Times New Roman"/>
          <w:bCs w:val="0"/>
          <w:color w:val="000000" w:themeColor="text1"/>
          <w:sz w:val="21"/>
          <w:szCs w:val="21"/>
          <w:highlight w:val="none"/>
        </w:rPr>
        <w:t>表</w:t>
      </w:r>
      <w:r>
        <w:rPr>
          <w:rFonts w:hint="eastAsia" w:ascii="Times New Roman" w:hAnsi="Times New Roman" w:eastAsia="宋体" w:cs="Times New Roman"/>
          <w:bCs w:val="0"/>
          <w:color w:val="000000" w:themeColor="text1"/>
          <w:sz w:val="21"/>
          <w:szCs w:val="21"/>
          <w:highlight w:val="none"/>
          <w:lang w:val="en-US"/>
        </w:rPr>
        <w:t>2.4-4</w:t>
      </w:r>
      <w:r>
        <w:rPr>
          <w:rFonts w:ascii="Times New Roman" w:hAnsi="Times New Roman" w:eastAsia="宋体" w:cs="Times New Roman"/>
          <w:bCs w:val="0"/>
          <w:color w:val="000000" w:themeColor="text1"/>
          <w:sz w:val="21"/>
          <w:szCs w:val="21"/>
          <w:highlight w:val="none"/>
        </w:rPr>
        <w:t xml:space="preserve">    土壤环境质量标准    单位：</w:t>
      </w:r>
      <w:r>
        <w:rPr>
          <w:rFonts w:ascii="Times New Roman" w:hAnsi="Times New Roman" w:cs="Times New Roman"/>
          <w:color w:val="000000" w:themeColor="text1"/>
          <w:highlight w:val="none"/>
        </w:rPr>
        <w:t>mg/kg</w:t>
      </w:r>
    </w:p>
    <w:tbl>
      <w:tblPr>
        <w:tblStyle w:val="31"/>
        <w:tblW w:w="5000"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45"/>
        <w:gridCol w:w="2388"/>
        <w:gridCol w:w="2388"/>
        <w:gridCol w:w="2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b/>
                <w:bCs/>
                <w:color w:val="000000" w:themeColor="text1"/>
                <w:sz w:val="21"/>
              </w:rPr>
            </w:pPr>
            <w:bookmarkStart w:id="65" w:name="2.4.2.2_污染物排放标准"/>
            <w:bookmarkEnd w:id="65"/>
            <w:r>
              <w:rPr>
                <w:rFonts w:hint="eastAsia"/>
                <w:b/>
                <w:bCs/>
                <w:color w:val="000000" w:themeColor="text1"/>
                <w:sz w:val="21"/>
              </w:rPr>
              <w:t>序号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b/>
                <w:bCs/>
                <w:color w:val="000000" w:themeColor="text1"/>
                <w:sz w:val="21"/>
              </w:rPr>
            </w:pPr>
            <w:r>
              <w:rPr>
                <w:rFonts w:hint="eastAsia"/>
                <w:b/>
                <w:bCs/>
                <w:color w:val="000000" w:themeColor="text1"/>
                <w:sz w:val="21"/>
              </w:rPr>
              <w:t>检测项目</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b/>
                <w:bCs/>
                <w:color w:val="000000" w:themeColor="text1"/>
                <w:sz w:val="21"/>
              </w:rPr>
            </w:pPr>
            <w:r>
              <w:rPr>
                <w:rFonts w:hint="eastAsia"/>
                <w:b/>
                <w:bCs/>
                <w:color w:val="000000" w:themeColor="text1"/>
                <w:sz w:val="21"/>
              </w:rPr>
              <w:t>单位</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b/>
                <w:bCs/>
                <w:color w:val="000000" w:themeColor="text1"/>
                <w:sz w:val="21"/>
              </w:rPr>
            </w:pPr>
            <w:r>
              <w:rPr>
                <w:rFonts w:hint="eastAsia"/>
                <w:b/>
                <w:bCs/>
                <w:color w:val="000000" w:themeColor="text1"/>
                <w:sz w:val="21"/>
              </w:rPr>
              <w:t>筛</w:t>
            </w:r>
            <w:r>
              <w:rPr>
                <w:b/>
                <w:bCs/>
                <w:color w:val="000000" w:themeColor="text1"/>
                <w:sz w:val="21"/>
              </w:rPr>
              <w:t xml:space="preserve"> </w:t>
            </w:r>
            <w:r>
              <w:rPr>
                <w:rFonts w:hint="eastAsia"/>
                <w:b/>
                <w:bCs/>
                <w:color w:val="000000" w:themeColor="text1"/>
                <w:sz w:val="21"/>
              </w:rPr>
              <w:t>选</w:t>
            </w:r>
            <w:r>
              <w:rPr>
                <w:b/>
                <w:bCs/>
                <w:color w:val="000000" w:themeColor="text1"/>
                <w:sz w:val="21"/>
              </w:rPr>
              <w:t xml:space="preserve"> </w:t>
            </w:r>
            <w:r>
              <w:rPr>
                <w:rFonts w:hint="eastAsia"/>
                <w:b/>
                <w:bCs/>
                <w:color w:val="000000" w:themeColor="text1"/>
                <w:sz w:val="21"/>
              </w:rPr>
              <w:t>值</w:t>
            </w:r>
            <w:r>
              <w:rPr>
                <w:b/>
                <w:bCs/>
                <w:color w:val="000000" w:themeColor="text1"/>
                <w:sz w:val="21"/>
              </w:rPr>
              <w:t xml:space="preserve"> </w:t>
            </w:r>
            <w:r>
              <w:rPr>
                <w:rFonts w:hint="eastAsia"/>
                <w:b/>
                <w:bCs/>
                <w:color w:val="000000" w:themeColor="text1"/>
                <w:sz w:val="21"/>
              </w:rPr>
              <w:t>第二类用地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四氯化碳</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氯仿</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氯甲烷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4</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1,1-</w:t>
            </w:r>
            <w:r>
              <w:rPr>
                <w:rFonts w:hint="eastAsia"/>
                <w:color w:val="000000" w:themeColor="text1"/>
                <w:sz w:val="21"/>
              </w:rPr>
              <w:t>二氯乙烷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5</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1,2-</w:t>
            </w:r>
            <w:r>
              <w:rPr>
                <w:rFonts w:hint="eastAsia"/>
                <w:color w:val="000000" w:themeColor="text1"/>
                <w:sz w:val="21"/>
              </w:rPr>
              <w:t>二氯乙烷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6</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1,1-</w:t>
            </w:r>
            <w:r>
              <w:rPr>
                <w:rFonts w:hint="eastAsia"/>
                <w:color w:val="000000" w:themeColor="text1"/>
                <w:sz w:val="21"/>
              </w:rPr>
              <w:t>二氯乙烯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7</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顺</w:t>
            </w:r>
            <w:r>
              <w:rPr>
                <w:rFonts w:ascii="Times New Roman" w:eastAsia="Times New Roman"/>
                <w:color w:val="000000" w:themeColor="text1"/>
                <w:sz w:val="21"/>
              </w:rPr>
              <w:t>-1,2-</w:t>
            </w:r>
            <w:r>
              <w:rPr>
                <w:rFonts w:hint="eastAsia"/>
                <w:color w:val="000000" w:themeColor="text1"/>
                <w:sz w:val="21"/>
              </w:rPr>
              <w:t>二氯乙烯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596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8</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反</w:t>
            </w:r>
            <w:r>
              <w:rPr>
                <w:rFonts w:ascii="Times New Roman" w:eastAsia="Times New Roman"/>
                <w:color w:val="000000" w:themeColor="text1"/>
                <w:sz w:val="21"/>
              </w:rPr>
              <w:t>-1,2-</w:t>
            </w:r>
            <w:r>
              <w:rPr>
                <w:rFonts w:hint="eastAsia"/>
                <w:color w:val="000000" w:themeColor="text1"/>
                <w:sz w:val="21"/>
              </w:rPr>
              <w:t>二氯乙烯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9</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二氯甲烷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616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10</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1,2-</w:t>
            </w:r>
            <w:r>
              <w:rPr>
                <w:rFonts w:hint="eastAsia"/>
                <w:color w:val="000000" w:themeColor="text1"/>
                <w:sz w:val="21"/>
              </w:rPr>
              <w:t>二氯丙烷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11</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1,1,1,2-</w:t>
            </w:r>
            <w:r>
              <w:rPr>
                <w:rFonts w:hint="eastAsia"/>
                <w:color w:val="000000" w:themeColor="text1"/>
                <w:sz w:val="21"/>
              </w:rPr>
              <w:t>四氯乙烷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12</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1,1,2,2-</w:t>
            </w:r>
            <w:r>
              <w:rPr>
                <w:rFonts w:hint="eastAsia"/>
                <w:color w:val="000000" w:themeColor="text1"/>
                <w:sz w:val="21"/>
              </w:rPr>
              <w:t>四氯乙烷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13</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四氯乙烯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14</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1,1,1-</w:t>
            </w:r>
            <w:r>
              <w:rPr>
                <w:rFonts w:hint="eastAsia"/>
                <w:color w:val="000000" w:themeColor="text1"/>
                <w:sz w:val="21"/>
              </w:rPr>
              <w:t>三氯乙烷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840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15</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1,1,2-</w:t>
            </w:r>
            <w:r>
              <w:rPr>
                <w:rFonts w:hint="eastAsia"/>
                <w:color w:val="000000" w:themeColor="text1"/>
                <w:sz w:val="21"/>
              </w:rPr>
              <w:t>三氯乙烷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16</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三氯乙烯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17</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1,2,3-</w:t>
            </w:r>
            <w:r>
              <w:rPr>
                <w:rFonts w:hint="eastAsia"/>
                <w:color w:val="000000" w:themeColor="text1"/>
                <w:sz w:val="21"/>
              </w:rPr>
              <w:t>三氯丙烷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18</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氯乙烯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0.43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19</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20</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氯苯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hAnsi="Times New Roman"/>
                <w:color w:val="000000" w:themeColor="text1"/>
                <w:sz w:val="21"/>
              </w:rPr>
            </w:pPr>
            <w:r>
              <w:rPr>
                <w:rFonts w:ascii="Times New Roman" w:hAnsi="Times New Roman"/>
                <w:color w:val="000000" w:themeColor="text1"/>
                <w:sz w:val="21"/>
              </w:rPr>
              <w:t>μg/kg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21</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1,2-</w:t>
            </w:r>
            <w:r>
              <w:rPr>
                <w:rFonts w:hint="eastAsia"/>
                <w:color w:val="000000" w:themeColor="text1"/>
                <w:sz w:val="21"/>
              </w:rPr>
              <w:t>二氯苯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560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22</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1,4-</w:t>
            </w:r>
            <w:r>
              <w:rPr>
                <w:rFonts w:hint="eastAsia"/>
                <w:color w:val="000000" w:themeColor="text1"/>
                <w:sz w:val="21"/>
              </w:rPr>
              <w:t>二氯苯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23</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乙苯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24</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苯乙烯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1290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25</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甲苯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26</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间,对-二甲苯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570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27</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邻-二甲苯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640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28</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硝基苯</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29</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苯胺</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30</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ascii="Times New Roman" w:eastAsia="Times New Roman"/>
                <w:color w:val="000000" w:themeColor="text1"/>
                <w:sz w:val="21"/>
              </w:rPr>
              <w:t>2-</w:t>
            </w:r>
            <w:r>
              <w:rPr>
                <w:rFonts w:hint="eastAsia"/>
                <w:color w:val="000000" w:themeColor="text1"/>
                <w:sz w:val="21"/>
              </w:rPr>
              <w:t>氯酚</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2256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31</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苯并</w:t>
            </w:r>
            <w:r>
              <w:rPr>
                <w:rFonts w:ascii="Times New Roman" w:eastAsia="Times New Roman"/>
                <w:color w:val="000000" w:themeColor="text1"/>
                <w:sz w:val="21"/>
              </w:rPr>
              <w:t>[a]</w:t>
            </w:r>
            <w:r>
              <w:rPr>
                <w:rFonts w:hint="eastAsia"/>
                <w:color w:val="000000" w:themeColor="text1"/>
                <w:sz w:val="21"/>
              </w:rPr>
              <w:t>蒽</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32</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苯并</w:t>
            </w:r>
            <w:r>
              <w:rPr>
                <w:rFonts w:ascii="Times New Roman" w:eastAsia="Times New Roman"/>
                <w:color w:val="000000" w:themeColor="text1"/>
                <w:sz w:val="21"/>
              </w:rPr>
              <w:t>[a]</w:t>
            </w:r>
            <w:r>
              <w:rPr>
                <w:rFonts w:hint="eastAsia"/>
                <w:color w:val="000000" w:themeColor="text1"/>
                <w:sz w:val="21"/>
              </w:rPr>
              <w:t>芘</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33</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苯并</w:t>
            </w:r>
            <w:r>
              <w:rPr>
                <w:rFonts w:ascii="Times New Roman" w:eastAsia="Times New Roman"/>
                <w:color w:val="000000" w:themeColor="text1"/>
                <w:sz w:val="21"/>
              </w:rPr>
              <w:t>[b]</w:t>
            </w:r>
            <w:r>
              <w:rPr>
                <w:rFonts w:hint="eastAsia"/>
                <w:color w:val="000000" w:themeColor="text1"/>
                <w:sz w:val="21"/>
              </w:rPr>
              <w:t>荧蒽</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34</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苯并</w:t>
            </w:r>
            <w:r>
              <w:rPr>
                <w:rFonts w:ascii="Times New Roman" w:eastAsia="Times New Roman"/>
                <w:color w:val="000000" w:themeColor="text1"/>
                <w:sz w:val="21"/>
              </w:rPr>
              <w:t>[k]</w:t>
            </w:r>
            <w:r>
              <w:rPr>
                <w:rFonts w:hint="eastAsia"/>
                <w:color w:val="000000" w:themeColor="text1"/>
                <w:sz w:val="21"/>
              </w:rPr>
              <w:t>荧蒽</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35</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ascii="宋体-方正超大字符集" w:hAnsi="宋体-方正超大字符集" w:eastAsia="宋体-方正超大字符集" w:cs="宋体-方正超大字符集"/>
                <w:color w:val="000000" w:themeColor="text1"/>
                <w:sz w:val="21"/>
              </w:rPr>
              <w:t>䓛</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1293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36</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二苯并</w:t>
            </w:r>
            <w:r>
              <w:rPr>
                <w:rFonts w:ascii="Times New Roman" w:eastAsia="Times New Roman"/>
                <w:color w:val="000000" w:themeColor="text1"/>
                <w:sz w:val="21"/>
              </w:rPr>
              <w:t>[a,h]</w:t>
            </w:r>
            <w:r>
              <w:rPr>
                <w:rFonts w:hint="eastAsia"/>
                <w:color w:val="000000" w:themeColor="text1"/>
                <w:sz w:val="21"/>
              </w:rPr>
              <w:t>蒽</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37</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茚并</w:t>
            </w:r>
            <w:r>
              <w:rPr>
                <w:rFonts w:ascii="Times New Roman" w:eastAsia="Times New Roman"/>
                <w:color w:val="000000" w:themeColor="text1"/>
                <w:sz w:val="21"/>
              </w:rPr>
              <w:t>[1,2,3-cd]</w:t>
            </w:r>
            <w:r>
              <w:rPr>
                <w:rFonts w:hint="eastAsia"/>
                <w:color w:val="000000" w:themeColor="text1"/>
                <w:sz w:val="21"/>
              </w:rPr>
              <w:t>芘</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38</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color w:val="000000" w:themeColor="text1"/>
                <w:sz w:val="21"/>
              </w:rPr>
            </w:pPr>
            <w:r>
              <w:rPr>
                <w:rFonts w:hint="eastAsia"/>
                <w:color w:val="000000" w:themeColor="text1"/>
                <w:sz w:val="21"/>
              </w:rPr>
              <w:t>萘</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39</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color w:val="000000" w:themeColor="text1"/>
                <w:sz w:val="21"/>
              </w:rPr>
            </w:pPr>
            <w:r>
              <w:rPr>
                <w:rFonts w:hint="eastAsia"/>
                <w:color w:val="000000" w:themeColor="text1"/>
                <w:sz w:val="21"/>
              </w:rPr>
              <w:t>六价铬</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40</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color w:val="000000" w:themeColor="text1"/>
                <w:sz w:val="21"/>
              </w:rPr>
            </w:pPr>
            <w:r>
              <w:rPr>
                <w:rFonts w:hint="eastAsia"/>
                <w:color w:val="000000" w:themeColor="text1"/>
                <w:sz w:val="21"/>
              </w:rPr>
              <w:t>铅</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41</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color w:val="000000" w:themeColor="text1"/>
                <w:sz w:val="21"/>
              </w:rPr>
            </w:pPr>
            <w:r>
              <w:rPr>
                <w:rFonts w:hint="eastAsia"/>
                <w:color w:val="000000" w:themeColor="text1"/>
                <w:sz w:val="21"/>
              </w:rPr>
              <w:t>铜</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18000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42</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color w:val="000000" w:themeColor="text1"/>
                <w:sz w:val="21"/>
              </w:rPr>
            </w:pPr>
            <w:r>
              <w:rPr>
                <w:rFonts w:hint="eastAsia"/>
                <w:color w:val="000000" w:themeColor="text1"/>
                <w:sz w:val="21"/>
              </w:rPr>
              <w:t>镍</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43</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color w:val="000000" w:themeColor="text1"/>
                <w:sz w:val="21"/>
              </w:rPr>
            </w:pPr>
            <w:r>
              <w:rPr>
                <w:rFonts w:hint="eastAsia"/>
                <w:color w:val="000000" w:themeColor="text1"/>
                <w:sz w:val="21"/>
              </w:rPr>
              <w:t>镉</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44</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color w:val="000000" w:themeColor="text1"/>
                <w:sz w:val="21"/>
              </w:rPr>
            </w:pPr>
            <w:r>
              <w:rPr>
                <w:rFonts w:hint="eastAsia"/>
                <w:color w:val="000000" w:themeColor="text1"/>
                <w:sz w:val="21"/>
              </w:rPr>
              <w:t>砷</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89"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45</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color w:val="000000" w:themeColor="text1"/>
                <w:sz w:val="21"/>
              </w:rPr>
            </w:pPr>
            <w:r>
              <w:rPr>
                <w:rFonts w:hint="eastAsia"/>
                <w:color w:val="000000" w:themeColor="text1"/>
                <w:sz w:val="21"/>
              </w:rPr>
              <w:t>汞</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color w:val="000000" w:themeColor="text1"/>
                <w:sz w:val="21"/>
              </w:rPr>
            </w:pPr>
            <w:r>
              <w:rPr>
                <w:rFonts w:ascii="Times New Roman"/>
                <w:color w:val="000000" w:themeColor="text1"/>
                <w:sz w:val="21"/>
              </w:rPr>
              <w:t>mg/kg</w:t>
            </w:r>
          </w:p>
        </w:tc>
        <w:tc>
          <w:tcPr>
            <w:tcW w:w="1437" w:type="pct"/>
            <w:tcBorders>
              <w:top w:val="single" w:color="000000" w:sz="2" w:space="0"/>
              <w:left w:val="single" w:color="000000" w:sz="2" w:space="0"/>
              <w:bottom w:val="single" w:color="000000" w:sz="2" w:space="0"/>
              <w:right w:val="single" w:color="000000" w:sz="2" w:space="0"/>
            </w:tcBorders>
            <w:noWrap w:val="0"/>
            <w:vAlign w:val="top"/>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color w:val="000000" w:themeColor="text1"/>
                <w:sz w:val="21"/>
              </w:rPr>
            </w:pPr>
            <w:r>
              <w:rPr>
                <w:rFonts w:hint="eastAsia" w:ascii="Times New Roman"/>
                <w:color w:val="000000" w:themeColor="text1"/>
                <w:sz w:val="21"/>
              </w:rPr>
              <w:t>38</w:t>
            </w:r>
          </w:p>
        </w:tc>
      </w:tr>
    </w:tbl>
    <w:p>
      <w:pPr>
        <w:pStyle w:val="41"/>
        <w:numPr>
          <w:ilvl w:val="3"/>
          <w:numId w:val="9"/>
        </w:numPr>
        <w:tabs>
          <w:tab w:val="left" w:pos="1320"/>
        </w:tabs>
        <w:adjustRightInd w:val="0"/>
        <w:snapToGrid w:val="0"/>
        <w:spacing w:before="0" w:line="360" w:lineRule="auto"/>
        <w:ind w:left="0" w:firstLine="480" w:firstLineChars="200"/>
        <w:jc w:val="both"/>
        <w:rPr>
          <w:sz w:val="24"/>
        </w:rPr>
      </w:pPr>
      <w:r>
        <w:rPr>
          <w:sz w:val="24"/>
        </w:rPr>
        <w:t>污染物排放标准</w:t>
      </w:r>
    </w:p>
    <w:p>
      <w:pPr>
        <w:pStyle w:val="41"/>
        <w:numPr>
          <w:ilvl w:val="0"/>
          <w:numId w:val="10"/>
        </w:numPr>
        <w:tabs>
          <w:tab w:val="left" w:pos="1621"/>
        </w:tabs>
        <w:adjustRightInd w:val="0"/>
        <w:snapToGrid w:val="0"/>
        <w:spacing w:before="0" w:line="360" w:lineRule="auto"/>
        <w:ind w:firstLine="480" w:firstLineChars="200"/>
        <w:jc w:val="both"/>
        <w:rPr>
          <w:sz w:val="24"/>
        </w:rPr>
      </w:pPr>
      <w:r>
        <w:rPr>
          <w:sz w:val="24"/>
        </w:rPr>
        <w:t>大气污染物排放标准</w:t>
      </w:r>
    </w:p>
    <w:p>
      <w:pPr>
        <w:pStyle w:val="14"/>
        <w:adjustRightInd w:val="0"/>
        <w:snapToGrid w:val="0"/>
        <w:spacing w:line="360" w:lineRule="auto"/>
        <w:ind w:left="0" w:firstLine="480" w:firstLineChars="200"/>
        <w:jc w:val="both"/>
      </w:pPr>
      <w:r>
        <w:rPr>
          <w:rFonts w:hint="eastAsia" w:cs="Times New Roman"/>
          <w:color w:val="0000FF"/>
          <w:spacing w:val="0"/>
          <w:position w:val="0"/>
          <w:sz w:val="24"/>
          <w:szCs w:val="24"/>
          <w:lang w:eastAsia="zh-CN"/>
        </w:rPr>
        <w:t>本项目大气污染物排放浓度执行</w:t>
      </w:r>
      <w:r>
        <w:rPr>
          <w:color w:val="0000FF"/>
          <w:sz w:val="24"/>
          <w:szCs w:val="24"/>
        </w:rPr>
        <w:t>《</w:t>
      </w:r>
      <w:r>
        <w:rPr>
          <w:rFonts w:hint="eastAsia"/>
          <w:color w:val="0000FF"/>
          <w:sz w:val="24"/>
          <w:szCs w:val="24"/>
          <w:lang w:eastAsia="zh-CN"/>
        </w:rPr>
        <w:t>火电厂大气污染物排放标准</w:t>
      </w:r>
      <w:r>
        <w:rPr>
          <w:color w:val="0000FF"/>
          <w:sz w:val="24"/>
          <w:szCs w:val="24"/>
        </w:rPr>
        <w:t>》（</w:t>
      </w:r>
      <w:r>
        <w:rPr>
          <w:rFonts w:ascii="Times New Roman" w:eastAsia="Times New Roman"/>
          <w:color w:val="0000FF"/>
          <w:sz w:val="24"/>
          <w:szCs w:val="24"/>
        </w:rPr>
        <w:t>GB</w:t>
      </w:r>
      <w:r>
        <w:rPr>
          <w:rFonts w:hint="eastAsia" w:eastAsia="宋体"/>
          <w:color w:val="0000FF"/>
          <w:sz w:val="24"/>
          <w:szCs w:val="24"/>
          <w:lang w:val="en-US" w:eastAsia="zh-CN"/>
        </w:rPr>
        <w:t>13223</w:t>
      </w:r>
      <w:r>
        <w:rPr>
          <w:rFonts w:ascii="Times New Roman" w:eastAsia="Times New Roman"/>
          <w:color w:val="0000FF"/>
          <w:sz w:val="24"/>
          <w:szCs w:val="24"/>
        </w:rPr>
        <w:t>-</w:t>
      </w:r>
      <w:r>
        <w:rPr>
          <w:rFonts w:hint="eastAsia" w:eastAsia="宋体"/>
          <w:color w:val="0000FF"/>
          <w:sz w:val="24"/>
          <w:szCs w:val="24"/>
          <w:lang w:val="en-US" w:eastAsia="zh-CN"/>
        </w:rPr>
        <w:t>2011</w:t>
      </w:r>
      <w:r>
        <w:rPr>
          <w:color w:val="0000FF"/>
          <w:sz w:val="24"/>
          <w:szCs w:val="24"/>
        </w:rPr>
        <w:t>）</w:t>
      </w:r>
      <w:r>
        <w:rPr>
          <w:rFonts w:hint="eastAsia"/>
          <w:color w:val="0000FF"/>
          <w:sz w:val="24"/>
          <w:szCs w:val="24"/>
          <w:lang w:eastAsia="zh-CN"/>
        </w:rPr>
        <w:t>中</w:t>
      </w:r>
      <w:r>
        <w:rPr>
          <w:color w:val="0000FF"/>
          <w:sz w:val="24"/>
          <w:szCs w:val="24"/>
        </w:rPr>
        <w:t>表</w:t>
      </w:r>
      <w:r>
        <w:rPr>
          <w:rFonts w:hint="eastAsia" w:eastAsia="宋体"/>
          <w:color w:val="0000FF"/>
          <w:sz w:val="24"/>
          <w:szCs w:val="24"/>
          <w:lang w:val="en-US" w:eastAsia="zh-CN"/>
        </w:rPr>
        <w:t>1火力发电锅炉及燃气轮机组大气污染物排放浓度限值中燃煤锅炉排放限值</w:t>
      </w:r>
      <w:r>
        <w:rPr>
          <w:color w:val="0000FF"/>
          <w:sz w:val="24"/>
          <w:szCs w:val="24"/>
        </w:rPr>
        <w:t>，</w:t>
      </w:r>
      <w:r>
        <w:rPr>
          <w:rFonts w:hint="eastAsia"/>
          <w:sz w:val="24"/>
          <w:szCs w:val="24"/>
          <w:lang w:eastAsia="zh-CN"/>
        </w:rPr>
        <w:t>厂界</w:t>
      </w:r>
      <w:r>
        <w:rPr>
          <w:rFonts w:hint="eastAsia"/>
          <w:lang w:eastAsia="zh-CN"/>
        </w:rPr>
        <w:t>颗粒物浓度执行《大气污染物综合排放标准》（</w:t>
      </w:r>
      <w:r>
        <w:rPr>
          <w:rFonts w:hint="eastAsia"/>
          <w:lang w:val="en-US" w:eastAsia="zh-CN"/>
        </w:rPr>
        <w:t>GB16297-1996</w:t>
      </w:r>
      <w:r>
        <w:rPr>
          <w:rFonts w:hint="eastAsia"/>
          <w:lang w:eastAsia="zh-CN"/>
        </w:rPr>
        <w:t>）中无组织排放监控浓度限值要求，</w:t>
      </w:r>
      <w:r>
        <w:t xml:space="preserve">见表 </w:t>
      </w:r>
      <w:r>
        <w:rPr>
          <w:rFonts w:ascii="Times New Roman" w:eastAsia="Times New Roman"/>
        </w:rPr>
        <w:t>2.4-5</w:t>
      </w:r>
      <w:r>
        <w:t>。</w:t>
      </w:r>
    </w:p>
    <w:p>
      <w:pPr>
        <w:keepNext w:val="0"/>
        <w:keepLines w:val="0"/>
        <w:pageBreakBefore w:val="0"/>
        <w:widowControl w:val="0"/>
        <w:tabs>
          <w:tab w:val="left" w:pos="1519"/>
        </w:tabs>
        <w:kinsoku/>
        <w:wordWrap/>
        <w:overflowPunct/>
        <w:topLinePunct w:val="0"/>
        <w:autoSpaceDE w:val="0"/>
        <w:autoSpaceDN w:val="0"/>
        <w:bidi w:val="0"/>
        <w:adjustRightInd w:val="0"/>
        <w:snapToGrid w:val="0"/>
        <w:spacing w:line="360" w:lineRule="auto"/>
        <w:ind w:firstLine="480" w:firstLineChars="200"/>
        <w:jc w:val="center"/>
        <w:textAlignment w:val="auto"/>
        <w:outlineLvl w:val="9"/>
      </w:pPr>
      <w:r>
        <w:t>表</w:t>
      </w:r>
      <w:r>
        <w:rPr>
          <w:spacing w:val="-62"/>
        </w:rPr>
        <w:t xml:space="preserve"> </w:t>
      </w:r>
      <w:r>
        <w:rPr>
          <w:rFonts w:ascii="Times New Roman" w:eastAsia="Times New Roman"/>
        </w:rPr>
        <w:t>2.4-5</w:t>
      </w:r>
      <w:r>
        <w:rPr>
          <w:rFonts w:ascii="Times New Roman" w:eastAsia="Times New Roman"/>
        </w:rPr>
        <w:tab/>
      </w:r>
      <w:r>
        <w:rPr>
          <w:rFonts w:hint="eastAsia"/>
          <w:lang w:eastAsia="zh-CN"/>
        </w:rPr>
        <w:t>大气污染物排放标准</w:t>
      </w:r>
    </w:p>
    <w:tbl>
      <w:tblPr>
        <w:tblStyle w:val="31"/>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81"/>
        <w:gridCol w:w="2539"/>
        <w:gridCol w:w="5"/>
        <w:gridCol w:w="2127"/>
        <w:gridCol w:w="2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67" w:type="pct"/>
            <w:tcBorders>
              <w:bottom w:val="single" w:color="000000" w:sz="4" w:space="0"/>
            </w:tcBorders>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sz w:val="21"/>
                <w:szCs w:val="21"/>
              </w:rPr>
            </w:pPr>
            <w:r>
              <w:rPr>
                <w:rFonts w:hint="eastAsia"/>
                <w:b/>
                <w:sz w:val="21"/>
                <w:szCs w:val="21"/>
                <w:lang w:eastAsia="zh-CN"/>
              </w:rPr>
              <w:t>污染物</w:t>
            </w:r>
            <w:r>
              <w:rPr>
                <w:b/>
                <w:sz w:val="21"/>
                <w:szCs w:val="21"/>
              </w:rPr>
              <w:t>项目</w:t>
            </w:r>
          </w:p>
        </w:tc>
        <w:tc>
          <w:tcPr>
            <w:tcW w:w="1523" w:type="pct"/>
            <w:gridSpan w:val="2"/>
            <w:tcBorders>
              <w:bottom w:val="single" w:color="000000" w:sz="4" w:space="0"/>
            </w:tcBorders>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b/>
                <w:sz w:val="21"/>
                <w:szCs w:val="21"/>
                <w:lang w:eastAsia="zh-CN"/>
              </w:rPr>
            </w:pPr>
            <w:r>
              <w:rPr>
                <w:rFonts w:hint="eastAsia"/>
                <w:b/>
                <w:sz w:val="21"/>
                <w:szCs w:val="21"/>
                <w:lang w:eastAsia="zh-CN"/>
              </w:rPr>
              <w:t>单位</w:t>
            </w:r>
          </w:p>
        </w:tc>
        <w:tc>
          <w:tcPr>
            <w:tcW w:w="1273" w:type="pct"/>
            <w:tcBorders>
              <w:bottom w:val="single" w:color="000000" w:sz="4" w:space="0"/>
            </w:tcBorders>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sz w:val="21"/>
                <w:szCs w:val="21"/>
              </w:rPr>
            </w:pPr>
            <w:r>
              <w:rPr>
                <w:b/>
                <w:sz w:val="21"/>
                <w:szCs w:val="21"/>
              </w:rPr>
              <w:t>标准值</w:t>
            </w:r>
          </w:p>
        </w:tc>
        <w:tc>
          <w:tcPr>
            <w:tcW w:w="1436" w:type="pct"/>
            <w:tcBorders>
              <w:bottom w:val="single" w:color="000000" w:sz="4" w:space="0"/>
            </w:tcBorders>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67" w:type="pct"/>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0000FF"/>
                <w:sz w:val="21"/>
                <w:szCs w:val="21"/>
                <w:vertAlign w:val="baseline"/>
                <w:lang w:eastAsia="zh-CN"/>
              </w:rPr>
            </w:pPr>
            <w:r>
              <w:rPr>
                <w:rFonts w:hint="eastAsia"/>
                <w:color w:val="0000FF"/>
                <w:sz w:val="21"/>
                <w:szCs w:val="21"/>
                <w:vertAlign w:val="baseline"/>
                <w:lang w:eastAsia="zh-CN"/>
              </w:rPr>
              <w:t>烟尘</w:t>
            </w:r>
          </w:p>
        </w:tc>
        <w:tc>
          <w:tcPr>
            <w:tcW w:w="1520" w:type="pct"/>
            <w:vMerge w:val="restart"/>
            <w:tcBorders>
              <w:top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0000FF"/>
                <w:sz w:val="21"/>
                <w:szCs w:val="21"/>
                <w:vertAlign w:val="baseline"/>
                <w:lang w:val="en-US" w:eastAsia="zh-CN"/>
              </w:rPr>
            </w:pPr>
            <w:r>
              <w:rPr>
                <w:rFonts w:hint="eastAsia"/>
                <w:color w:val="0000FF"/>
                <w:sz w:val="21"/>
                <w:szCs w:val="21"/>
                <w:vertAlign w:val="baseline"/>
                <w:lang w:val="en-US" w:eastAsia="zh-CN"/>
              </w:rPr>
              <w:t>mg/m</w:t>
            </w:r>
            <w:r>
              <w:rPr>
                <w:rFonts w:hint="eastAsia"/>
                <w:color w:val="0000FF"/>
                <w:sz w:val="21"/>
                <w:szCs w:val="21"/>
                <w:vertAlign w:val="superscript"/>
                <w:lang w:val="en-US" w:eastAsia="zh-CN"/>
              </w:rPr>
              <w:t>3</w:t>
            </w:r>
          </w:p>
        </w:tc>
        <w:tc>
          <w:tcPr>
            <w:tcW w:w="1276" w:type="pct"/>
            <w:gridSpan w:val="2"/>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eastAsia="宋体"/>
                <w:color w:val="0000FF"/>
                <w:sz w:val="21"/>
                <w:szCs w:val="21"/>
                <w:vertAlign w:val="baseline"/>
                <w:lang w:val="en-US" w:eastAsia="zh-CN"/>
              </w:rPr>
            </w:pPr>
            <w:r>
              <w:rPr>
                <w:rFonts w:hint="eastAsia"/>
                <w:color w:val="0000FF"/>
                <w:sz w:val="21"/>
                <w:szCs w:val="21"/>
                <w:vertAlign w:val="baseline"/>
                <w:lang w:val="en-US" w:eastAsia="zh-CN"/>
              </w:rPr>
              <w:t>30</w:t>
            </w:r>
          </w:p>
        </w:tc>
        <w:tc>
          <w:tcPr>
            <w:tcW w:w="1436" w:type="pct"/>
            <w:vMerge w:val="restart"/>
            <w:tcBorders>
              <w:top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FF"/>
                <w:sz w:val="21"/>
                <w:szCs w:val="21"/>
                <w:vertAlign w:val="baseline"/>
              </w:rPr>
            </w:pPr>
            <w:r>
              <w:rPr>
                <w:color w:val="0000FF"/>
                <w:sz w:val="21"/>
                <w:szCs w:val="21"/>
              </w:rPr>
              <w:t>《</w:t>
            </w:r>
            <w:r>
              <w:rPr>
                <w:rFonts w:hint="eastAsia"/>
                <w:color w:val="0000FF"/>
                <w:sz w:val="21"/>
                <w:szCs w:val="21"/>
                <w:lang w:eastAsia="zh-CN"/>
              </w:rPr>
              <w:t>火电厂大气污染物排放标准</w:t>
            </w:r>
            <w:r>
              <w:rPr>
                <w:color w:val="0000FF"/>
                <w:sz w:val="21"/>
                <w:szCs w:val="21"/>
              </w:rPr>
              <w:t>》（</w:t>
            </w:r>
            <w:r>
              <w:rPr>
                <w:rFonts w:ascii="Times New Roman" w:eastAsia="Times New Roman"/>
                <w:color w:val="0000FF"/>
                <w:sz w:val="21"/>
                <w:szCs w:val="21"/>
              </w:rPr>
              <w:t>GB</w:t>
            </w:r>
            <w:r>
              <w:rPr>
                <w:rFonts w:hint="eastAsia" w:eastAsia="宋体"/>
                <w:color w:val="0000FF"/>
                <w:sz w:val="21"/>
                <w:szCs w:val="21"/>
                <w:lang w:val="en-US" w:eastAsia="zh-CN"/>
              </w:rPr>
              <w:t>13223</w:t>
            </w:r>
            <w:r>
              <w:rPr>
                <w:rFonts w:ascii="Times New Roman" w:eastAsia="Times New Roman"/>
                <w:color w:val="0000FF"/>
                <w:sz w:val="21"/>
                <w:szCs w:val="21"/>
              </w:rPr>
              <w:t>-</w:t>
            </w:r>
            <w:r>
              <w:rPr>
                <w:rFonts w:hint="eastAsia" w:eastAsia="宋体"/>
                <w:color w:val="0000FF"/>
                <w:sz w:val="21"/>
                <w:szCs w:val="21"/>
                <w:lang w:val="en-US" w:eastAsia="zh-CN"/>
              </w:rPr>
              <w:t>2011</w:t>
            </w:r>
            <w:r>
              <w:rPr>
                <w:color w:val="0000FF"/>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67"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0000FF"/>
                <w:sz w:val="21"/>
                <w:szCs w:val="21"/>
                <w:vertAlign w:val="baseline"/>
                <w:lang w:eastAsia="zh-CN"/>
              </w:rPr>
            </w:pPr>
            <w:r>
              <w:rPr>
                <w:rFonts w:hint="eastAsia"/>
                <w:color w:val="0000FF"/>
                <w:sz w:val="21"/>
                <w:szCs w:val="21"/>
                <w:vertAlign w:val="baseline"/>
                <w:lang w:eastAsia="zh-CN"/>
              </w:rPr>
              <w:t>二氧化硫</w:t>
            </w:r>
          </w:p>
        </w:tc>
        <w:tc>
          <w:tcPr>
            <w:tcW w:w="152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FF"/>
                <w:sz w:val="21"/>
                <w:szCs w:val="21"/>
                <w:vertAlign w:val="baseline"/>
              </w:rPr>
            </w:pPr>
          </w:p>
        </w:tc>
        <w:tc>
          <w:tcPr>
            <w:tcW w:w="1276" w:type="pct"/>
            <w:gridSpan w:val="2"/>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eastAsia="宋体"/>
                <w:color w:val="0000FF"/>
                <w:sz w:val="21"/>
                <w:szCs w:val="21"/>
                <w:vertAlign w:val="baseline"/>
                <w:lang w:val="en-US" w:eastAsia="zh-CN"/>
              </w:rPr>
            </w:pPr>
            <w:r>
              <w:rPr>
                <w:rFonts w:hint="eastAsia"/>
                <w:color w:val="0000FF"/>
                <w:sz w:val="21"/>
                <w:szCs w:val="21"/>
                <w:vertAlign w:val="baseline"/>
                <w:lang w:val="en-US" w:eastAsia="zh-CN"/>
              </w:rPr>
              <w:t>100</w:t>
            </w:r>
          </w:p>
        </w:tc>
        <w:tc>
          <w:tcPr>
            <w:tcW w:w="143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FF"/>
                <w:sz w:val="21"/>
                <w:szCs w:val="21"/>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67"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0000FF"/>
                <w:sz w:val="21"/>
                <w:szCs w:val="21"/>
                <w:vertAlign w:val="baseline"/>
                <w:lang w:eastAsia="zh-CN"/>
              </w:rPr>
            </w:pPr>
            <w:r>
              <w:rPr>
                <w:rFonts w:hint="eastAsia"/>
                <w:color w:val="0000FF"/>
                <w:sz w:val="21"/>
                <w:szCs w:val="21"/>
                <w:vertAlign w:val="baseline"/>
                <w:lang w:eastAsia="zh-CN"/>
              </w:rPr>
              <w:t>氮氧化物</w:t>
            </w:r>
          </w:p>
        </w:tc>
        <w:tc>
          <w:tcPr>
            <w:tcW w:w="152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FF"/>
                <w:sz w:val="21"/>
                <w:szCs w:val="21"/>
                <w:vertAlign w:val="baseline"/>
              </w:rPr>
            </w:pPr>
          </w:p>
        </w:tc>
        <w:tc>
          <w:tcPr>
            <w:tcW w:w="1276" w:type="pct"/>
            <w:gridSpan w:val="2"/>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eastAsia="宋体"/>
                <w:color w:val="0000FF"/>
                <w:sz w:val="21"/>
                <w:szCs w:val="21"/>
                <w:vertAlign w:val="baseline"/>
                <w:lang w:val="en-US" w:eastAsia="zh-CN"/>
              </w:rPr>
            </w:pPr>
            <w:r>
              <w:rPr>
                <w:rFonts w:hint="eastAsia"/>
                <w:color w:val="0000FF"/>
                <w:sz w:val="21"/>
                <w:szCs w:val="21"/>
                <w:vertAlign w:val="baseline"/>
                <w:lang w:val="en-US" w:eastAsia="zh-CN"/>
              </w:rPr>
              <w:t>100</w:t>
            </w:r>
          </w:p>
        </w:tc>
        <w:tc>
          <w:tcPr>
            <w:tcW w:w="143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FF"/>
                <w:sz w:val="21"/>
                <w:szCs w:val="21"/>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67"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0000FF"/>
                <w:sz w:val="21"/>
                <w:szCs w:val="21"/>
                <w:vertAlign w:val="baseline"/>
                <w:lang w:eastAsia="zh-CN"/>
              </w:rPr>
            </w:pPr>
            <w:r>
              <w:rPr>
                <w:rFonts w:hint="eastAsia"/>
                <w:color w:val="0000FF"/>
                <w:sz w:val="21"/>
                <w:szCs w:val="21"/>
                <w:vertAlign w:val="baseline"/>
                <w:lang w:eastAsia="zh-CN"/>
              </w:rPr>
              <w:t>汞及其化合物</w:t>
            </w:r>
          </w:p>
        </w:tc>
        <w:tc>
          <w:tcPr>
            <w:tcW w:w="1520" w:type="pct"/>
            <w:vMerge w:val="continue"/>
            <w:tcBorders>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FF"/>
                <w:sz w:val="21"/>
                <w:szCs w:val="21"/>
                <w:vertAlign w:val="baseline"/>
              </w:rPr>
            </w:pPr>
          </w:p>
        </w:tc>
        <w:tc>
          <w:tcPr>
            <w:tcW w:w="1276" w:type="pct"/>
            <w:gridSpan w:val="2"/>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eastAsia="宋体"/>
                <w:color w:val="0000FF"/>
                <w:sz w:val="21"/>
                <w:szCs w:val="21"/>
                <w:vertAlign w:val="baseline"/>
                <w:lang w:val="en-US" w:eastAsia="zh-CN"/>
              </w:rPr>
            </w:pPr>
            <w:r>
              <w:rPr>
                <w:rFonts w:hint="eastAsia"/>
                <w:color w:val="0000FF"/>
                <w:sz w:val="21"/>
                <w:szCs w:val="21"/>
                <w:vertAlign w:val="baseline"/>
                <w:lang w:val="en-US" w:eastAsia="zh-CN"/>
              </w:rPr>
              <w:t>0.03</w:t>
            </w:r>
          </w:p>
        </w:tc>
        <w:tc>
          <w:tcPr>
            <w:tcW w:w="143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FF"/>
                <w:sz w:val="21"/>
                <w:szCs w:val="21"/>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67"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0000FF"/>
                <w:sz w:val="21"/>
                <w:szCs w:val="21"/>
                <w:vertAlign w:val="baseline"/>
                <w:lang w:eastAsia="zh-CN"/>
              </w:rPr>
            </w:pPr>
            <w:r>
              <w:rPr>
                <w:rFonts w:hint="eastAsia"/>
                <w:color w:val="0000FF"/>
                <w:sz w:val="21"/>
                <w:szCs w:val="21"/>
                <w:vertAlign w:val="baseline"/>
                <w:lang w:eastAsia="zh-CN"/>
              </w:rPr>
              <w:t>林格曼黑度</w:t>
            </w:r>
          </w:p>
        </w:tc>
        <w:tc>
          <w:tcPr>
            <w:tcW w:w="1520" w:type="pct"/>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0000FF"/>
                <w:sz w:val="21"/>
                <w:szCs w:val="21"/>
                <w:vertAlign w:val="baseline"/>
                <w:lang w:val="en-US" w:eastAsia="zh-CN"/>
              </w:rPr>
            </w:pPr>
            <w:r>
              <w:rPr>
                <w:rFonts w:hint="eastAsia"/>
                <w:color w:val="0000FF"/>
                <w:sz w:val="21"/>
                <w:szCs w:val="21"/>
                <w:vertAlign w:val="baseline"/>
                <w:lang w:val="en-US" w:eastAsia="zh-CN"/>
              </w:rPr>
              <w:t>级</w:t>
            </w:r>
          </w:p>
        </w:tc>
        <w:tc>
          <w:tcPr>
            <w:tcW w:w="1276" w:type="pct"/>
            <w:gridSpan w:val="2"/>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eastAsia="宋体"/>
                <w:color w:val="0000FF"/>
                <w:sz w:val="21"/>
                <w:szCs w:val="21"/>
                <w:vertAlign w:val="baseline"/>
                <w:lang w:val="en-US" w:eastAsia="zh-CN"/>
              </w:rPr>
            </w:pPr>
            <w:r>
              <w:rPr>
                <w:rFonts w:hint="eastAsia"/>
                <w:color w:val="0000FF"/>
                <w:sz w:val="21"/>
                <w:szCs w:val="21"/>
                <w:vertAlign w:val="baseline"/>
                <w:lang w:val="en-US" w:eastAsia="zh-CN"/>
              </w:rPr>
              <w:t>1</w:t>
            </w:r>
          </w:p>
        </w:tc>
        <w:tc>
          <w:tcPr>
            <w:tcW w:w="1436" w:type="pct"/>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FF"/>
                <w:sz w:val="21"/>
                <w:szCs w:val="21"/>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767" w:type="pct"/>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颗粒物</w:t>
            </w:r>
          </w:p>
        </w:tc>
        <w:tc>
          <w:tcPr>
            <w:tcW w:w="1520" w:type="pct"/>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mg/m</w:t>
            </w:r>
            <w:r>
              <w:rPr>
                <w:rFonts w:hint="eastAsia"/>
                <w:sz w:val="21"/>
                <w:szCs w:val="21"/>
                <w:vertAlign w:val="superscript"/>
                <w:lang w:val="en-US" w:eastAsia="zh-CN"/>
              </w:rPr>
              <w:t>3</w:t>
            </w:r>
          </w:p>
        </w:tc>
        <w:tc>
          <w:tcPr>
            <w:tcW w:w="1276" w:type="pct"/>
            <w:gridSpan w:val="2"/>
            <w:tcBorders>
              <w:top w:val="single" w:color="000000" w:sz="4" w:space="0"/>
              <w:bottom w:val="single" w:color="000000" w:sz="4" w:space="0"/>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周界外浓度最高点</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143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vertAlign w:val="baseline"/>
              </w:rPr>
            </w:pPr>
            <w:r>
              <w:rPr>
                <w:rFonts w:hint="eastAsia"/>
                <w:lang w:eastAsia="zh-CN"/>
              </w:rPr>
              <w:t>《大气污染物综合排放标准》（</w:t>
            </w:r>
            <w:r>
              <w:rPr>
                <w:rFonts w:hint="eastAsia"/>
                <w:lang w:val="en-US" w:eastAsia="zh-CN"/>
              </w:rPr>
              <w:t>GB16297-1996</w:t>
            </w:r>
            <w:r>
              <w:rPr>
                <w:rFonts w:hint="eastAsia"/>
                <w:lang w:eastAsia="zh-CN"/>
              </w:rPr>
              <w:t>）</w:t>
            </w:r>
          </w:p>
        </w:tc>
      </w:tr>
    </w:tbl>
    <w:p>
      <w:pPr>
        <w:pStyle w:val="41"/>
        <w:numPr>
          <w:ilvl w:val="0"/>
          <w:numId w:val="10"/>
        </w:numPr>
        <w:tabs>
          <w:tab w:val="left" w:pos="1621"/>
        </w:tabs>
        <w:adjustRightInd w:val="0"/>
        <w:snapToGrid w:val="0"/>
        <w:spacing w:before="0" w:line="360" w:lineRule="auto"/>
        <w:ind w:firstLine="480" w:firstLineChars="200"/>
        <w:jc w:val="both"/>
        <w:rPr>
          <w:sz w:val="24"/>
          <w:highlight w:val="none"/>
        </w:rPr>
      </w:pPr>
      <w:r>
        <w:rPr>
          <w:rFonts w:hint="eastAsia"/>
          <w:sz w:val="24"/>
          <w:highlight w:val="none"/>
          <w:lang w:eastAsia="zh-CN"/>
        </w:rPr>
        <w:t>废水</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48" w:firstLineChars="200"/>
        <w:jc w:val="both"/>
        <w:textAlignment w:val="auto"/>
        <w:rPr>
          <w:rFonts w:hint="eastAsia" w:eastAsia="宋体"/>
          <w:sz w:val="24"/>
          <w:highlight w:val="none"/>
          <w:lang w:eastAsia="zh-CN"/>
        </w:rPr>
      </w:pPr>
      <w:r>
        <w:rPr>
          <w:color w:val="auto"/>
          <w:spacing w:val="-8"/>
          <w:sz w:val="24"/>
          <w:szCs w:val="24"/>
          <w:highlight w:val="none"/>
        </w:rPr>
        <w:t>本项目生产废水</w:t>
      </w:r>
      <w:r>
        <w:rPr>
          <w:rFonts w:hint="eastAsia"/>
          <w:color w:val="auto"/>
          <w:spacing w:val="-8"/>
          <w:sz w:val="24"/>
          <w:szCs w:val="24"/>
          <w:highlight w:val="none"/>
          <w:lang w:eastAsia="zh-CN"/>
        </w:rPr>
        <w:t>、</w:t>
      </w:r>
      <w:r>
        <w:rPr>
          <w:color w:val="auto"/>
          <w:spacing w:val="-8"/>
          <w:sz w:val="24"/>
          <w:szCs w:val="24"/>
          <w:highlight w:val="none"/>
        </w:rPr>
        <w:t>脱硫废水</w:t>
      </w:r>
      <w:r>
        <w:rPr>
          <w:rFonts w:hint="eastAsia"/>
          <w:color w:val="auto"/>
          <w:spacing w:val="-8"/>
          <w:sz w:val="24"/>
          <w:szCs w:val="24"/>
          <w:highlight w:val="none"/>
          <w:lang w:eastAsia="zh-CN"/>
        </w:rPr>
        <w:t>经处理后大部分</w:t>
      </w:r>
      <w:r>
        <w:rPr>
          <w:color w:val="auto"/>
          <w:spacing w:val="-8"/>
          <w:sz w:val="24"/>
          <w:szCs w:val="24"/>
          <w:highlight w:val="none"/>
        </w:rPr>
        <w:t>循环利用，定</w:t>
      </w:r>
      <w:r>
        <w:rPr>
          <w:color w:val="auto"/>
          <w:spacing w:val="-1"/>
          <w:sz w:val="24"/>
          <w:szCs w:val="24"/>
          <w:highlight w:val="none"/>
        </w:rPr>
        <w:t>期补充新鲜水</w:t>
      </w:r>
      <w:r>
        <w:rPr>
          <w:rFonts w:hint="eastAsia"/>
          <w:color w:val="auto"/>
          <w:spacing w:val="-1"/>
          <w:sz w:val="24"/>
          <w:szCs w:val="24"/>
          <w:highlight w:val="none"/>
          <w:lang w:eastAsia="zh-CN"/>
        </w:rPr>
        <w:t>，极少量废水用于煤场抑尘</w:t>
      </w:r>
      <w:r>
        <w:rPr>
          <w:color w:val="auto"/>
          <w:spacing w:val="-1"/>
          <w:sz w:val="24"/>
          <w:szCs w:val="24"/>
          <w:highlight w:val="none"/>
        </w:rPr>
        <w:t>；锅炉排污水、锅炉房软水制备废水排入沉淀池，</w:t>
      </w:r>
      <w:r>
        <w:rPr>
          <w:color w:val="auto"/>
          <w:spacing w:val="-6"/>
          <w:sz w:val="24"/>
          <w:szCs w:val="24"/>
          <w:highlight w:val="none"/>
        </w:rPr>
        <w:t>进入除渣系统回用</w:t>
      </w:r>
      <w:r>
        <w:rPr>
          <w:rFonts w:hint="eastAsia"/>
          <w:color w:val="auto"/>
          <w:spacing w:val="-6"/>
          <w:sz w:val="24"/>
          <w:szCs w:val="24"/>
          <w:highlight w:val="none"/>
          <w:lang w:eastAsia="zh-CN"/>
        </w:rPr>
        <w:t>，无新增生活用水，无外排废水。</w:t>
      </w:r>
    </w:p>
    <w:p>
      <w:pPr>
        <w:pStyle w:val="41"/>
        <w:numPr>
          <w:ilvl w:val="0"/>
          <w:numId w:val="10"/>
        </w:numPr>
        <w:tabs>
          <w:tab w:val="left" w:pos="1621"/>
        </w:tabs>
        <w:adjustRightInd w:val="0"/>
        <w:snapToGrid w:val="0"/>
        <w:spacing w:before="0" w:line="360" w:lineRule="auto"/>
        <w:ind w:firstLine="480" w:firstLineChars="200"/>
        <w:jc w:val="both"/>
        <w:rPr>
          <w:sz w:val="24"/>
          <w:highlight w:val="none"/>
        </w:rPr>
      </w:pPr>
      <w:r>
        <w:rPr>
          <w:sz w:val="24"/>
          <w:highlight w:val="none"/>
        </w:rPr>
        <w:t>噪声</w:t>
      </w:r>
    </w:p>
    <w:p>
      <w:pPr>
        <w:pStyle w:val="14"/>
        <w:adjustRightInd w:val="0"/>
        <w:snapToGrid w:val="0"/>
        <w:spacing w:line="360" w:lineRule="auto"/>
        <w:ind w:left="0" w:firstLine="480" w:firstLineChars="200"/>
        <w:jc w:val="both"/>
      </w:pPr>
      <w:r>
        <w:t>运营期厂界噪声执行《工业企业厂界环境噪声排放标准》（</w:t>
      </w:r>
      <w:r>
        <w:rPr>
          <w:rFonts w:ascii="Times New Roman" w:eastAsia="Times New Roman"/>
        </w:rPr>
        <w:t>GB12348-2008</w:t>
      </w:r>
      <w:r>
        <w:t>） 中</w:t>
      </w:r>
      <w:r>
        <w:rPr>
          <w:rFonts w:hint="eastAsia"/>
          <w:lang w:val="en-US" w:eastAsia="zh-CN"/>
        </w:rPr>
        <w:t>3</w:t>
      </w:r>
      <w:r>
        <w:t xml:space="preserve">类区标准，详见表 </w:t>
      </w:r>
      <w:r>
        <w:rPr>
          <w:rFonts w:ascii="Times New Roman" w:eastAsia="Times New Roman"/>
        </w:rPr>
        <w:t>2.4-8</w:t>
      </w:r>
      <w:r>
        <w:t>。</w:t>
      </w:r>
    </w:p>
    <w:p>
      <w:pPr>
        <w:keepNext w:val="0"/>
        <w:keepLines w:val="0"/>
        <w:pageBreakBefore w:val="0"/>
        <w:widowControl w:val="0"/>
        <w:tabs>
          <w:tab w:val="left" w:pos="3239"/>
          <w:tab w:val="left" w:pos="5887"/>
        </w:tabs>
        <w:kinsoku/>
        <w:wordWrap/>
        <w:overflowPunct/>
        <w:topLinePunct w:val="0"/>
        <w:autoSpaceDE w:val="0"/>
        <w:autoSpaceDN w:val="0"/>
        <w:bidi w:val="0"/>
        <w:adjustRightInd w:val="0"/>
        <w:snapToGrid w:val="0"/>
        <w:spacing w:before="81"/>
        <w:ind w:left="1843"/>
        <w:jc w:val="left"/>
        <w:textAlignment w:val="auto"/>
        <w:outlineLvl w:val="9"/>
      </w:pPr>
      <w:r>
        <w:t>表</w:t>
      </w:r>
      <w:r>
        <w:rPr>
          <w:spacing w:val="-62"/>
        </w:rPr>
        <w:t xml:space="preserve"> </w:t>
      </w:r>
      <w:r>
        <w:rPr>
          <w:rFonts w:ascii="Times New Roman" w:eastAsia="Times New Roman"/>
        </w:rPr>
        <w:t>2.4-8</w:t>
      </w:r>
      <w:r>
        <w:rPr>
          <w:rFonts w:ascii="Times New Roman" w:eastAsia="Times New Roman"/>
        </w:rPr>
        <w:tab/>
      </w:r>
      <w:r>
        <w:t>噪声排放标准限值</w:t>
      </w:r>
      <w:r>
        <w:tab/>
      </w:r>
      <w:r>
        <w:t>单位：</w:t>
      </w:r>
      <w:r>
        <w:rPr>
          <w:rFonts w:ascii="Times New Roman" w:eastAsia="Times New Roman"/>
        </w:rPr>
        <w:t>dB</w:t>
      </w:r>
      <w:r>
        <w:t>（</w:t>
      </w:r>
      <w:r>
        <w:rPr>
          <w:rFonts w:ascii="Times New Roman" w:eastAsia="Times New Roman"/>
        </w:rPr>
        <w:t>A</w:t>
      </w:r>
      <w:r>
        <w:t>）</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8"/>
        <w:gridCol w:w="3471"/>
        <w:gridCol w:w="1563"/>
        <w:gridCol w:w="1059"/>
        <w:gridCol w:w="1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78"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评价时段</w:t>
            </w:r>
          </w:p>
        </w:tc>
        <w:tc>
          <w:tcPr>
            <w:tcW w:w="2087"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执行标准</w:t>
            </w:r>
          </w:p>
        </w:tc>
        <w:tc>
          <w:tcPr>
            <w:tcW w:w="940"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声环境功能区类别</w:t>
            </w:r>
          </w:p>
        </w:tc>
        <w:tc>
          <w:tcPr>
            <w:tcW w:w="63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指标</w:t>
            </w:r>
          </w:p>
        </w:tc>
        <w:tc>
          <w:tcPr>
            <w:tcW w:w="6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sz w:val="21"/>
                <w:szCs w:val="21"/>
              </w:rPr>
            </w:pPr>
            <w:r>
              <w:rPr>
                <w:b/>
                <w:sz w:val="21"/>
                <w:szCs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78"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c>
          <w:tcPr>
            <w:tcW w:w="2087"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c>
          <w:tcPr>
            <w:tcW w:w="94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sz w:val="21"/>
                <w:szCs w:val="21"/>
              </w:rPr>
            </w:pPr>
          </w:p>
        </w:tc>
        <w:tc>
          <w:tcPr>
            <w:tcW w:w="63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昼间</w:t>
            </w:r>
          </w:p>
        </w:tc>
        <w:tc>
          <w:tcPr>
            <w:tcW w:w="6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7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施工期</w:t>
            </w:r>
          </w:p>
        </w:tc>
        <w:tc>
          <w:tcPr>
            <w:tcW w:w="20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《建筑施工场界环境噪声排放标准》</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w:t>
            </w:r>
            <w:r>
              <w:rPr>
                <w:rFonts w:ascii="Times New Roman" w:eastAsia="Times New Roman"/>
                <w:sz w:val="21"/>
                <w:szCs w:val="21"/>
              </w:rPr>
              <w:t>GB12523-2011</w:t>
            </w:r>
            <w:r>
              <w:rPr>
                <w:sz w:val="21"/>
                <w:szCs w:val="21"/>
              </w:rPr>
              <w:t>）</w:t>
            </w:r>
          </w:p>
        </w:tc>
        <w:tc>
          <w:tcPr>
            <w:tcW w:w="9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w w:val="99"/>
                <w:sz w:val="21"/>
                <w:szCs w:val="21"/>
              </w:rPr>
              <w:t>—</w:t>
            </w:r>
          </w:p>
        </w:tc>
        <w:tc>
          <w:tcPr>
            <w:tcW w:w="63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70</w:t>
            </w:r>
          </w:p>
        </w:tc>
        <w:tc>
          <w:tcPr>
            <w:tcW w:w="6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sz w:val="21"/>
                <w:szCs w:val="21"/>
              </w:rPr>
            </w:pPr>
            <w:r>
              <w:rPr>
                <w:rFonts w:ascii="Times New Roman"/>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7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运营期</w:t>
            </w:r>
          </w:p>
        </w:tc>
        <w:tc>
          <w:tcPr>
            <w:tcW w:w="20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《工业企业厂界环境噪声排放标准》</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sz w:val="21"/>
                <w:szCs w:val="21"/>
              </w:rPr>
              <w:t>（</w:t>
            </w:r>
            <w:r>
              <w:rPr>
                <w:rFonts w:ascii="Times New Roman" w:eastAsia="Times New Roman"/>
                <w:sz w:val="21"/>
                <w:szCs w:val="21"/>
              </w:rPr>
              <w:t>GB12348-2008</w:t>
            </w:r>
            <w:r>
              <w:rPr>
                <w:sz w:val="21"/>
                <w:szCs w:val="21"/>
              </w:rPr>
              <w:t>）</w:t>
            </w:r>
          </w:p>
        </w:tc>
        <w:tc>
          <w:tcPr>
            <w:tcW w:w="9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sz w:val="21"/>
                <w:szCs w:val="21"/>
              </w:rPr>
            </w:pPr>
            <w:r>
              <w:rPr>
                <w:rFonts w:hint="eastAsia" w:eastAsia="宋体"/>
                <w:w w:val="95"/>
                <w:sz w:val="21"/>
                <w:szCs w:val="21"/>
                <w:lang w:val="en-US" w:eastAsia="zh-CN"/>
              </w:rPr>
              <w:t>3</w:t>
            </w:r>
            <w:r>
              <w:rPr>
                <w:w w:val="95"/>
                <w:sz w:val="21"/>
                <w:szCs w:val="21"/>
              </w:rPr>
              <w:t>类</w:t>
            </w:r>
          </w:p>
        </w:tc>
        <w:tc>
          <w:tcPr>
            <w:tcW w:w="63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eastAsia="宋体"/>
                <w:sz w:val="21"/>
                <w:szCs w:val="21"/>
                <w:lang w:eastAsia="zh-CN"/>
              </w:rPr>
            </w:pPr>
            <w:r>
              <w:rPr>
                <w:rFonts w:ascii="Times New Roman"/>
                <w:sz w:val="21"/>
                <w:szCs w:val="21"/>
              </w:rPr>
              <w:t>6</w:t>
            </w:r>
            <w:r>
              <w:rPr>
                <w:rFonts w:hint="eastAsia"/>
                <w:sz w:val="21"/>
                <w:szCs w:val="21"/>
                <w:lang w:val="en-US" w:eastAsia="zh-CN"/>
              </w:rPr>
              <w:t>5</w:t>
            </w:r>
          </w:p>
        </w:tc>
        <w:tc>
          <w:tcPr>
            <w:tcW w:w="6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eastAsia="宋体"/>
                <w:sz w:val="21"/>
                <w:szCs w:val="21"/>
                <w:lang w:eastAsia="zh-CN"/>
              </w:rPr>
            </w:pPr>
            <w:r>
              <w:rPr>
                <w:rFonts w:ascii="Times New Roman"/>
                <w:sz w:val="21"/>
                <w:szCs w:val="21"/>
              </w:rPr>
              <w:t>5</w:t>
            </w:r>
            <w:r>
              <w:rPr>
                <w:rFonts w:hint="eastAsia"/>
                <w:sz w:val="21"/>
                <w:szCs w:val="21"/>
                <w:lang w:val="en-US" w:eastAsia="zh-CN"/>
              </w:rPr>
              <w:t>5</w:t>
            </w:r>
          </w:p>
        </w:tc>
      </w:tr>
    </w:tbl>
    <w:p>
      <w:pPr>
        <w:pStyle w:val="41"/>
        <w:numPr>
          <w:ilvl w:val="0"/>
          <w:numId w:val="10"/>
        </w:numPr>
        <w:tabs>
          <w:tab w:val="left" w:pos="1621"/>
        </w:tabs>
        <w:adjustRightInd w:val="0"/>
        <w:snapToGrid w:val="0"/>
        <w:spacing w:before="0" w:line="360" w:lineRule="auto"/>
        <w:ind w:firstLine="480" w:firstLineChars="200"/>
        <w:jc w:val="both"/>
        <w:rPr>
          <w:sz w:val="24"/>
          <w:highlight w:val="none"/>
        </w:rPr>
      </w:pPr>
      <w:r>
        <w:rPr>
          <w:sz w:val="24"/>
          <w:highlight w:val="none"/>
        </w:rPr>
        <w:t>固体废物</w:t>
      </w:r>
    </w:p>
    <w:p>
      <w:pPr>
        <w:bidi w:val="0"/>
        <w:rPr>
          <w:rFonts w:hint="eastAsia"/>
          <w:color w:val="auto"/>
          <w:kern w:val="0"/>
          <w:sz w:val="24"/>
          <w:szCs w:val="24"/>
          <w:highlight w:val="none"/>
        </w:rPr>
      </w:pPr>
      <w:r>
        <w:rPr>
          <w:rFonts w:hint="eastAsia" w:ascii="宋体" w:hAnsi="宋体" w:cs="宋体"/>
          <w:color w:val="auto"/>
          <w:spacing w:val="-2"/>
          <w:sz w:val="24"/>
          <w:szCs w:val="24"/>
          <w:highlight w:val="none"/>
          <w:lang w:val="de-DE"/>
        </w:rPr>
        <w:t>根据</w:t>
      </w:r>
      <w:r>
        <w:rPr>
          <w:color w:val="auto"/>
          <w:kern w:val="0"/>
          <w:sz w:val="24"/>
          <w:szCs w:val="24"/>
          <w:highlight w:val="none"/>
        </w:rPr>
        <w:t>《一般工业固体废物贮存和填埋污染控制标准》（GB18599-2020）</w:t>
      </w:r>
      <w:r>
        <w:rPr>
          <w:rFonts w:hint="eastAsia"/>
          <w:color w:val="auto"/>
          <w:kern w:val="0"/>
          <w:sz w:val="24"/>
          <w:szCs w:val="24"/>
          <w:highlight w:val="none"/>
        </w:rPr>
        <w:t>中适用范围指出</w:t>
      </w:r>
      <w:r>
        <w:rPr>
          <w:color w:val="auto"/>
          <w:kern w:val="0"/>
          <w:sz w:val="24"/>
          <w:szCs w:val="24"/>
          <w:highlight w:val="none"/>
        </w:rPr>
        <w:t>采用库房、包装工具（罐、桶、包装袋等）贮存一般工业固体废物过程的污染控制，不适用本标准</w:t>
      </w:r>
      <w:r>
        <w:rPr>
          <w:rFonts w:hint="eastAsia"/>
          <w:color w:val="auto"/>
          <w:kern w:val="0"/>
          <w:sz w:val="24"/>
          <w:szCs w:val="24"/>
          <w:highlight w:val="none"/>
        </w:rPr>
        <w:t>，</w:t>
      </w:r>
      <w:r>
        <w:rPr>
          <w:color w:val="auto"/>
          <w:kern w:val="0"/>
          <w:sz w:val="24"/>
          <w:szCs w:val="24"/>
          <w:highlight w:val="none"/>
        </w:rPr>
        <w:t>其贮存过程应满足相应防渗漏、防雨淋、防扬尘等环境保护要求</w:t>
      </w:r>
      <w:r>
        <w:rPr>
          <w:rFonts w:hint="eastAsia"/>
          <w:color w:val="auto"/>
          <w:kern w:val="0"/>
          <w:sz w:val="24"/>
          <w:szCs w:val="24"/>
          <w:highlight w:val="none"/>
          <w:lang w:eastAsia="zh-CN"/>
        </w:rPr>
        <w:t>，同时满足《一般固体废物分来与代码》（GB/T39198-2020）中要求</w:t>
      </w:r>
      <w:r>
        <w:rPr>
          <w:color w:val="auto"/>
          <w:kern w:val="0"/>
          <w:sz w:val="24"/>
          <w:szCs w:val="24"/>
          <w:highlight w:val="none"/>
        </w:rPr>
        <w:t>。</w:t>
      </w:r>
      <w:r>
        <w:rPr>
          <w:rFonts w:hint="eastAsia"/>
          <w:color w:val="0000FF"/>
          <w:kern w:val="0"/>
          <w:sz w:val="24"/>
          <w:szCs w:val="24"/>
          <w:highlight w:val="none"/>
        </w:rPr>
        <w:t>本项目产生的一般固废</w:t>
      </w:r>
      <w:r>
        <w:rPr>
          <w:rFonts w:hint="eastAsia" w:ascii="宋体" w:hAnsi="宋体" w:cs="宋体"/>
          <w:color w:val="0000FF"/>
          <w:spacing w:val="-4"/>
          <w:sz w:val="24"/>
          <w:szCs w:val="24"/>
          <w:highlight w:val="none"/>
          <w:lang w:eastAsia="zh-CN"/>
        </w:rPr>
        <w:t>脱硫渣、</w:t>
      </w:r>
      <w:r>
        <w:rPr>
          <w:rFonts w:ascii="宋体" w:hAnsi="宋体" w:cs="宋体"/>
          <w:color w:val="0000FF"/>
          <w:spacing w:val="-4"/>
          <w:sz w:val="24"/>
          <w:szCs w:val="24"/>
          <w:highlight w:val="none"/>
        </w:rPr>
        <w:t>锅炉</w:t>
      </w:r>
      <w:r>
        <w:rPr>
          <w:rFonts w:hint="eastAsia" w:ascii="宋体" w:hAnsi="宋体" w:cs="宋体"/>
          <w:color w:val="0000FF"/>
          <w:spacing w:val="-4"/>
          <w:sz w:val="24"/>
          <w:szCs w:val="24"/>
          <w:highlight w:val="none"/>
        </w:rPr>
        <w:t>灰渣</w:t>
      </w:r>
      <w:r>
        <w:rPr>
          <w:rFonts w:ascii="宋体" w:hAnsi="宋体" w:cs="宋体"/>
          <w:color w:val="0000FF"/>
          <w:spacing w:val="-4"/>
          <w:sz w:val="24"/>
          <w:szCs w:val="24"/>
          <w:highlight w:val="none"/>
        </w:rPr>
        <w:t>、</w:t>
      </w:r>
      <w:r>
        <w:rPr>
          <w:rFonts w:ascii="宋体" w:hAnsi="宋体" w:cs="宋体"/>
          <w:color w:val="0000FF"/>
          <w:spacing w:val="-2"/>
          <w:sz w:val="24"/>
          <w:szCs w:val="24"/>
          <w:highlight w:val="none"/>
        </w:rPr>
        <w:t>废离子交换树脂</w:t>
      </w:r>
      <w:r>
        <w:rPr>
          <w:rFonts w:hint="eastAsia" w:ascii="宋体" w:hAnsi="宋体" w:cs="宋体"/>
          <w:color w:val="0000FF"/>
          <w:spacing w:val="-2"/>
          <w:sz w:val="24"/>
          <w:szCs w:val="24"/>
          <w:highlight w:val="none"/>
        </w:rPr>
        <w:t>及</w:t>
      </w:r>
      <w:r>
        <w:rPr>
          <w:rFonts w:hint="eastAsia" w:ascii="宋体" w:hAnsi="宋体" w:cs="宋体"/>
          <w:color w:val="0000FF"/>
          <w:spacing w:val="-2"/>
          <w:sz w:val="24"/>
          <w:szCs w:val="24"/>
          <w:highlight w:val="none"/>
          <w:lang w:val="de-DE"/>
        </w:rPr>
        <w:t>废弃滤袋均在库房内贮存。</w:t>
      </w:r>
      <w:r>
        <w:rPr>
          <w:rFonts w:hint="eastAsia"/>
          <w:color w:val="auto"/>
          <w:kern w:val="0"/>
          <w:sz w:val="24"/>
          <w:szCs w:val="24"/>
          <w:highlight w:val="none"/>
        </w:rPr>
        <w:t>因此，本项目一般固废贮存应满足</w:t>
      </w:r>
      <w:r>
        <w:rPr>
          <w:color w:val="auto"/>
          <w:kern w:val="0"/>
          <w:sz w:val="24"/>
          <w:szCs w:val="24"/>
          <w:highlight w:val="none"/>
        </w:rPr>
        <w:t>防渗漏、防雨淋、防扬尘等环境保护要求。</w:t>
      </w:r>
    </w:p>
    <w:p>
      <w:pPr>
        <w:keepNext w:val="0"/>
        <w:keepLines w:val="0"/>
        <w:widowControl/>
        <w:suppressLineNumbers w:val="0"/>
        <w:jc w:val="left"/>
        <w:rPr>
          <w:color w:val="0000FF"/>
        </w:rPr>
      </w:pPr>
      <w:r>
        <w:rPr>
          <w:color w:val="0000FF"/>
          <w:highlight w:val="none"/>
        </w:rPr>
        <w:t>危险废物</w:t>
      </w:r>
      <w:r>
        <w:rPr>
          <w:rFonts w:hint="eastAsia"/>
          <w:color w:val="0000FF"/>
          <w:highlight w:val="none"/>
          <w:lang w:eastAsia="zh-CN"/>
        </w:rPr>
        <w:t>（废润滑油）</w:t>
      </w:r>
      <w:r>
        <w:rPr>
          <w:color w:val="0000FF"/>
          <w:highlight w:val="none"/>
        </w:rPr>
        <w:t>贮存</w:t>
      </w:r>
      <w:r>
        <w:rPr>
          <w:rFonts w:hint="eastAsia"/>
          <w:color w:val="0000FF"/>
          <w:highlight w:val="none"/>
        </w:rPr>
        <w:t>满足</w:t>
      </w:r>
      <w:r>
        <w:rPr>
          <w:color w:val="0000FF"/>
          <w:highlight w:val="none"/>
        </w:rPr>
        <w:t>《危险废物贮存污染控制标准》（GB18597-20</w:t>
      </w:r>
      <w:r>
        <w:rPr>
          <w:rFonts w:hint="eastAsia"/>
          <w:color w:val="0000FF"/>
          <w:highlight w:val="none"/>
          <w:lang w:val="en-US" w:eastAsia="zh-CN"/>
        </w:rPr>
        <w:t>23</w:t>
      </w:r>
      <w:r>
        <w:rPr>
          <w:color w:val="0000FF"/>
          <w:highlight w:val="none"/>
        </w:rPr>
        <w:t>）</w:t>
      </w:r>
      <w:r>
        <w:rPr>
          <w:rFonts w:hint="eastAsia"/>
          <w:color w:val="0000FF"/>
          <w:highlight w:val="none"/>
        </w:rPr>
        <w:t>的相关要求</w:t>
      </w:r>
      <w:r>
        <w:rPr>
          <w:color w:val="0000FF"/>
          <w:highlight w:val="none"/>
        </w:rPr>
        <w:t>。</w:t>
      </w:r>
    </w:p>
    <w:p>
      <w:pPr>
        <w:pStyle w:val="5"/>
        <w:keepNext w:val="0"/>
        <w:keepLines w:val="0"/>
        <w:pageBreakBefore w:val="0"/>
        <w:widowControl w:val="0"/>
        <w:numPr>
          <w:ilvl w:val="1"/>
          <w:numId w:val="11"/>
        </w:numPr>
        <w:tabs>
          <w:tab w:val="left" w:pos="1100"/>
        </w:tabs>
        <w:kinsoku/>
        <w:wordWrap/>
        <w:overflowPunct/>
        <w:topLinePunct w:val="0"/>
        <w:autoSpaceDE w:val="0"/>
        <w:autoSpaceDN w:val="0"/>
        <w:bidi w:val="0"/>
        <w:adjustRightInd w:val="0"/>
        <w:snapToGrid w:val="0"/>
        <w:spacing w:line="360" w:lineRule="auto"/>
        <w:ind w:left="0"/>
        <w:jc w:val="both"/>
        <w:textAlignment w:val="auto"/>
        <w:rPr>
          <w:color w:val="000000" w:themeColor="text1"/>
        </w:rPr>
      </w:pPr>
      <w:bookmarkStart w:id="66" w:name="2.5_评价时段"/>
      <w:bookmarkEnd w:id="66"/>
      <w:bookmarkStart w:id="67" w:name="_bookmark11"/>
      <w:bookmarkEnd w:id="67"/>
      <w:bookmarkStart w:id="68" w:name="_Toc20839"/>
      <w:bookmarkStart w:id="69" w:name="_Toc25623"/>
      <w:bookmarkStart w:id="70" w:name="_Toc17466"/>
      <w:r>
        <w:rPr>
          <w:color w:val="000000" w:themeColor="text1"/>
        </w:rPr>
        <w:t>评价时段</w:t>
      </w:r>
      <w:bookmarkEnd w:id="68"/>
      <w:bookmarkEnd w:id="69"/>
      <w:bookmarkEnd w:id="70"/>
    </w:p>
    <w:p>
      <w:pPr>
        <w:pStyle w:val="14"/>
        <w:spacing w:line="360" w:lineRule="auto"/>
        <w:ind w:left="0" w:firstLine="456" w:firstLineChars="200"/>
        <w:jc w:val="both"/>
        <w:rPr>
          <w:color w:val="000000" w:themeColor="text1"/>
        </w:rPr>
      </w:pPr>
      <w:r>
        <w:rPr>
          <w:color w:val="000000" w:themeColor="text1"/>
          <w:spacing w:val="-6"/>
        </w:rPr>
        <w:t>根据本项目实施不同阶段和环境影响特点，本次评价时段以建设期、生产运</w:t>
      </w:r>
      <w:r>
        <w:rPr>
          <w:color w:val="000000" w:themeColor="text1"/>
        </w:rPr>
        <w:t>营期两个时段为评价重点。</w:t>
      </w:r>
    </w:p>
    <w:p>
      <w:pPr>
        <w:pStyle w:val="5"/>
        <w:keepNext w:val="0"/>
        <w:keepLines w:val="0"/>
        <w:pageBreakBefore w:val="0"/>
        <w:widowControl w:val="0"/>
        <w:numPr>
          <w:ilvl w:val="1"/>
          <w:numId w:val="11"/>
        </w:numPr>
        <w:tabs>
          <w:tab w:val="left" w:pos="1100"/>
        </w:tabs>
        <w:kinsoku/>
        <w:wordWrap/>
        <w:overflowPunct/>
        <w:topLinePunct w:val="0"/>
        <w:autoSpaceDE w:val="0"/>
        <w:autoSpaceDN w:val="0"/>
        <w:bidi w:val="0"/>
        <w:adjustRightInd w:val="0"/>
        <w:snapToGrid w:val="0"/>
        <w:spacing w:line="360" w:lineRule="auto"/>
        <w:ind w:left="0"/>
        <w:jc w:val="both"/>
        <w:textAlignment w:val="auto"/>
        <w:rPr>
          <w:color w:val="000000" w:themeColor="text1"/>
          <w:highlight w:val="none"/>
        </w:rPr>
      </w:pPr>
      <w:bookmarkStart w:id="71" w:name="2.6_评价等级和评价范围"/>
      <w:bookmarkEnd w:id="71"/>
      <w:bookmarkStart w:id="72" w:name="_Toc31699"/>
      <w:bookmarkStart w:id="73" w:name="_Toc28715"/>
      <w:bookmarkStart w:id="74" w:name="_Toc20220"/>
      <w:r>
        <w:rPr>
          <w:color w:val="000000" w:themeColor="text1"/>
          <w:highlight w:val="none"/>
        </w:rPr>
        <w:t>评价等级和评价范围</w:t>
      </w:r>
      <w:bookmarkEnd w:id="72"/>
      <w:bookmarkEnd w:id="73"/>
      <w:bookmarkEnd w:id="74"/>
    </w:p>
    <w:p>
      <w:pPr>
        <w:pStyle w:val="6"/>
        <w:numPr>
          <w:ilvl w:val="2"/>
          <w:numId w:val="11"/>
        </w:numPr>
        <w:tabs>
          <w:tab w:val="left" w:pos="1241"/>
        </w:tabs>
        <w:spacing w:line="360" w:lineRule="auto"/>
        <w:jc w:val="both"/>
        <w:rPr>
          <w:color w:val="000000" w:themeColor="text1"/>
          <w:highlight w:val="none"/>
        </w:rPr>
      </w:pPr>
      <w:bookmarkStart w:id="75" w:name="2.6.1_评价工作等级"/>
      <w:bookmarkEnd w:id="75"/>
      <w:r>
        <w:rPr>
          <w:color w:val="000000" w:themeColor="text1"/>
          <w:highlight w:val="none"/>
        </w:rPr>
        <w:t>评价工作等级</w:t>
      </w:r>
    </w:p>
    <w:p>
      <w:pPr>
        <w:pStyle w:val="41"/>
        <w:numPr>
          <w:ilvl w:val="3"/>
          <w:numId w:val="11"/>
        </w:numPr>
        <w:tabs>
          <w:tab w:val="left" w:pos="1621"/>
        </w:tabs>
        <w:spacing w:before="0" w:line="360" w:lineRule="auto"/>
        <w:ind w:firstLine="480" w:firstLineChars="200"/>
        <w:jc w:val="both"/>
        <w:rPr>
          <w:color w:val="000000" w:themeColor="text1"/>
          <w:sz w:val="24"/>
        </w:rPr>
      </w:pPr>
      <w:r>
        <w:rPr>
          <w:color w:val="000000" w:themeColor="text1"/>
          <w:sz w:val="24"/>
        </w:rPr>
        <w:t>环境空气影响评价工作等级</w:t>
      </w:r>
    </w:p>
    <w:p>
      <w:pPr>
        <w:pStyle w:val="14"/>
        <w:spacing w:line="360" w:lineRule="auto"/>
        <w:ind w:left="0" w:firstLine="464" w:firstLineChars="200"/>
        <w:jc w:val="both"/>
        <w:rPr>
          <w:rFonts w:hint="default" w:eastAsia="宋体"/>
          <w:color w:val="000000" w:themeColor="text1"/>
          <w:spacing w:val="-4"/>
          <w:lang w:val="en-US" w:eastAsia="zh-CN"/>
        </w:rPr>
      </w:pPr>
      <w:r>
        <w:rPr>
          <w:color w:val="000000" w:themeColor="text1"/>
          <w:spacing w:val="-4"/>
        </w:rPr>
        <w:t>本项目</w:t>
      </w:r>
      <w:r>
        <w:rPr>
          <w:rFonts w:hint="eastAsia"/>
          <w:color w:val="000000" w:themeColor="text1"/>
          <w:spacing w:val="-4"/>
          <w:lang w:eastAsia="zh-CN"/>
        </w:rPr>
        <w:t>废气</w:t>
      </w:r>
      <w:r>
        <w:rPr>
          <w:color w:val="000000" w:themeColor="text1"/>
          <w:spacing w:val="-4"/>
        </w:rPr>
        <w:t>污染源主要</w:t>
      </w:r>
      <w:r>
        <w:rPr>
          <w:rFonts w:hint="eastAsia"/>
          <w:color w:val="000000" w:themeColor="text1"/>
          <w:spacing w:val="-4"/>
          <w:lang w:eastAsia="zh-CN"/>
        </w:rPr>
        <w:t>为锅炉烟气中颗粒物、</w:t>
      </w:r>
      <w:r>
        <w:rPr>
          <w:rFonts w:hint="eastAsia"/>
          <w:color w:val="000000" w:themeColor="text1"/>
          <w:spacing w:val="-4"/>
          <w:lang w:val="en-US" w:eastAsia="zh-CN"/>
        </w:rPr>
        <w:t>SO</w:t>
      </w:r>
      <w:r>
        <w:rPr>
          <w:rFonts w:hint="eastAsia"/>
          <w:color w:val="000000" w:themeColor="text1"/>
          <w:spacing w:val="-4"/>
          <w:vertAlign w:val="subscript"/>
          <w:lang w:val="en-US" w:eastAsia="zh-CN"/>
        </w:rPr>
        <w:t>2</w:t>
      </w:r>
      <w:r>
        <w:rPr>
          <w:rFonts w:hint="eastAsia"/>
          <w:color w:val="000000" w:themeColor="text1"/>
          <w:spacing w:val="-4"/>
          <w:lang w:val="en-US" w:eastAsia="zh-CN"/>
        </w:rPr>
        <w:t>、NO</w:t>
      </w:r>
      <w:r>
        <w:rPr>
          <w:rFonts w:hint="eastAsia"/>
          <w:color w:val="000000" w:themeColor="text1"/>
          <w:spacing w:val="-4"/>
          <w:vertAlign w:val="subscript"/>
          <w:lang w:val="en-US" w:eastAsia="zh-CN"/>
        </w:rPr>
        <w:t>x</w:t>
      </w:r>
      <w:r>
        <w:rPr>
          <w:rFonts w:hint="eastAsia"/>
          <w:color w:val="000000" w:themeColor="text1"/>
          <w:spacing w:val="-4"/>
          <w:lang w:val="en-US" w:eastAsia="zh-CN"/>
        </w:rPr>
        <w:t>、Hg及其化合物等。</w:t>
      </w:r>
    </w:p>
    <w:p>
      <w:pPr>
        <w:pStyle w:val="14"/>
        <w:spacing w:line="360" w:lineRule="auto"/>
        <w:ind w:left="0" w:firstLine="456" w:firstLineChars="200"/>
        <w:jc w:val="both"/>
        <w:rPr>
          <w:position w:val="2"/>
        </w:rPr>
      </w:pPr>
      <w:r>
        <w:rPr>
          <w:spacing w:val="-6"/>
        </w:rPr>
        <w:t>根据《环境影响评价技术导则</w:t>
      </w:r>
      <w:r>
        <w:rPr>
          <w:rFonts w:ascii="Times New Roman" w:hAnsi="Times New Roman" w:eastAsia="Times New Roman"/>
          <w:spacing w:val="-1"/>
        </w:rPr>
        <w:t>·</w:t>
      </w:r>
      <w:r>
        <w:rPr>
          <w:spacing w:val="-9"/>
        </w:rPr>
        <w:t>大气环境》</w:t>
      </w:r>
      <w:r>
        <w:rPr>
          <w:spacing w:val="-1"/>
        </w:rPr>
        <w:t>（</w:t>
      </w:r>
      <w:r>
        <w:rPr>
          <w:rFonts w:ascii="Times New Roman" w:hAnsi="Times New Roman" w:eastAsia="Times New Roman"/>
          <w:spacing w:val="-1"/>
        </w:rPr>
        <w:t>HJ2.2-2018</w:t>
      </w:r>
      <w:r>
        <w:rPr>
          <w:spacing w:val="-1"/>
        </w:rPr>
        <w:t>）</w:t>
      </w:r>
      <w:r>
        <w:rPr>
          <w:spacing w:val="-4"/>
        </w:rPr>
        <w:t>中规定的方法，</w:t>
      </w:r>
      <w:r>
        <w:rPr>
          <w:spacing w:val="-4"/>
          <w:position w:val="2"/>
        </w:rPr>
        <w:t>分别计算每一</w:t>
      </w:r>
      <w:r>
        <w:rPr>
          <w:spacing w:val="-3"/>
          <w:position w:val="2"/>
        </w:rPr>
        <w:t xml:space="preserve">种污染物的最大地面浓度占标率 </w:t>
      </w: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rPr>
        <w:t xml:space="preserve"> </w:t>
      </w:r>
      <w:r>
        <w:rPr>
          <w:spacing w:val="-4"/>
          <w:position w:val="2"/>
        </w:rPr>
        <w:t xml:space="preserve">和地面浓度达标准限值 </w:t>
      </w:r>
      <w:r>
        <w:rPr>
          <w:rFonts w:ascii="Times New Roman" w:eastAsia="Times New Roman"/>
          <w:position w:val="2"/>
        </w:rPr>
        <w:t>10%</w:t>
      </w:r>
      <w:r>
        <w:rPr>
          <w:position w:val="2"/>
        </w:rPr>
        <w:t>时所对应的最远</w:t>
      </w:r>
      <w:r>
        <w:rPr>
          <w:spacing w:val="-20"/>
          <w:position w:val="2"/>
        </w:rPr>
        <w:t xml:space="preserve">距离 </w:t>
      </w:r>
      <w:r>
        <w:rPr>
          <w:rFonts w:ascii="Times New Roman" w:eastAsia="Times New Roman"/>
          <w:position w:val="2"/>
        </w:rPr>
        <w:t>D</w:t>
      </w:r>
      <w:r>
        <w:rPr>
          <w:rFonts w:ascii="Times New Roman" w:eastAsia="Times New Roman"/>
          <w:position w:val="2"/>
          <w:vertAlign w:val="subscript"/>
        </w:rPr>
        <w:t>10%</w:t>
      </w:r>
      <w:r>
        <w:rPr>
          <w:spacing w:val="-15"/>
          <w:position w:val="2"/>
        </w:rPr>
        <w:t xml:space="preserve">。其中 </w:t>
      </w: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rPr>
        <w:t xml:space="preserve"> </w:t>
      </w:r>
      <w:r>
        <w:rPr>
          <w:position w:val="2"/>
        </w:rPr>
        <w:t>定义为：</w:t>
      </w:r>
    </w:p>
    <w:p>
      <w:pPr>
        <w:pStyle w:val="14"/>
        <w:spacing w:line="360" w:lineRule="auto"/>
        <w:ind w:left="0" w:firstLine="480" w:firstLineChars="200"/>
        <w:jc w:val="center"/>
        <w:rPr>
          <w:position w:val="2"/>
        </w:rPr>
      </w:pPr>
      <w:r>
        <w:rPr>
          <w:rFonts w:ascii="Times New Roman" w:hAnsi="Times New Roman" w:cs="Times New Roman"/>
          <w:color w:val="000000"/>
          <w:szCs w:val="22"/>
        </w:rPr>
        <w:t>Pi=（Ci/Coi）×100%</w:t>
      </w:r>
    </w:p>
    <w:p>
      <w:pPr>
        <w:pStyle w:val="14"/>
        <w:spacing w:line="360" w:lineRule="auto"/>
        <w:ind w:left="0" w:firstLine="480" w:firstLineChars="200"/>
        <w:jc w:val="both"/>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position w:val="2"/>
        </w:rPr>
        <w:t xml:space="preserve">—第 </w:t>
      </w:r>
      <w:r>
        <w:rPr>
          <w:rFonts w:ascii="Times New Roman" w:hAnsi="Times New Roman" w:eastAsia="Times New Roman"/>
          <w:position w:val="2"/>
        </w:rPr>
        <w:t xml:space="preserve">i </w:t>
      </w:r>
      <w:r>
        <w:rPr>
          <w:position w:val="2"/>
        </w:rPr>
        <w:t>个污染物的最大地面浓度占标率，</w:t>
      </w:r>
      <w:r>
        <w:rPr>
          <w:rFonts w:ascii="Times New Roman" w:hAnsi="Times New Roman" w:eastAsia="Times New Roman"/>
          <w:position w:val="2"/>
        </w:rPr>
        <w:t>%</w:t>
      </w:r>
      <w:r>
        <w:rPr>
          <w:position w:val="2"/>
        </w:rPr>
        <w:t>；</w:t>
      </w:r>
    </w:p>
    <w:p>
      <w:pPr>
        <w:pStyle w:val="14"/>
        <w:spacing w:line="360" w:lineRule="auto"/>
        <w:ind w:left="0" w:firstLine="480" w:firstLineChars="200"/>
        <w:jc w:val="both"/>
      </w:pPr>
      <w:r>
        <w:rPr>
          <w:rFonts w:ascii="Times New Roman" w:hAnsi="Times New Roman" w:eastAsia="Times New Roman"/>
          <w:position w:val="2"/>
        </w:rPr>
        <w:t>C</w:t>
      </w:r>
      <w:r>
        <w:rPr>
          <w:rFonts w:ascii="Times New Roman" w:hAnsi="Times New Roman" w:eastAsia="Times New Roman"/>
          <w:position w:val="2"/>
          <w:vertAlign w:val="subscript"/>
        </w:rPr>
        <w:t>i</w:t>
      </w:r>
      <w:r>
        <w:rPr>
          <w:position w:val="2"/>
        </w:rPr>
        <w:t xml:space="preserve">—采用估算模式计算出的第 </w:t>
      </w:r>
      <w:r>
        <w:rPr>
          <w:rFonts w:ascii="Times New Roman" w:hAnsi="Times New Roman" w:eastAsia="Times New Roman"/>
          <w:position w:val="2"/>
        </w:rPr>
        <w:t xml:space="preserve">i </w:t>
      </w:r>
      <w:r>
        <w:rPr>
          <w:position w:val="2"/>
        </w:rPr>
        <w:t>个污染物的最大落地浓度，</w:t>
      </w:r>
      <w:r>
        <w:rPr>
          <w:rFonts w:ascii="Times New Roman" w:hAnsi="Times New Roman" w:eastAsia="Times New Roman"/>
          <w:position w:val="2"/>
        </w:rPr>
        <w:t>μg/m</w:t>
      </w:r>
      <w:r>
        <w:rPr>
          <w:rFonts w:ascii="Times New Roman" w:hAnsi="Times New Roman" w:eastAsia="Times New Roman"/>
          <w:position w:val="2"/>
          <w:vertAlign w:val="superscript"/>
        </w:rPr>
        <w:t>3</w:t>
      </w:r>
      <w:r>
        <w:rPr>
          <w:position w:val="2"/>
        </w:rPr>
        <w:t>；</w:t>
      </w:r>
    </w:p>
    <w:p>
      <w:pPr>
        <w:pStyle w:val="14"/>
        <w:spacing w:line="360" w:lineRule="auto"/>
        <w:ind w:left="0" w:firstLine="480" w:firstLineChars="200"/>
        <w:jc w:val="both"/>
      </w:pPr>
      <w:r>
        <w:rPr>
          <w:rFonts w:ascii="Times New Roman" w:hAnsi="Times New Roman" w:eastAsia="Times New Roman"/>
          <w:position w:val="2"/>
        </w:rPr>
        <w:t>C</w:t>
      </w:r>
      <w:r>
        <w:rPr>
          <w:rFonts w:ascii="Times New Roman" w:hAnsi="Times New Roman" w:eastAsia="Times New Roman"/>
          <w:position w:val="2"/>
          <w:vertAlign w:val="subscript"/>
        </w:rPr>
        <w:t>oi</w:t>
      </w:r>
      <w:r>
        <w:rPr>
          <w:position w:val="2"/>
        </w:rPr>
        <w:t xml:space="preserve">—第 </w:t>
      </w:r>
      <w:r>
        <w:rPr>
          <w:rFonts w:ascii="Times New Roman" w:hAnsi="Times New Roman" w:eastAsia="Times New Roman"/>
          <w:position w:val="2"/>
        </w:rPr>
        <w:t xml:space="preserve">i </w:t>
      </w:r>
      <w:r>
        <w:rPr>
          <w:position w:val="2"/>
        </w:rPr>
        <w:t>个污染物的环境空气质量标准，</w:t>
      </w:r>
      <w:r>
        <w:rPr>
          <w:rFonts w:ascii="Times New Roman" w:hAnsi="Times New Roman" w:eastAsia="Times New Roman"/>
          <w:position w:val="2"/>
        </w:rPr>
        <w:t>μg/m</w:t>
      </w:r>
      <w:r>
        <w:rPr>
          <w:rFonts w:ascii="Times New Roman" w:hAnsi="Times New Roman" w:eastAsia="Times New Roman"/>
          <w:position w:val="2"/>
          <w:vertAlign w:val="superscript"/>
        </w:rPr>
        <w:t>3</w:t>
      </w:r>
      <w:r>
        <w:rPr>
          <w:position w:val="2"/>
        </w:rPr>
        <w:t>。</w:t>
      </w:r>
    </w:p>
    <w:p>
      <w:pPr>
        <w:pStyle w:val="14"/>
        <w:spacing w:line="360" w:lineRule="auto"/>
        <w:ind w:left="0" w:firstLine="480" w:firstLineChars="200"/>
        <w:jc w:val="both"/>
      </w:pPr>
      <w:r>
        <w:rPr>
          <w:rFonts w:ascii="Times New Roman" w:eastAsia="Times New Roman"/>
          <w:position w:val="2"/>
        </w:rPr>
        <w:t>C</w:t>
      </w:r>
      <w:r>
        <w:rPr>
          <w:rFonts w:ascii="Times New Roman" w:eastAsia="Times New Roman"/>
          <w:position w:val="2"/>
          <w:vertAlign w:val="subscript"/>
        </w:rPr>
        <w:t>oi</w:t>
      </w:r>
      <w:r>
        <w:rPr>
          <w:rFonts w:ascii="Times New Roman" w:eastAsia="Times New Roman"/>
          <w:position w:val="2"/>
        </w:rPr>
        <w:t xml:space="preserve"> </w:t>
      </w:r>
      <w:r>
        <w:rPr>
          <w:spacing w:val="-12"/>
          <w:position w:val="2"/>
        </w:rPr>
        <w:t xml:space="preserve">一般选用 </w:t>
      </w:r>
      <w:r>
        <w:rPr>
          <w:rFonts w:ascii="Times New Roman" w:eastAsia="Times New Roman"/>
          <w:position w:val="2"/>
        </w:rPr>
        <w:t xml:space="preserve">GB3095 </w:t>
      </w:r>
      <w:r>
        <w:rPr>
          <w:spacing w:val="-30"/>
          <w:position w:val="2"/>
        </w:rPr>
        <w:t xml:space="preserve">中 </w:t>
      </w:r>
      <w:r>
        <w:rPr>
          <w:rFonts w:ascii="Times New Roman" w:eastAsia="Times New Roman"/>
          <w:position w:val="2"/>
        </w:rPr>
        <w:t xml:space="preserve">1h </w:t>
      </w:r>
      <w:r>
        <w:rPr>
          <w:spacing w:val="-6"/>
          <w:position w:val="2"/>
        </w:rPr>
        <w:t>平均质量浓度的二级浓度限值，如项目位于一类</w:t>
      </w:r>
      <w:r>
        <w:rPr>
          <w:spacing w:val="-8"/>
        </w:rPr>
        <w:t>环境空气功能区，应选择相应的一级浓度限值；对该标准中未包含的污染物，使</w:t>
      </w:r>
      <w:r>
        <w:t>用《环境影响评价技术导则 大气环境》（</w:t>
      </w:r>
      <w:r>
        <w:rPr>
          <w:rFonts w:ascii="Times New Roman" w:eastAsia="Times New Roman"/>
        </w:rPr>
        <w:t>HJ2.2-2018</w:t>
      </w:r>
      <w:r>
        <w:t>）中评价标准确定方法确</w:t>
      </w:r>
      <w:r>
        <w:rPr>
          <w:spacing w:val="-8"/>
        </w:rPr>
        <w:t xml:space="preserve">定的各评价因子 </w:t>
      </w:r>
      <w:r>
        <w:rPr>
          <w:rFonts w:ascii="Times New Roman" w:eastAsia="Times New Roman"/>
        </w:rPr>
        <w:t xml:space="preserve">1h </w:t>
      </w:r>
      <w:r>
        <w:rPr>
          <w:spacing w:val="-11"/>
        </w:rPr>
        <w:t xml:space="preserve">平均质量浓度限值。对仅有 </w:t>
      </w:r>
      <w:r>
        <w:rPr>
          <w:rFonts w:ascii="Times New Roman" w:eastAsia="Times New Roman"/>
        </w:rPr>
        <w:t xml:space="preserve">8h </w:t>
      </w:r>
      <w:r>
        <w:rPr>
          <w:spacing w:val="-7"/>
        </w:rPr>
        <w:t>平均质量浓度限值、日平均质</w:t>
      </w:r>
      <w:r>
        <w:rPr>
          <w:spacing w:val="-5"/>
        </w:rPr>
        <w:t xml:space="preserve">量浓度限值或年平均质量浓度限值的，可分别按 </w:t>
      </w:r>
      <w:r>
        <w:rPr>
          <w:rFonts w:ascii="Times New Roman" w:eastAsia="Times New Roman"/>
        </w:rPr>
        <w:t xml:space="preserve">2 </w:t>
      </w:r>
      <w:r>
        <w:rPr>
          <w:spacing w:val="-16"/>
        </w:rPr>
        <w:t>倍、</w:t>
      </w:r>
      <w:r>
        <w:rPr>
          <w:rFonts w:ascii="Times New Roman" w:eastAsia="Times New Roman"/>
        </w:rPr>
        <w:t xml:space="preserve">3 </w:t>
      </w:r>
      <w:r>
        <w:rPr>
          <w:spacing w:val="-16"/>
        </w:rPr>
        <w:t>倍、</w:t>
      </w:r>
      <w:r>
        <w:rPr>
          <w:rFonts w:ascii="Times New Roman" w:eastAsia="Times New Roman"/>
        </w:rPr>
        <w:t xml:space="preserve">6 </w:t>
      </w:r>
      <w:r>
        <w:rPr>
          <w:spacing w:val="-13"/>
        </w:rPr>
        <w:t xml:space="preserve">倍折算为 </w:t>
      </w:r>
      <w:r>
        <w:rPr>
          <w:rFonts w:ascii="Times New Roman" w:eastAsia="Times New Roman"/>
        </w:rPr>
        <w:t xml:space="preserve">1h </w:t>
      </w:r>
      <w:r>
        <w:rPr>
          <w:spacing w:val="-7"/>
        </w:rPr>
        <w:t>平均</w:t>
      </w:r>
      <w:r>
        <w:t>质量浓度限值。</w:t>
      </w:r>
    </w:p>
    <w:p>
      <w:pPr>
        <w:pStyle w:val="14"/>
        <w:spacing w:line="360" w:lineRule="auto"/>
        <w:ind w:left="0" w:firstLine="464" w:firstLineChars="200"/>
        <w:jc w:val="both"/>
      </w:pPr>
      <w:r>
        <w:rPr>
          <w:spacing w:val="-4"/>
        </w:rPr>
        <w:t>评价级别判</w:t>
      </w:r>
      <w:r>
        <w:rPr>
          <w:rFonts w:hint="eastAsia"/>
          <w:spacing w:val="-4"/>
          <w:lang w:eastAsia="zh-CN"/>
        </w:rPr>
        <w:t>定</w:t>
      </w:r>
      <w:r>
        <w:rPr>
          <w:spacing w:val="-4"/>
        </w:rPr>
        <w:t>依据《环境影响评价技术导则</w:t>
      </w:r>
      <w:r>
        <w:rPr>
          <w:rFonts w:ascii="Times New Roman" w:hAnsi="Times New Roman" w:eastAsia="Times New Roman"/>
        </w:rPr>
        <w:t>·</w:t>
      </w:r>
      <w:r>
        <w:rPr>
          <w:spacing w:val="-11"/>
        </w:rPr>
        <w:t>大气环境》</w:t>
      </w:r>
      <w:r>
        <w:rPr>
          <w:spacing w:val="-3"/>
        </w:rPr>
        <w:t>（</w:t>
      </w:r>
      <w:r>
        <w:rPr>
          <w:rFonts w:ascii="Times New Roman" w:hAnsi="Times New Roman" w:eastAsia="Times New Roman"/>
          <w:spacing w:val="-3"/>
        </w:rPr>
        <w:t>HJ2.2-2018</w:t>
      </w:r>
      <w:r>
        <w:rPr>
          <w:spacing w:val="-3"/>
        </w:rPr>
        <w:t>）</w:t>
      </w:r>
      <w:r>
        <w:rPr>
          <w:spacing w:val="-7"/>
        </w:rPr>
        <w:t>中规</w:t>
      </w:r>
      <w:r>
        <w:rPr>
          <w:spacing w:val="-12"/>
          <w:position w:val="2"/>
        </w:rPr>
        <w:t xml:space="preserve">定，见表 </w:t>
      </w:r>
      <w:r>
        <w:rPr>
          <w:rFonts w:ascii="Times New Roman" w:hAnsi="Times New Roman" w:eastAsia="Times New Roman"/>
          <w:position w:val="2"/>
        </w:rPr>
        <w:t>2.6-1</w:t>
      </w:r>
      <w:r>
        <w:rPr>
          <w:spacing w:val="-9"/>
          <w:position w:val="2"/>
        </w:rPr>
        <w:t xml:space="preserve">。如污染物数 </w:t>
      </w:r>
      <w:r>
        <w:rPr>
          <w:rFonts w:ascii="Times New Roman" w:hAnsi="Times New Roman" w:eastAsia="Times New Roman"/>
          <w:position w:val="2"/>
        </w:rPr>
        <w:t xml:space="preserve">i </w:t>
      </w:r>
      <w:r>
        <w:rPr>
          <w:spacing w:val="-20"/>
          <w:position w:val="2"/>
        </w:rPr>
        <w:t xml:space="preserve">大于 </w:t>
      </w:r>
      <w:r>
        <w:rPr>
          <w:rFonts w:ascii="Times New Roman" w:hAnsi="Times New Roman" w:eastAsia="Times New Roman"/>
          <w:position w:val="2"/>
        </w:rPr>
        <w:t>1</w:t>
      </w:r>
      <w:r>
        <w:rPr>
          <w:spacing w:val="-20"/>
          <w:position w:val="2"/>
        </w:rPr>
        <w:t xml:space="preserve">，取 </w:t>
      </w:r>
      <w:r>
        <w:rPr>
          <w:rFonts w:ascii="Times New Roman" w:hAnsi="Times New Roman" w:eastAsia="Times New Roman"/>
          <w:position w:val="2"/>
        </w:rPr>
        <w:t xml:space="preserve">P </w:t>
      </w:r>
      <w:r>
        <w:rPr>
          <w:position w:val="2"/>
        </w:rPr>
        <w:t>值中最大者（</w:t>
      </w:r>
      <w:r>
        <w:rPr>
          <w:rFonts w:ascii="Times New Roman" w:hAnsi="Times New Roman" w:eastAsia="Times New Roman"/>
          <w:position w:val="2"/>
        </w:rPr>
        <w:t>P</w:t>
      </w:r>
      <w:r>
        <w:rPr>
          <w:rFonts w:ascii="Times New Roman" w:hAnsi="Times New Roman" w:eastAsia="Times New Roman"/>
          <w:position w:val="2"/>
          <w:vertAlign w:val="subscript"/>
        </w:rPr>
        <w:t>max</w:t>
      </w:r>
      <w:r>
        <w:rPr>
          <w:position w:val="2"/>
        </w:rPr>
        <w:t>）。</w:t>
      </w:r>
    </w:p>
    <w:p>
      <w:pPr>
        <w:keepNext w:val="0"/>
        <w:keepLines w:val="0"/>
        <w:pageBreakBefore w:val="0"/>
        <w:widowControl w:val="0"/>
        <w:tabs>
          <w:tab w:val="left" w:pos="4732"/>
        </w:tabs>
        <w:kinsoku/>
        <w:wordWrap/>
        <w:overflowPunct/>
        <w:topLinePunct w:val="0"/>
        <w:autoSpaceDE w:val="0"/>
        <w:autoSpaceDN w:val="0"/>
        <w:bidi w:val="0"/>
        <w:adjustRightInd w:val="0"/>
        <w:snapToGrid w:val="0"/>
        <w:spacing w:before="82"/>
        <w:ind w:left="3214"/>
        <w:jc w:val="both"/>
        <w:textAlignment w:val="auto"/>
        <w:outlineLvl w:val="9"/>
        <w:rPr>
          <w:b/>
          <w:bCs/>
          <w:sz w:val="21"/>
          <w:szCs w:val="21"/>
        </w:rPr>
      </w:pPr>
      <w:r>
        <w:rPr>
          <w:b/>
          <w:bCs/>
          <w:sz w:val="21"/>
          <w:szCs w:val="21"/>
        </w:rPr>
        <w:t>表</w:t>
      </w:r>
      <w:r>
        <w:rPr>
          <w:b/>
          <w:bCs/>
          <w:spacing w:val="-62"/>
          <w:sz w:val="21"/>
          <w:szCs w:val="21"/>
        </w:rPr>
        <w:t xml:space="preserve"> </w:t>
      </w:r>
      <w:r>
        <w:rPr>
          <w:rFonts w:ascii="Times New Roman" w:eastAsia="Times New Roman"/>
          <w:b/>
          <w:bCs/>
          <w:sz w:val="21"/>
          <w:szCs w:val="21"/>
        </w:rPr>
        <w:t>2.6-1</w:t>
      </w:r>
      <w:r>
        <w:rPr>
          <w:rFonts w:ascii="Times New Roman" w:eastAsia="Times New Roman"/>
          <w:b/>
          <w:bCs/>
          <w:sz w:val="21"/>
          <w:szCs w:val="21"/>
        </w:rPr>
        <w:tab/>
      </w:r>
      <w:r>
        <w:rPr>
          <w:b/>
          <w:bCs/>
          <w:sz w:val="21"/>
          <w:szCs w:val="21"/>
        </w:rPr>
        <w:t>评价工作等级</w:t>
      </w:r>
    </w:p>
    <w:tbl>
      <w:tblPr>
        <w:tblStyle w:val="31"/>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44"/>
        <w:gridCol w:w="5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30" w:type="pct"/>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b/>
                <w:sz w:val="21"/>
                <w:szCs w:val="21"/>
              </w:rPr>
            </w:pPr>
            <w:r>
              <w:rPr>
                <w:b/>
                <w:sz w:val="21"/>
                <w:szCs w:val="21"/>
              </w:rPr>
              <w:t>评价工作等级</w:t>
            </w:r>
          </w:p>
        </w:tc>
        <w:tc>
          <w:tcPr>
            <w:tcW w:w="3469" w:type="pct"/>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b/>
                <w:sz w:val="21"/>
                <w:szCs w:val="21"/>
              </w:rPr>
            </w:pPr>
            <w:r>
              <w:rPr>
                <w:b/>
                <w:sz w:val="21"/>
                <w:szCs w:val="21"/>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30" w:type="pct"/>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sz w:val="21"/>
                <w:szCs w:val="21"/>
              </w:rPr>
            </w:pPr>
            <w:r>
              <w:rPr>
                <w:sz w:val="21"/>
                <w:szCs w:val="21"/>
              </w:rPr>
              <w:t>一级</w:t>
            </w:r>
          </w:p>
        </w:tc>
        <w:tc>
          <w:tcPr>
            <w:tcW w:w="3469" w:type="pct"/>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rFonts w:ascii="Times New Roman" w:hAnsi="Times New Roman"/>
                <w:sz w:val="21"/>
                <w:szCs w:val="21"/>
              </w:rPr>
            </w:pPr>
            <w:r>
              <w:rPr>
                <w:rFonts w:ascii="Times New Roman" w:hAnsi="Times New Roman"/>
                <w:position w:val="2"/>
                <w:sz w:val="21"/>
                <w:szCs w:val="21"/>
              </w:rPr>
              <w:t>P</w:t>
            </w:r>
            <w:r>
              <w:rPr>
                <w:rFonts w:ascii="Times New Roman" w:hAnsi="Times New Roman"/>
                <w:position w:val="2"/>
                <w:sz w:val="21"/>
                <w:szCs w:val="21"/>
                <w:vertAlign w:val="subscript"/>
              </w:rPr>
              <w:t>max</w:t>
            </w:r>
            <w:r>
              <w:rPr>
                <w:position w:val="2"/>
                <w:sz w:val="21"/>
                <w:szCs w:val="21"/>
              </w:rPr>
              <w:t>≥</w:t>
            </w:r>
            <w:r>
              <w:rPr>
                <w:rFonts w:ascii="Times New Roman" w:hAnsi="Times New Roman"/>
                <w:position w:val="2"/>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530" w:type="pct"/>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sz w:val="21"/>
                <w:szCs w:val="21"/>
              </w:rPr>
            </w:pPr>
            <w:r>
              <w:rPr>
                <w:sz w:val="21"/>
                <w:szCs w:val="21"/>
              </w:rPr>
              <w:t>二级</w:t>
            </w:r>
          </w:p>
        </w:tc>
        <w:tc>
          <w:tcPr>
            <w:tcW w:w="3469" w:type="pct"/>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rFonts w:ascii="Times New Roman" w:hAnsi="Times New Roman" w:eastAsia="Times New Roman"/>
                <w:sz w:val="21"/>
                <w:szCs w:val="21"/>
              </w:rPr>
            </w:pPr>
            <w:r>
              <w:rPr>
                <w:rFonts w:ascii="Times New Roman" w:hAnsi="Times New Roman" w:eastAsia="Times New Roman"/>
                <w:position w:val="2"/>
                <w:sz w:val="21"/>
                <w:szCs w:val="21"/>
              </w:rPr>
              <w:t>1%</w:t>
            </w:r>
            <w:r>
              <w:rPr>
                <w:position w:val="2"/>
                <w:sz w:val="21"/>
                <w:szCs w:val="21"/>
              </w:rPr>
              <w:t>≤</w:t>
            </w:r>
            <w:r>
              <w:rPr>
                <w:rFonts w:ascii="Times New Roman" w:hAnsi="Times New Roman" w:eastAsia="Times New Roman"/>
                <w:position w:val="2"/>
                <w:sz w:val="21"/>
                <w:szCs w:val="21"/>
              </w:rPr>
              <w:t>P</w:t>
            </w:r>
            <w:r>
              <w:rPr>
                <w:rFonts w:ascii="Times New Roman" w:hAnsi="Times New Roman" w:eastAsia="Times New Roman"/>
                <w:position w:val="2"/>
                <w:sz w:val="21"/>
                <w:szCs w:val="21"/>
                <w:vertAlign w:val="subscript"/>
              </w:rPr>
              <w:t>max</w:t>
            </w:r>
            <w:r>
              <w:rPr>
                <w:position w:val="2"/>
                <w:sz w:val="21"/>
                <w:szCs w:val="21"/>
              </w:rPr>
              <w:t>＜</w:t>
            </w:r>
            <w:r>
              <w:rPr>
                <w:rFonts w:ascii="Times New Roman" w:hAnsi="Times New Roman" w:eastAsia="Times New Roman"/>
                <w:position w:val="2"/>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30" w:type="pct"/>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sz w:val="21"/>
                <w:szCs w:val="21"/>
              </w:rPr>
            </w:pPr>
            <w:r>
              <w:rPr>
                <w:sz w:val="21"/>
                <w:szCs w:val="21"/>
              </w:rPr>
              <w:t>三级</w:t>
            </w:r>
          </w:p>
        </w:tc>
        <w:tc>
          <w:tcPr>
            <w:tcW w:w="3469" w:type="pct"/>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rPr>
                <w:rFonts w:ascii="Times New Roman" w:eastAsia="Times New Roman"/>
                <w:sz w:val="21"/>
                <w:szCs w:val="21"/>
              </w:rPr>
            </w:pPr>
            <w:r>
              <w:rPr>
                <w:rFonts w:ascii="Times New Roman" w:eastAsia="Times New Roman"/>
                <w:position w:val="2"/>
                <w:sz w:val="21"/>
                <w:szCs w:val="21"/>
              </w:rPr>
              <w:t>P</w:t>
            </w:r>
            <w:r>
              <w:rPr>
                <w:rFonts w:ascii="Times New Roman" w:eastAsia="Times New Roman"/>
                <w:position w:val="2"/>
                <w:sz w:val="21"/>
                <w:szCs w:val="21"/>
                <w:vertAlign w:val="subscript"/>
              </w:rPr>
              <w:t>max</w:t>
            </w:r>
            <w:r>
              <w:rPr>
                <w:position w:val="2"/>
                <w:sz w:val="21"/>
                <w:szCs w:val="21"/>
              </w:rPr>
              <w:t>＜</w:t>
            </w:r>
            <w:r>
              <w:rPr>
                <w:rFonts w:ascii="Times New Roman" w:eastAsia="Times New Roman"/>
                <w:position w:val="2"/>
                <w:sz w:val="21"/>
                <w:szCs w:val="21"/>
              </w:rPr>
              <w:t>1%</w:t>
            </w:r>
          </w:p>
        </w:tc>
      </w:tr>
    </w:tbl>
    <w:p>
      <w:pPr>
        <w:pStyle w:val="14"/>
        <w:spacing w:line="360" w:lineRule="auto"/>
        <w:ind w:left="0" w:firstLine="480" w:firstLineChars="200"/>
        <w:jc w:val="both"/>
      </w:pPr>
      <w:r>
        <w:t xml:space="preserve">根据项目大气污染物排放特点并结合导则要求，按估算模式 </w:t>
      </w:r>
      <w:r>
        <w:rPr>
          <w:rFonts w:ascii="Times New Roman" w:eastAsia="Times New Roman"/>
        </w:rPr>
        <w:t xml:space="preserve">AERSCREEN </w:t>
      </w:r>
      <w:r>
        <w:rPr>
          <w:spacing w:val="-7"/>
          <w:position w:val="2"/>
        </w:rPr>
        <w:t xml:space="preserve">分别计算污染物 </w:t>
      </w:r>
      <w:r>
        <w:rPr>
          <w:rFonts w:hint="eastAsia"/>
          <w:color w:val="000000" w:themeColor="text1"/>
          <w:spacing w:val="-4"/>
          <w:lang w:eastAsia="zh-CN"/>
        </w:rPr>
        <w:t>颗粒物、</w:t>
      </w:r>
      <w:r>
        <w:rPr>
          <w:rFonts w:hint="eastAsia"/>
          <w:color w:val="000000" w:themeColor="text1"/>
          <w:spacing w:val="-4"/>
          <w:lang w:val="en-US" w:eastAsia="zh-CN"/>
        </w:rPr>
        <w:t>SO</w:t>
      </w:r>
      <w:r>
        <w:rPr>
          <w:rFonts w:hint="eastAsia"/>
          <w:color w:val="000000" w:themeColor="text1"/>
          <w:spacing w:val="-4"/>
          <w:vertAlign w:val="subscript"/>
          <w:lang w:val="en-US" w:eastAsia="zh-CN"/>
        </w:rPr>
        <w:t>2</w:t>
      </w:r>
      <w:r>
        <w:rPr>
          <w:rFonts w:hint="eastAsia"/>
          <w:color w:val="000000" w:themeColor="text1"/>
          <w:spacing w:val="-4"/>
          <w:lang w:val="en-US" w:eastAsia="zh-CN"/>
        </w:rPr>
        <w:t>、NO</w:t>
      </w:r>
      <w:r>
        <w:rPr>
          <w:rFonts w:hint="eastAsia"/>
          <w:color w:val="000000" w:themeColor="text1"/>
          <w:spacing w:val="-4"/>
          <w:vertAlign w:val="subscript"/>
          <w:lang w:val="en-US" w:eastAsia="zh-CN"/>
        </w:rPr>
        <w:t>x</w:t>
      </w:r>
      <w:r>
        <w:rPr>
          <w:rFonts w:hint="eastAsia"/>
          <w:color w:val="000000" w:themeColor="text1"/>
          <w:spacing w:val="-4"/>
          <w:lang w:val="en-US" w:eastAsia="zh-CN"/>
        </w:rPr>
        <w:t>、Hg及NH</w:t>
      </w:r>
      <w:r>
        <w:rPr>
          <w:rFonts w:hint="eastAsia"/>
          <w:color w:val="000000" w:themeColor="text1"/>
          <w:spacing w:val="-4"/>
          <w:vertAlign w:val="subscript"/>
          <w:lang w:val="en-US" w:eastAsia="zh-CN"/>
        </w:rPr>
        <w:t>3</w:t>
      </w:r>
      <w:r>
        <w:rPr>
          <w:spacing w:val="-3"/>
          <w:position w:val="2"/>
        </w:rPr>
        <w:t xml:space="preserve">的最大地面浓度、占标率 </w:t>
      </w:r>
      <w:r>
        <w:rPr>
          <w:rFonts w:ascii="Times New Roman" w:eastAsia="Times New Roman"/>
          <w:position w:val="2"/>
        </w:rPr>
        <w:t>P</w:t>
      </w:r>
      <w:r>
        <w:rPr>
          <w:rFonts w:ascii="Times New Roman" w:eastAsia="Times New Roman"/>
          <w:position w:val="2"/>
          <w:vertAlign w:val="subscript"/>
        </w:rPr>
        <w:t>i</w:t>
      </w:r>
      <w:r>
        <w:rPr>
          <w:rFonts w:ascii="Times New Roman" w:eastAsia="Times New Roman"/>
          <w:spacing w:val="-11"/>
          <w:position w:val="2"/>
        </w:rPr>
        <w:t xml:space="preserve"> </w:t>
      </w:r>
      <w:r>
        <w:rPr>
          <w:spacing w:val="-24"/>
          <w:position w:val="2"/>
        </w:rPr>
        <w:t xml:space="preserve">及 </w:t>
      </w:r>
      <w:r>
        <w:rPr>
          <w:rFonts w:ascii="Times New Roman" w:eastAsia="Times New Roman"/>
          <w:position w:val="2"/>
        </w:rPr>
        <w:t>D</w:t>
      </w:r>
      <w:r>
        <w:rPr>
          <w:rFonts w:ascii="Times New Roman" w:eastAsia="Times New Roman"/>
          <w:position w:val="2"/>
          <w:vertAlign w:val="subscript"/>
        </w:rPr>
        <w:t>10%</w:t>
      </w:r>
      <w:r>
        <w:rPr>
          <w:spacing w:val="-6"/>
          <w:position w:val="2"/>
        </w:rPr>
        <w:t>，确定</w:t>
      </w:r>
      <w:r>
        <w:t>其评价工作等级。</w:t>
      </w:r>
    </w:p>
    <w:p>
      <w:pPr>
        <w:pStyle w:val="14"/>
        <w:spacing w:line="360" w:lineRule="auto"/>
        <w:ind w:left="0" w:firstLine="480" w:firstLineChars="200"/>
        <w:jc w:val="both"/>
      </w:pPr>
      <w:r>
        <w:t>① 源强参数</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rPr>
          <w:color w:val="0000FF"/>
        </w:rPr>
      </w:pPr>
      <w:r>
        <w:rPr>
          <w:rFonts w:hint="eastAsia"/>
          <w:color w:val="0000FF"/>
          <w:lang w:eastAsia="zh-CN"/>
        </w:rPr>
        <w:t>废气点源</w:t>
      </w:r>
      <w:r>
        <w:rPr>
          <w:color w:val="0000FF"/>
        </w:rPr>
        <w:t>排放参数见表</w:t>
      </w:r>
      <w:r>
        <w:rPr>
          <w:rFonts w:ascii="Times New Roman" w:eastAsia="Times New Roman"/>
          <w:color w:val="0000FF"/>
        </w:rPr>
        <w:t>2.6-2</w:t>
      </w:r>
      <w:r>
        <w:rPr>
          <w:color w:val="0000FF"/>
        </w:rPr>
        <w:t>，</w:t>
      </w:r>
      <w:r>
        <w:rPr>
          <w:rFonts w:hint="eastAsia"/>
          <w:color w:val="0000FF"/>
          <w:lang w:eastAsia="zh-CN"/>
        </w:rPr>
        <w:t>面源</w:t>
      </w:r>
      <w:r>
        <w:rPr>
          <w:color w:val="0000FF"/>
        </w:rPr>
        <w:t>排放参数见表</w:t>
      </w:r>
      <w:r>
        <w:rPr>
          <w:rFonts w:ascii="Times New Roman" w:eastAsia="Times New Roman"/>
          <w:color w:val="0000FF"/>
        </w:rPr>
        <w:t>2.6-</w:t>
      </w:r>
      <w:r>
        <w:rPr>
          <w:rFonts w:hint="eastAsia" w:ascii="Times New Roman"/>
          <w:color w:val="0000FF"/>
          <w:lang w:val="en-US"/>
        </w:rPr>
        <w:t>3</w:t>
      </w:r>
      <w:r>
        <w:rPr>
          <w:color w:val="0000FF"/>
        </w:rPr>
        <w:t>，估算模型参数见表</w:t>
      </w:r>
      <w:r>
        <w:rPr>
          <w:rFonts w:ascii="Times New Roman" w:eastAsia="Times New Roman"/>
          <w:color w:val="0000FF"/>
        </w:rPr>
        <w:t>2.6-</w:t>
      </w:r>
      <w:r>
        <w:rPr>
          <w:rFonts w:hint="eastAsia" w:ascii="Times New Roman"/>
          <w:color w:val="0000FF"/>
          <w:lang w:val="en-US"/>
        </w:rPr>
        <w:t>4</w:t>
      </w:r>
      <w:r>
        <w:rPr>
          <w:color w:val="0000FF"/>
        </w:rPr>
        <w:t>。</w:t>
      </w:r>
    </w:p>
    <w:p>
      <w:pPr>
        <w:keepNext w:val="0"/>
        <w:keepLines w:val="0"/>
        <w:pageBreakBefore w:val="0"/>
        <w:tabs>
          <w:tab w:val="left" w:pos="1519"/>
        </w:tabs>
        <w:kinsoku/>
        <w:wordWrap/>
        <w:overflowPunct/>
        <w:topLinePunct w:val="0"/>
        <w:autoSpaceDE w:val="0"/>
        <w:autoSpaceDN w:val="0"/>
        <w:bidi w:val="0"/>
        <w:adjustRightInd w:val="0"/>
        <w:snapToGrid w:val="0"/>
        <w:spacing w:before="70"/>
        <w:ind w:right="25"/>
        <w:jc w:val="center"/>
        <w:textAlignment w:val="auto"/>
        <w:outlineLvl w:val="9"/>
        <w:rPr>
          <w:b/>
          <w:bCs/>
          <w:color w:val="000000" w:themeColor="text1"/>
          <w:sz w:val="21"/>
          <w:szCs w:val="21"/>
          <w:highlight w:val="none"/>
        </w:rPr>
      </w:pPr>
      <w:r>
        <w:rPr>
          <w:b/>
          <w:bCs/>
          <w:color w:val="000000" w:themeColor="text1"/>
          <w:sz w:val="21"/>
          <w:szCs w:val="21"/>
          <w:highlight w:val="none"/>
        </w:rPr>
        <w:t>表</w:t>
      </w:r>
      <w:r>
        <w:rPr>
          <w:b/>
          <w:bCs/>
          <w:color w:val="000000" w:themeColor="text1"/>
          <w:spacing w:val="-62"/>
          <w:sz w:val="21"/>
          <w:szCs w:val="21"/>
          <w:highlight w:val="none"/>
        </w:rPr>
        <w:t xml:space="preserve"> </w:t>
      </w:r>
      <w:r>
        <w:rPr>
          <w:rFonts w:ascii="Times New Roman" w:eastAsia="Times New Roman"/>
          <w:b/>
          <w:bCs/>
          <w:color w:val="000000" w:themeColor="text1"/>
          <w:sz w:val="21"/>
          <w:szCs w:val="21"/>
          <w:highlight w:val="none"/>
        </w:rPr>
        <w:t>2.6-2</w:t>
      </w:r>
      <w:r>
        <w:rPr>
          <w:rFonts w:ascii="Times New Roman" w:eastAsia="Times New Roman"/>
          <w:b/>
          <w:bCs/>
          <w:color w:val="000000" w:themeColor="text1"/>
          <w:sz w:val="21"/>
          <w:szCs w:val="21"/>
          <w:highlight w:val="none"/>
        </w:rPr>
        <w:tab/>
      </w:r>
      <w:r>
        <w:rPr>
          <w:rFonts w:hint="eastAsia"/>
          <w:b/>
          <w:bCs/>
          <w:color w:val="000000" w:themeColor="text1"/>
          <w:sz w:val="21"/>
          <w:szCs w:val="21"/>
          <w:highlight w:val="none"/>
        </w:rPr>
        <w:t>点源</w:t>
      </w:r>
      <w:r>
        <w:rPr>
          <w:b/>
          <w:bCs/>
          <w:color w:val="000000" w:themeColor="text1"/>
          <w:sz w:val="21"/>
          <w:szCs w:val="21"/>
          <w:highlight w:val="none"/>
        </w:rPr>
        <w:t>废气排放源强情况一览表</w:t>
      </w:r>
    </w:p>
    <w:tbl>
      <w:tblPr>
        <w:tblStyle w:val="3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87"/>
        <w:gridCol w:w="685"/>
        <w:gridCol w:w="752"/>
        <w:gridCol w:w="788"/>
        <w:gridCol w:w="668"/>
        <w:gridCol w:w="557"/>
        <w:gridCol w:w="656"/>
        <w:gridCol w:w="691"/>
        <w:gridCol w:w="382"/>
        <w:gridCol w:w="656"/>
        <w:gridCol w:w="619"/>
        <w:gridCol w:w="619"/>
        <w:gridCol w:w="7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9" w:hRule="atLeast"/>
        </w:trPr>
        <w:tc>
          <w:tcPr>
            <w:tcW w:w="68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1437"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排气筒底部中心坐标</w:t>
            </w:r>
          </w:p>
        </w:tc>
        <w:tc>
          <w:tcPr>
            <w:tcW w:w="7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排气筒底部海拔高度</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2572" w:type="dxa"/>
            <w:gridSpan w:val="4"/>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排气筒参数</w:t>
            </w:r>
          </w:p>
        </w:tc>
        <w:tc>
          <w:tcPr>
            <w:tcW w:w="382"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排放工况</w:t>
            </w:r>
          </w:p>
        </w:tc>
        <w:tc>
          <w:tcPr>
            <w:tcW w:w="261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污染物排放速率</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cs="Times New Roman"/>
                <w:b/>
                <w:bCs/>
                <w:color w:val="auto"/>
                <w:sz w:val="21"/>
                <w:szCs w:val="21"/>
                <w:highlight w:val="none"/>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9" w:hRule="atLeast"/>
        </w:trPr>
        <w:tc>
          <w:tcPr>
            <w:tcW w:w="68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E</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N</w:t>
            </w: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6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高度</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内径</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温度</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w:t>
            </w:r>
            <w:r>
              <w:rPr>
                <w:rFonts w:hint="default" w:ascii="Times New Roman" w:hAnsi="Times New Roman" w:cs="Times New Roman"/>
                <w:b/>
                <w:bCs/>
                <w:color w:val="auto"/>
                <w:sz w:val="21"/>
                <w:szCs w:val="21"/>
                <w:highlight w:val="none"/>
                <w:lang w:eastAsia="zh-CN"/>
              </w:rPr>
              <w:t>）</w:t>
            </w:r>
          </w:p>
        </w:tc>
        <w:tc>
          <w:tcPr>
            <w:tcW w:w="691"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流速</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m/s</w:t>
            </w:r>
            <w:r>
              <w:rPr>
                <w:rFonts w:hint="default" w:ascii="Times New Roman" w:hAnsi="Times New Roman" w:cs="Times New Roman"/>
                <w:b/>
                <w:bCs/>
                <w:color w:val="auto"/>
                <w:sz w:val="21"/>
                <w:szCs w:val="21"/>
                <w:highlight w:val="none"/>
                <w:lang w:eastAsia="zh-CN"/>
              </w:rPr>
              <w:t>）</w:t>
            </w:r>
          </w:p>
        </w:tc>
        <w:tc>
          <w:tcPr>
            <w:tcW w:w="382"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NO</w:t>
            </w:r>
            <w:r>
              <w:rPr>
                <w:rFonts w:hint="eastAsia" w:cs="Times New Roman"/>
                <w:b/>
                <w:bCs/>
                <w:color w:val="auto"/>
                <w:sz w:val="21"/>
                <w:szCs w:val="21"/>
                <w:highlight w:val="none"/>
                <w:vertAlign w:val="subscript"/>
                <w:lang w:val="en-US" w:eastAsia="zh-CN"/>
              </w:rPr>
              <w:t>X</w:t>
            </w:r>
          </w:p>
        </w:tc>
        <w:tc>
          <w:tcPr>
            <w:tcW w:w="6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汞及其化合物</w:t>
            </w:r>
          </w:p>
        </w:tc>
        <w:tc>
          <w:tcPr>
            <w:tcW w:w="6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9" w:hRule="atLeast"/>
        </w:trPr>
        <w:tc>
          <w:tcPr>
            <w:tcW w:w="6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DA001排气筒</w:t>
            </w:r>
          </w:p>
        </w:tc>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83.66797241</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46.50858231</w:t>
            </w:r>
          </w:p>
        </w:tc>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525</w:t>
            </w:r>
          </w:p>
        </w:tc>
        <w:tc>
          <w:tcPr>
            <w:tcW w:w="6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91"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6.4</w:t>
            </w:r>
          </w:p>
        </w:tc>
        <w:tc>
          <w:tcPr>
            <w:tcW w:w="382"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正常</w:t>
            </w:r>
          </w:p>
        </w:tc>
        <w:tc>
          <w:tcPr>
            <w:tcW w:w="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00B050"/>
                <w:sz w:val="21"/>
                <w:szCs w:val="21"/>
                <w:highlight w:val="none"/>
                <w:lang w:val="en-US" w:eastAsia="zh-CN"/>
              </w:rPr>
              <w:t>5.13</w:t>
            </w:r>
          </w:p>
        </w:tc>
        <w:tc>
          <w:tcPr>
            <w:tcW w:w="6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0.000262</w:t>
            </w:r>
          </w:p>
        </w:tc>
        <w:tc>
          <w:tcPr>
            <w:tcW w:w="6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00B050"/>
                <w:sz w:val="21"/>
                <w:szCs w:val="21"/>
                <w:highlight w:val="none"/>
                <w:lang w:val="en-US" w:eastAsia="zh-CN"/>
              </w:rPr>
              <w:t>1.88</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0.066</w:t>
            </w:r>
          </w:p>
        </w:tc>
      </w:tr>
    </w:tbl>
    <w:p>
      <w:pPr>
        <w:keepNext w:val="0"/>
        <w:keepLines w:val="0"/>
        <w:pageBreakBefore w:val="0"/>
        <w:tabs>
          <w:tab w:val="left" w:pos="1519"/>
        </w:tabs>
        <w:kinsoku/>
        <w:wordWrap/>
        <w:overflowPunct/>
        <w:topLinePunct w:val="0"/>
        <w:autoSpaceDE w:val="0"/>
        <w:autoSpaceDN w:val="0"/>
        <w:bidi w:val="0"/>
        <w:adjustRightInd w:val="0"/>
        <w:snapToGrid w:val="0"/>
        <w:spacing w:before="158" w:after="3"/>
        <w:ind w:right="32"/>
        <w:jc w:val="center"/>
        <w:textAlignment w:val="auto"/>
        <w:outlineLvl w:val="9"/>
        <w:rPr>
          <w:rFonts w:ascii="Times New Roman" w:hAnsi="Times New Roman" w:cs="Times New Roman"/>
          <w:b/>
          <w:bCs/>
          <w:color w:val="000000" w:themeColor="text1"/>
          <w:sz w:val="21"/>
          <w:szCs w:val="21"/>
          <w:lang w:val="en-US"/>
        </w:rPr>
      </w:pPr>
      <w:r>
        <w:rPr>
          <w:rFonts w:ascii="Times New Roman" w:hAnsi="Times New Roman" w:cs="Times New Roman"/>
          <w:b/>
          <w:bCs/>
          <w:color w:val="000000" w:themeColor="text1"/>
          <w:sz w:val="21"/>
          <w:szCs w:val="21"/>
          <w:lang w:val="en-US"/>
        </w:rPr>
        <w:t xml:space="preserve">表2.6-3     </w:t>
      </w:r>
      <w:r>
        <w:rPr>
          <w:rFonts w:ascii="Times New Roman" w:hAnsi="Times New Roman" w:cs="Times New Roman"/>
          <w:b/>
          <w:bCs/>
          <w:color w:val="000000" w:themeColor="text1"/>
          <w:sz w:val="21"/>
          <w:szCs w:val="21"/>
        </w:rPr>
        <w:t>面源废气排放源强情况一览表</w:t>
      </w:r>
    </w:p>
    <w:tbl>
      <w:tblPr>
        <w:tblStyle w:val="31"/>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56"/>
        <w:gridCol w:w="893"/>
        <w:gridCol w:w="924"/>
        <w:gridCol w:w="772"/>
        <w:gridCol w:w="848"/>
        <w:gridCol w:w="939"/>
        <w:gridCol w:w="984"/>
        <w:gridCol w:w="545"/>
        <w:gridCol w:w="119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9" w:hRule="atLeast"/>
          <w:jc w:val="center"/>
        </w:trPr>
        <w:tc>
          <w:tcPr>
            <w:tcW w:w="135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18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72"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海拔高度</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tc>
        <w:tc>
          <w:tcPr>
            <w:tcW w:w="2771" w:type="dxa"/>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矩形面源</w:t>
            </w:r>
          </w:p>
        </w:tc>
        <w:tc>
          <w:tcPr>
            <w:tcW w:w="54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排放工况</w:t>
            </w:r>
          </w:p>
        </w:tc>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污染物排放速率</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eastAsia" w:cs="Times New Roman"/>
                <w:b/>
                <w:bCs/>
                <w:color w:val="auto"/>
                <w:sz w:val="21"/>
                <w:szCs w:val="21"/>
                <w:highlight w:val="none"/>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9" w:hRule="atLeast"/>
          <w:jc w:val="center"/>
        </w:trPr>
        <w:tc>
          <w:tcPr>
            <w:tcW w:w="135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8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X</w:t>
            </w:r>
          </w:p>
        </w:tc>
        <w:tc>
          <w:tcPr>
            <w:tcW w:w="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Y</w:t>
            </w:r>
          </w:p>
        </w:tc>
        <w:tc>
          <w:tcPr>
            <w:tcW w:w="772"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84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长度</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宽度</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有效高度</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tc>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TSP</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9" w:hRule="atLeast"/>
          <w:jc w:val="center"/>
        </w:trPr>
        <w:tc>
          <w:tcPr>
            <w:tcW w:w="13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面源</w:t>
            </w:r>
            <w:r>
              <w:rPr>
                <w:rFonts w:hint="eastAsia" w:ascii="Times New Roman" w:hAnsi="Times New Roman" w:eastAsia="宋体" w:cs="Times New Roman"/>
                <w:color w:val="auto"/>
                <w:sz w:val="21"/>
                <w:szCs w:val="21"/>
                <w:highlight w:val="none"/>
                <w:lang w:eastAsia="zh-CN"/>
              </w:rPr>
              <w:t>（储煤库、灰渣库、输煤系统等）</w:t>
            </w:r>
          </w:p>
        </w:tc>
        <w:tc>
          <w:tcPr>
            <w:tcW w:w="8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-29.8</w:t>
            </w:r>
          </w:p>
        </w:tc>
        <w:tc>
          <w:tcPr>
            <w:tcW w:w="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-112.3</w:t>
            </w:r>
          </w:p>
        </w:tc>
        <w:tc>
          <w:tcPr>
            <w:tcW w:w="7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594.7</w:t>
            </w:r>
          </w:p>
        </w:tc>
        <w:tc>
          <w:tcPr>
            <w:tcW w:w="8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正常</w:t>
            </w:r>
          </w:p>
        </w:tc>
        <w:tc>
          <w:tcPr>
            <w:tcW w:w="11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0.089</w:t>
            </w:r>
          </w:p>
        </w:tc>
      </w:tr>
    </w:tbl>
    <w:p>
      <w:pPr>
        <w:keepNext w:val="0"/>
        <w:keepLines w:val="0"/>
        <w:pageBreakBefore w:val="0"/>
        <w:tabs>
          <w:tab w:val="left" w:pos="1519"/>
        </w:tabs>
        <w:kinsoku/>
        <w:wordWrap/>
        <w:overflowPunct/>
        <w:topLinePunct w:val="0"/>
        <w:autoSpaceDE w:val="0"/>
        <w:autoSpaceDN w:val="0"/>
        <w:bidi w:val="0"/>
        <w:adjustRightInd w:val="0"/>
        <w:snapToGrid w:val="0"/>
        <w:spacing w:before="158" w:after="3"/>
        <w:ind w:right="32"/>
        <w:jc w:val="center"/>
        <w:textAlignment w:val="auto"/>
        <w:outlineLvl w:val="9"/>
        <w:rPr>
          <w:b/>
          <w:color w:val="0000FF"/>
          <w:sz w:val="21"/>
          <w:szCs w:val="21"/>
        </w:rPr>
      </w:pPr>
      <w:r>
        <w:rPr>
          <w:b/>
          <w:color w:val="0000FF"/>
          <w:sz w:val="21"/>
          <w:szCs w:val="21"/>
        </w:rPr>
        <w:t>表</w:t>
      </w:r>
      <w:r>
        <w:rPr>
          <w:b/>
          <w:color w:val="0000FF"/>
          <w:spacing w:val="-62"/>
          <w:sz w:val="21"/>
          <w:szCs w:val="21"/>
        </w:rPr>
        <w:t xml:space="preserve"> </w:t>
      </w:r>
      <w:r>
        <w:rPr>
          <w:rFonts w:ascii="Times New Roman" w:eastAsia="Times New Roman"/>
          <w:b/>
          <w:color w:val="0000FF"/>
          <w:sz w:val="21"/>
          <w:szCs w:val="21"/>
        </w:rPr>
        <w:t>2.6-</w:t>
      </w:r>
      <w:r>
        <w:rPr>
          <w:rFonts w:hint="eastAsia" w:ascii="Times New Roman"/>
          <w:b/>
          <w:color w:val="0000FF"/>
          <w:sz w:val="21"/>
          <w:szCs w:val="21"/>
          <w:lang w:val="en-US"/>
        </w:rPr>
        <w:t>4</w:t>
      </w:r>
      <w:r>
        <w:rPr>
          <w:rFonts w:ascii="Times New Roman" w:eastAsia="Times New Roman"/>
          <w:b/>
          <w:color w:val="0000FF"/>
          <w:sz w:val="21"/>
          <w:szCs w:val="21"/>
        </w:rPr>
        <w:tab/>
      </w:r>
      <w:r>
        <w:rPr>
          <w:b/>
          <w:color w:val="0000FF"/>
          <w:sz w:val="21"/>
          <w:szCs w:val="21"/>
        </w:rPr>
        <w:t>估算模型参数表</w:t>
      </w:r>
    </w:p>
    <w:tbl>
      <w:tblPr>
        <w:tblStyle w:val="31"/>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398"/>
        <w:gridCol w:w="1498"/>
        <w:gridCol w:w="1491"/>
        <w:gridCol w:w="299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color w:val="0000FF"/>
                <w:sz w:val="21"/>
                <w:szCs w:val="21"/>
                <w:highlight w:val="none"/>
              </w:rPr>
            </w:pPr>
            <w:r>
              <w:rPr>
                <w:rFonts w:ascii="Times New Roman" w:hAnsi="Times New Roman" w:cs="Times New Roman"/>
                <w:b/>
                <w:bCs/>
                <w:color w:val="0000FF"/>
                <w:sz w:val="21"/>
                <w:szCs w:val="21"/>
                <w:highlight w:val="none"/>
              </w:rPr>
              <w:t>参数</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color w:val="0000FF"/>
                <w:sz w:val="21"/>
                <w:szCs w:val="21"/>
                <w:highlight w:val="none"/>
              </w:rPr>
            </w:pPr>
            <w:r>
              <w:rPr>
                <w:rFonts w:ascii="Times New Roman" w:hAnsi="Times New Roman" w:cs="Times New Roman"/>
                <w:b/>
                <w:bCs/>
                <w:color w:val="0000FF"/>
                <w:sz w:val="21"/>
                <w:szCs w:val="21"/>
                <w:highlight w:val="none"/>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2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城市/农村选项</w:t>
            </w: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城市/农村</w:t>
            </w:r>
          </w:p>
        </w:tc>
        <w:tc>
          <w:tcPr>
            <w:tcW w:w="29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FF"/>
                <w:sz w:val="21"/>
                <w:szCs w:val="21"/>
                <w:highlight w:val="none"/>
                <w:lang w:eastAsia="zh-CN"/>
              </w:rPr>
            </w:pPr>
            <w:r>
              <w:rPr>
                <w:rFonts w:hint="eastAsia" w:cs="Times New Roman"/>
                <w:color w:val="0000FF"/>
                <w:sz w:val="21"/>
                <w:szCs w:val="21"/>
                <w:highlight w:val="none"/>
                <w:lang w:eastAsia="zh-CN"/>
              </w:rPr>
              <w:t>城市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人口数</w:t>
            </w:r>
            <w:r>
              <w:rPr>
                <w:rFonts w:hint="default" w:ascii="Times New Roman" w:hAnsi="Times New Roman" w:cs="Times New Roman"/>
                <w:color w:val="0000FF"/>
                <w:sz w:val="21"/>
                <w:szCs w:val="21"/>
                <w:highlight w:val="none"/>
              </w:rPr>
              <w:t>（</w:t>
            </w:r>
            <w:r>
              <w:rPr>
                <w:rFonts w:ascii="Times New Roman" w:hAnsi="Times New Roman" w:cs="Times New Roman"/>
                <w:color w:val="0000FF"/>
                <w:sz w:val="21"/>
                <w:szCs w:val="21"/>
                <w:highlight w:val="none"/>
              </w:rPr>
              <w:t>城市人口数</w:t>
            </w:r>
            <w:r>
              <w:rPr>
                <w:rFonts w:hint="default" w:ascii="Times New Roman" w:hAnsi="Times New Roman" w:cs="Times New Roman"/>
                <w:color w:val="0000FF"/>
                <w:sz w:val="21"/>
                <w:szCs w:val="21"/>
                <w:highlight w:val="none"/>
              </w:rPr>
              <w:t>）</w:t>
            </w:r>
          </w:p>
        </w:tc>
        <w:tc>
          <w:tcPr>
            <w:tcW w:w="29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最高环境温度</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41.7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最低环境温度</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-42.6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土地利用类型</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FF"/>
                <w:sz w:val="21"/>
                <w:szCs w:val="21"/>
                <w:highlight w:val="none"/>
                <w:lang w:eastAsia="zh-CN"/>
              </w:rPr>
            </w:pPr>
            <w:r>
              <w:rPr>
                <w:rFonts w:hint="eastAsia" w:cs="Times New Roman"/>
                <w:color w:val="0000FF"/>
                <w:sz w:val="21"/>
                <w:szCs w:val="21"/>
                <w:highlight w:val="none"/>
                <w:lang w:eastAsia="zh-CN"/>
              </w:rPr>
              <w:t>建设用地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区域湿度条件</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干燥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2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是否考虑地形</w:t>
            </w: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考虑地形</w:t>
            </w:r>
          </w:p>
        </w:tc>
        <w:tc>
          <w:tcPr>
            <w:tcW w:w="29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地形数据分辨率</w:t>
            </w:r>
            <w:r>
              <w:rPr>
                <w:rFonts w:hint="eastAsia" w:cs="Times New Roman"/>
                <w:color w:val="0000FF"/>
                <w:sz w:val="21"/>
                <w:szCs w:val="21"/>
                <w:highlight w:val="none"/>
                <w:lang w:eastAsia="zh-CN"/>
              </w:rPr>
              <w:t>（</w:t>
            </w:r>
            <w:r>
              <w:rPr>
                <w:rFonts w:ascii="Times New Roman" w:hAnsi="Times New Roman" w:cs="Times New Roman"/>
                <w:color w:val="0000FF"/>
                <w:sz w:val="21"/>
                <w:szCs w:val="21"/>
                <w:highlight w:val="none"/>
              </w:rPr>
              <w:t>m</w:t>
            </w:r>
            <w:r>
              <w:rPr>
                <w:rFonts w:hint="eastAsia" w:cs="Times New Roman"/>
                <w:color w:val="0000FF"/>
                <w:sz w:val="21"/>
                <w:szCs w:val="21"/>
                <w:highlight w:val="none"/>
                <w:lang w:eastAsia="zh-CN"/>
              </w:rPr>
              <w:t>）</w:t>
            </w:r>
          </w:p>
        </w:tc>
        <w:tc>
          <w:tcPr>
            <w:tcW w:w="29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2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是否考虑岸线熏烟</w:t>
            </w: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考虑岸线熏烟</w:t>
            </w:r>
          </w:p>
        </w:tc>
        <w:tc>
          <w:tcPr>
            <w:tcW w:w="29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岸线距离/m</w:t>
            </w:r>
          </w:p>
        </w:tc>
        <w:tc>
          <w:tcPr>
            <w:tcW w:w="29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6" w:hRule="atLeast"/>
          <w:jc w:val="center"/>
        </w:trPr>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岸线方向/°</w:t>
            </w:r>
          </w:p>
        </w:tc>
        <w:tc>
          <w:tcPr>
            <w:tcW w:w="29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w:t>
            </w:r>
          </w:p>
        </w:tc>
      </w:tr>
    </w:tbl>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rPr>
          <w:color w:val="0000FF"/>
        </w:rPr>
        <w:t>② 估算结果</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rPr>
          <w:rFonts w:hint="eastAsia"/>
          <w:color w:val="auto"/>
          <w:highlight w:val="none"/>
        </w:rPr>
        <w:t>本项目P</w:t>
      </w:r>
      <w:r>
        <w:rPr>
          <w:rFonts w:hint="eastAsia"/>
          <w:color w:val="auto"/>
          <w:highlight w:val="none"/>
          <w:vertAlign w:val="subscript"/>
        </w:rPr>
        <w:t>max</w:t>
      </w:r>
      <w:r>
        <w:rPr>
          <w:rFonts w:hint="eastAsia"/>
          <w:color w:val="auto"/>
          <w:highlight w:val="none"/>
        </w:rPr>
        <w:t>最大值出现为DA001排气筒点源排放的NO</w:t>
      </w:r>
      <w:r>
        <w:rPr>
          <w:rFonts w:hint="eastAsia"/>
          <w:color w:val="auto"/>
          <w:highlight w:val="none"/>
          <w:vertAlign w:val="subscript"/>
          <w:lang w:val="en-US" w:eastAsia="zh-CN"/>
        </w:rPr>
        <w:t>X</w:t>
      </w:r>
      <w:r>
        <w:rPr>
          <w:rFonts w:hint="eastAsia"/>
          <w:color w:val="auto"/>
          <w:highlight w:val="none"/>
          <w:lang w:eastAsia="zh-CN"/>
        </w:rPr>
        <w:t>，</w:t>
      </w:r>
      <w:r>
        <w:rPr>
          <w:rFonts w:hint="eastAsia"/>
          <w:color w:val="auto"/>
          <w:highlight w:val="none"/>
        </w:rPr>
        <w:t>P</w:t>
      </w:r>
      <w:r>
        <w:rPr>
          <w:rFonts w:hint="eastAsia"/>
          <w:color w:val="auto"/>
          <w:highlight w:val="none"/>
          <w:vertAlign w:val="subscript"/>
        </w:rPr>
        <w:t>max</w:t>
      </w:r>
      <w:r>
        <w:rPr>
          <w:rFonts w:hint="eastAsia"/>
          <w:color w:val="auto"/>
          <w:highlight w:val="none"/>
        </w:rPr>
        <w:t>值为</w:t>
      </w:r>
      <w:r>
        <w:rPr>
          <w:rFonts w:hint="eastAsia"/>
          <w:color w:val="00B050"/>
          <w:highlight w:val="none"/>
          <w:lang w:val="en-US" w:eastAsia="zh-CN"/>
        </w:rPr>
        <w:t>8.79</w:t>
      </w:r>
      <w:r>
        <w:rPr>
          <w:rFonts w:hint="eastAsia"/>
          <w:color w:val="auto"/>
          <w:highlight w:val="none"/>
          <w:lang w:val="en-US" w:eastAsia="zh-CN"/>
        </w:rPr>
        <w:t>%</w:t>
      </w:r>
      <w:r>
        <w:rPr>
          <w:rFonts w:hint="eastAsia"/>
          <w:color w:val="auto"/>
          <w:highlight w:val="none"/>
          <w:lang w:eastAsia="zh-CN"/>
        </w:rPr>
        <w:t>，</w:t>
      </w:r>
      <w:r>
        <w:rPr>
          <w:color w:val="auto"/>
          <w:highlight w:val="none"/>
        </w:rPr>
        <w:t>项目</w:t>
      </w:r>
      <w:r>
        <w:rPr>
          <w:rFonts w:hint="eastAsia"/>
          <w:color w:val="auto"/>
          <w:highlight w:val="none"/>
          <w:lang w:val="en-US" w:eastAsia="zh-CN"/>
        </w:rPr>
        <w:t>NO</w:t>
      </w:r>
      <w:r>
        <w:rPr>
          <w:rFonts w:hint="eastAsia"/>
          <w:color w:val="auto"/>
          <w:highlight w:val="none"/>
          <w:vertAlign w:val="subscript"/>
          <w:lang w:val="en-US" w:eastAsia="zh-CN"/>
        </w:rPr>
        <w:t>X</w:t>
      </w:r>
      <w:r>
        <w:rPr>
          <w:color w:val="auto"/>
          <w:highlight w:val="none"/>
        </w:rPr>
        <w:t>最大浓度出现在</w:t>
      </w:r>
      <w:r>
        <w:rPr>
          <w:rFonts w:hint="eastAsia"/>
          <w:color w:val="auto"/>
          <w:highlight w:val="none"/>
          <w:lang w:val="en-US" w:eastAsia="zh-CN"/>
        </w:rPr>
        <w:t>748</w:t>
      </w:r>
      <w:r>
        <w:rPr>
          <w:color w:val="auto"/>
          <w:highlight w:val="none"/>
        </w:rPr>
        <w:t>m处，最大浓度为</w:t>
      </w:r>
      <w:r>
        <w:rPr>
          <w:rFonts w:hint="eastAsia"/>
          <w:color w:val="00B050"/>
          <w:highlight w:val="none"/>
          <w:lang w:val="en-US" w:eastAsia="zh-CN"/>
        </w:rPr>
        <w:t>21.96</w:t>
      </w:r>
      <w:r>
        <w:rPr>
          <w:rFonts w:hint="eastAsia"/>
          <w:color w:val="00B050"/>
          <w:highlight w:val="none"/>
        </w:rPr>
        <w:t>u</w:t>
      </w:r>
      <w:r>
        <w:rPr>
          <w:color w:val="00B050"/>
          <w:highlight w:val="none"/>
        </w:rPr>
        <w:t>g/m</w:t>
      </w:r>
      <w:r>
        <w:rPr>
          <w:color w:val="00B050"/>
          <w:highlight w:val="none"/>
          <w:vertAlign w:val="superscript"/>
        </w:rPr>
        <w:t>3</w:t>
      </w:r>
      <w:r>
        <w:rPr>
          <w:color w:val="00B050"/>
          <w:highlight w:val="none"/>
        </w:rPr>
        <w:t>，最大浓度占标率为</w:t>
      </w:r>
      <w:r>
        <w:rPr>
          <w:rFonts w:hint="eastAsia"/>
          <w:color w:val="00B050"/>
          <w:highlight w:val="none"/>
          <w:lang w:val="en-US" w:eastAsia="zh-CN"/>
        </w:rPr>
        <w:t>8.79%</w:t>
      </w:r>
      <w:r>
        <w:rPr>
          <w:rFonts w:hint="eastAsia"/>
          <w:color w:val="00B050"/>
          <w:highlight w:val="none"/>
        </w:rPr>
        <w:t>＜10%</w:t>
      </w:r>
      <w:r>
        <w:rPr>
          <w:rFonts w:hint="eastAsia"/>
          <w:color w:val="auto"/>
          <w:highlight w:val="none"/>
        </w:rPr>
        <w:t>，大气评价等级为二级。</w:t>
      </w:r>
    </w:p>
    <w:p>
      <w:pPr>
        <w:pStyle w:val="41"/>
        <w:keepNext w:val="0"/>
        <w:keepLines w:val="0"/>
        <w:pageBreakBefore w:val="0"/>
        <w:numPr>
          <w:ilvl w:val="3"/>
          <w:numId w:val="11"/>
        </w:numPr>
        <w:tabs>
          <w:tab w:val="left" w:pos="1621"/>
        </w:tabs>
        <w:kinsoku/>
        <w:wordWrap/>
        <w:overflowPunct/>
        <w:topLinePunct w:val="0"/>
        <w:autoSpaceDE w:val="0"/>
        <w:autoSpaceDN w:val="0"/>
        <w:bidi w:val="0"/>
        <w:adjustRightInd w:val="0"/>
        <w:snapToGrid w:val="0"/>
        <w:spacing w:before="0" w:line="360" w:lineRule="auto"/>
        <w:ind w:firstLine="480" w:firstLineChars="200"/>
        <w:jc w:val="both"/>
        <w:textAlignment w:val="auto"/>
        <w:outlineLvl w:val="9"/>
        <w:rPr>
          <w:sz w:val="24"/>
        </w:rPr>
      </w:pPr>
      <w:r>
        <w:rPr>
          <w:sz w:val="24"/>
        </w:rPr>
        <w:t>地表水环境影响评价工作等级</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t>根据《环境影响评价技术导则 地表水环境》（</w:t>
      </w:r>
      <w:r>
        <w:rPr>
          <w:rFonts w:ascii="Times New Roman" w:eastAsia="Times New Roman"/>
        </w:rPr>
        <w:t>HJ2.3-2018</w:t>
      </w:r>
      <w:r>
        <w:t>）中规定：水环</w:t>
      </w:r>
      <w:r>
        <w:rPr>
          <w:spacing w:val="-7"/>
        </w:rPr>
        <w:t>境影响评价工作等级的确定，按照建设项目的影响类型、排放方式、排放量或影</w:t>
      </w:r>
      <w:r>
        <w:rPr>
          <w:spacing w:val="-10"/>
        </w:rPr>
        <w:t>响情况、受纳水体环境质量现状、水环境保护目标等综合确定，具体判定依据内</w:t>
      </w:r>
      <w:r>
        <w:rPr>
          <w:spacing w:val="-15"/>
        </w:rPr>
        <w:t xml:space="preserve">容见表 </w:t>
      </w:r>
      <w:r>
        <w:rPr>
          <w:rFonts w:ascii="Times New Roman" w:eastAsia="Times New Roman"/>
        </w:rPr>
        <w:t>2.6-</w:t>
      </w:r>
      <w:r>
        <w:rPr>
          <w:rFonts w:hint="eastAsia" w:ascii="Times New Roman"/>
          <w:lang w:val="en-US"/>
        </w:rPr>
        <w:t>6</w:t>
      </w:r>
      <w:r>
        <w:t>。</w:t>
      </w:r>
    </w:p>
    <w:p>
      <w:pPr>
        <w:keepNext w:val="0"/>
        <w:keepLines w:val="0"/>
        <w:pageBreakBefore w:val="0"/>
        <w:tabs>
          <w:tab w:val="left" w:pos="3892"/>
        </w:tabs>
        <w:kinsoku/>
        <w:wordWrap/>
        <w:overflowPunct/>
        <w:topLinePunct w:val="0"/>
        <w:autoSpaceDE w:val="0"/>
        <w:autoSpaceDN w:val="0"/>
        <w:bidi w:val="0"/>
        <w:adjustRightInd w:val="0"/>
        <w:snapToGrid w:val="0"/>
        <w:spacing w:before="81"/>
        <w:ind w:left="2373"/>
        <w:jc w:val="both"/>
        <w:textAlignment w:val="auto"/>
        <w:outlineLvl w:val="9"/>
        <w:rPr>
          <w:b/>
          <w:bCs/>
          <w:sz w:val="21"/>
          <w:szCs w:val="21"/>
        </w:rPr>
      </w:pPr>
      <w:r>
        <w:rPr>
          <w:b/>
          <w:bCs/>
          <w:sz w:val="21"/>
          <w:szCs w:val="21"/>
        </w:rPr>
        <w:t>表</w:t>
      </w:r>
      <w:r>
        <w:rPr>
          <w:b/>
          <w:bCs/>
          <w:spacing w:val="-62"/>
          <w:sz w:val="21"/>
          <w:szCs w:val="21"/>
        </w:rPr>
        <w:t xml:space="preserve"> </w:t>
      </w:r>
      <w:r>
        <w:rPr>
          <w:rFonts w:ascii="Times New Roman" w:eastAsia="Times New Roman"/>
          <w:b/>
          <w:bCs/>
          <w:sz w:val="21"/>
          <w:szCs w:val="21"/>
        </w:rPr>
        <w:t>2.6-</w:t>
      </w:r>
      <w:r>
        <w:rPr>
          <w:rFonts w:hint="eastAsia" w:ascii="Times New Roman"/>
          <w:b/>
          <w:bCs/>
          <w:sz w:val="21"/>
          <w:szCs w:val="21"/>
          <w:lang w:val="en-US"/>
        </w:rPr>
        <w:t>6</w:t>
      </w:r>
      <w:r>
        <w:rPr>
          <w:rFonts w:ascii="Times New Roman" w:eastAsia="Times New Roman"/>
          <w:b/>
          <w:bCs/>
          <w:sz w:val="21"/>
          <w:szCs w:val="21"/>
        </w:rPr>
        <w:tab/>
      </w:r>
      <w:r>
        <w:rPr>
          <w:b/>
          <w:bCs/>
          <w:sz w:val="21"/>
          <w:szCs w:val="21"/>
        </w:rPr>
        <w:t>水污染影响评价工作等级划分</w:t>
      </w:r>
    </w:p>
    <w:tbl>
      <w:tblPr>
        <w:tblStyle w:val="31"/>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6"/>
        <w:gridCol w:w="1738"/>
        <w:gridCol w:w="5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szCs w:val="21"/>
              </w:rPr>
            </w:pPr>
            <w:r>
              <w:rPr>
                <w:b/>
                <w:sz w:val="21"/>
                <w:szCs w:val="21"/>
              </w:rPr>
              <w:t>评价等级</w:t>
            </w:r>
          </w:p>
        </w:tc>
        <w:tc>
          <w:tcPr>
            <w:tcW w:w="4159" w:type="pct"/>
            <w:gridSpan w:val="2"/>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szCs w:val="21"/>
              </w:rPr>
            </w:pPr>
            <w:r>
              <w:rPr>
                <w:b/>
                <w:sz w:val="21"/>
                <w:szCs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sz w:val="21"/>
                <w:szCs w:val="21"/>
              </w:rPr>
            </w:pPr>
          </w:p>
        </w:tc>
        <w:tc>
          <w:tcPr>
            <w:tcW w:w="104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szCs w:val="21"/>
              </w:rPr>
            </w:pPr>
            <w:r>
              <w:rPr>
                <w:b/>
                <w:sz w:val="21"/>
                <w:szCs w:val="21"/>
              </w:rPr>
              <w:t>排放方式</w:t>
            </w:r>
          </w:p>
        </w:tc>
        <w:tc>
          <w:tcPr>
            <w:tcW w:w="311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szCs w:val="21"/>
              </w:rPr>
            </w:pPr>
            <w:r>
              <w:rPr>
                <w:b/>
                <w:spacing w:val="-10"/>
                <w:sz w:val="21"/>
                <w:szCs w:val="21"/>
              </w:rPr>
              <w:t xml:space="preserve">废水排放量 </w:t>
            </w:r>
            <w:r>
              <w:rPr>
                <w:rFonts w:ascii="Times New Roman" w:eastAsia="Times New Roman"/>
                <w:b/>
                <w:spacing w:val="-3"/>
                <w:sz w:val="21"/>
                <w:szCs w:val="21"/>
              </w:rPr>
              <w:t>Q/</w:t>
            </w:r>
            <w:r>
              <w:rPr>
                <w:b/>
                <w:spacing w:val="-3"/>
                <w:sz w:val="21"/>
                <w:szCs w:val="21"/>
              </w:rPr>
              <w:t>（</w:t>
            </w:r>
            <w:r>
              <w:rPr>
                <w:rFonts w:ascii="Times New Roman" w:eastAsia="Times New Roman"/>
                <w:b/>
                <w:spacing w:val="-3"/>
                <w:sz w:val="21"/>
                <w:szCs w:val="21"/>
              </w:rPr>
              <w:t>m</w:t>
            </w:r>
            <w:r>
              <w:rPr>
                <w:rFonts w:ascii="Times New Roman" w:eastAsia="Times New Roman"/>
                <w:b/>
                <w:spacing w:val="-3"/>
                <w:position w:val="7"/>
                <w:sz w:val="21"/>
                <w:szCs w:val="21"/>
              </w:rPr>
              <w:t>3</w:t>
            </w:r>
            <w:r>
              <w:rPr>
                <w:rFonts w:ascii="Times New Roman" w:eastAsia="Times New Roman"/>
                <w:b/>
                <w:spacing w:val="-3"/>
                <w:sz w:val="21"/>
                <w:szCs w:val="21"/>
              </w:rPr>
              <w:t>/d</w:t>
            </w:r>
            <w:r>
              <w:rPr>
                <w:b/>
                <w:spacing w:val="-3"/>
                <w:sz w:val="21"/>
                <w:szCs w:val="21"/>
              </w:rPr>
              <w:t>）；</w:t>
            </w:r>
            <w:r>
              <w:rPr>
                <w:b/>
                <w:spacing w:val="-7"/>
                <w:sz w:val="21"/>
                <w:szCs w:val="21"/>
              </w:rPr>
              <w:t xml:space="preserve">水污染物当量数 </w:t>
            </w:r>
            <w:r>
              <w:rPr>
                <w:rFonts w:ascii="Times New Roman" w:eastAsia="Times New Roman"/>
                <w:b/>
                <w:spacing w:val="-3"/>
                <w:sz w:val="21"/>
                <w:szCs w:val="21"/>
              </w:rPr>
              <w:t>W/</w:t>
            </w:r>
            <w:r>
              <w:rPr>
                <w:b/>
                <w:spacing w:val="-3"/>
                <w:sz w:val="21"/>
                <w:szCs w:val="21"/>
              </w:rPr>
              <w:t>（</w:t>
            </w:r>
            <w:r>
              <w:rPr>
                <w:b/>
                <w:sz w:val="21"/>
                <w:szCs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szCs w:val="21"/>
              </w:rPr>
            </w:pPr>
            <w:r>
              <w:rPr>
                <w:sz w:val="21"/>
                <w:szCs w:val="21"/>
              </w:rPr>
              <w:t>一级</w:t>
            </w:r>
          </w:p>
        </w:tc>
        <w:tc>
          <w:tcPr>
            <w:tcW w:w="104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szCs w:val="21"/>
              </w:rPr>
            </w:pPr>
            <w:r>
              <w:rPr>
                <w:sz w:val="21"/>
                <w:szCs w:val="21"/>
              </w:rPr>
              <w:t>直接排放</w:t>
            </w:r>
          </w:p>
        </w:tc>
        <w:tc>
          <w:tcPr>
            <w:tcW w:w="311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rFonts w:ascii="Times New Roman" w:hAnsi="Times New Roman" w:eastAsia="Times New Roman"/>
                <w:sz w:val="21"/>
                <w:szCs w:val="21"/>
              </w:rPr>
            </w:pPr>
            <w:r>
              <w:rPr>
                <w:rFonts w:ascii="Times New Roman" w:hAnsi="Times New Roman" w:eastAsia="Times New Roman"/>
                <w:sz w:val="21"/>
                <w:szCs w:val="21"/>
              </w:rPr>
              <w:t>Q</w:t>
            </w:r>
            <w:r>
              <w:rPr>
                <w:sz w:val="21"/>
                <w:szCs w:val="21"/>
              </w:rPr>
              <w:t>≥</w:t>
            </w:r>
            <w:r>
              <w:rPr>
                <w:rFonts w:ascii="Times New Roman" w:hAnsi="Times New Roman" w:eastAsia="Times New Roman"/>
                <w:sz w:val="21"/>
                <w:szCs w:val="21"/>
              </w:rPr>
              <w:t xml:space="preserve">20000 </w:t>
            </w:r>
            <w:r>
              <w:rPr>
                <w:sz w:val="21"/>
                <w:szCs w:val="21"/>
              </w:rPr>
              <w:t xml:space="preserve">或 </w:t>
            </w:r>
            <w:r>
              <w:rPr>
                <w:rFonts w:ascii="Times New Roman" w:hAnsi="Times New Roman" w:eastAsia="Times New Roman"/>
                <w:sz w:val="21"/>
                <w:szCs w:val="21"/>
              </w:rPr>
              <w:t>W</w:t>
            </w:r>
            <w:r>
              <w:rPr>
                <w:sz w:val="21"/>
                <w:szCs w:val="21"/>
              </w:rPr>
              <w:t>≥</w:t>
            </w:r>
            <w:r>
              <w:rPr>
                <w:rFonts w:ascii="Times New Roman" w:hAnsi="Times New Roman" w:eastAsia="Times New Roman"/>
                <w:sz w:val="21"/>
                <w:szCs w:val="21"/>
              </w:rPr>
              <w:t>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szCs w:val="21"/>
              </w:rPr>
            </w:pPr>
            <w:r>
              <w:rPr>
                <w:sz w:val="21"/>
                <w:szCs w:val="21"/>
              </w:rPr>
              <w:t>二级</w:t>
            </w:r>
          </w:p>
        </w:tc>
        <w:tc>
          <w:tcPr>
            <w:tcW w:w="104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szCs w:val="21"/>
              </w:rPr>
            </w:pPr>
            <w:r>
              <w:rPr>
                <w:sz w:val="21"/>
                <w:szCs w:val="21"/>
              </w:rPr>
              <w:t>直接排放</w:t>
            </w:r>
          </w:p>
        </w:tc>
        <w:tc>
          <w:tcPr>
            <w:tcW w:w="311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szCs w:val="21"/>
              </w:rPr>
            </w:pPr>
            <w:r>
              <w:rPr>
                <w:sz w:val="21"/>
                <w:szCs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rFonts w:ascii="Times New Roman" w:eastAsia="Times New Roman"/>
                <w:sz w:val="21"/>
                <w:szCs w:val="21"/>
              </w:rPr>
            </w:pPr>
            <w:r>
              <w:rPr>
                <w:sz w:val="21"/>
                <w:szCs w:val="21"/>
              </w:rPr>
              <w:t xml:space="preserve">三级 </w:t>
            </w:r>
            <w:r>
              <w:rPr>
                <w:rFonts w:ascii="Times New Roman" w:eastAsia="Times New Roman"/>
                <w:sz w:val="21"/>
                <w:szCs w:val="21"/>
              </w:rPr>
              <w:t>A</w:t>
            </w:r>
          </w:p>
        </w:tc>
        <w:tc>
          <w:tcPr>
            <w:tcW w:w="104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szCs w:val="21"/>
              </w:rPr>
            </w:pPr>
            <w:r>
              <w:rPr>
                <w:sz w:val="21"/>
                <w:szCs w:val="21"/>
              </w:rPr>
              <w:t>直接排放</w:t>
            </w:r>
          </w:p>
        </w:tc>
        <w:tc>
          <w:tcPr>
            <w:tcW w:w="311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rFonts w:ascii="Times New Roman" w:eastAsia="Times New Roman"/>
                <w:sz w:val="21"/>
                <w:szCs w:val="21"/>
              </w:rPr>
            </w:pPr>
            <w:r>
              <w:rPr>
                <w:rFonts w:ascii="Times New Roman" w:eastAsia="Times New Roman"/>
                <w:sz w:val="21"/>
                <w:szCs w:val="21"/>
              </w:rPr>
              <w:t>Q</w:t>
            </w:r>
            <w:r>
              <w:rPr>
                <w:sz w:val="21"/>
                <w:szCs w:val="21"/>
              </w:rPr>
              <w:t>＜</w:t>
            </w:r>
            <w:r>
              <w:rPr>
                <w:rFonts w:ascii="Times New Roman" w:eastAsia="Times New Roman"/>
                <w:sz w:val="21"/>
                <w:szCs w:val="21"/>
              </w:rPr>
              <w:t xml:space="preserve">200 </w:t>
            </w:r>
            <w:r>
              <w:rPr>
                <w:sz w:val="21"/>
                <w:szCs w:val="21"/>
              </w:rPr>
              <w:t xml:space="preserve">或 </w:t>
            </w:r>
            <w:r>
              <w:rPr>
                <w:rFonts w:ascii="Times New Roman" w:eastAsia="Times New Roman"/>
                <w:sz w:val="21"/>
                <w:szCs w:val="21"/>
              </w:rPr>
              <w:t>W</w:t>
            </w:r>
            <w:r>
              <w:rPr>
                <w:sz w:val="21"/>
                <w:szCs w:val="21"/>
              </w:rPr>
              <w:t>＜</w:t>
            </w:r>
            <w:r>
              <w:rPr>
                <w:rFonts w:ascii="Times New Roman" w:eastAsia="Times New Roman"/>
                <w:sz w:val="21"/>
                <w:szCs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rFonts w:ascii="Times New Roman" w:eastAsia="Times New Roman"/>
                <w:sz w:val="21"/>
                <w:szCs w:val="21"/>
              </w:rPr>
            </w:pPr>
            <w:r>
              <w:rPr>
                <w:sz w:val="21"/>
                <w:szCs w:val="21"/>
              </w:rPr>
              <w:t xml:space="preserve">三级 </w:t>
            </w:r>
            <w:r>
              <w:rPr>
                <w:rFonts w:ascii="Times New Roman" w:eastAsia="Times New Roman"/>
                <w:sz w:val="21"/>
                <w:szCs w:val="21"/>
              </w:rPr>
              <w:t>B</w:t>
            </w:r>
          </w:p>
        </w:tc>
        <w:tc>
          <w:tcPr>
            <w:tcW w:w="104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szCs w:val="21"/>
              </w:rPr>
            </w:pPr>
            <w:r>
              <w:rPr>
                <w:sz w:val="21"/>
                <w:szCs w:val="21"/>
              </w:rPr>
              <w:t>间接排放</w:t>
            </w:r>
          </w:p>
        </w:tc>
        <w:tc>
          <w:tcPr>
            <w:tcW w:w="3113"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szCs w:val="21"/>
              </w:rPr>
            </w:pPr>
            <w:r>
              <w:rPr>
                <w:w w:val="99"/>
                <w:sz w:val="21"/>
                <w:szCs w:val="21"/>
              </w:rPr>
              <w:t>—</w:t>
            </w:r>
          </w:p>
        </w:tc>
      </w:tr>
    </w:tbl>
    <w:p>
      <w:pPr>
        <w:pStyle w:val="14"/>
        <w:keepNext w:val="0"/>
        <w:keepLines w:val="0"/>
        <w:pageBreakBefore w:val="0"/>
        <w:kinsoku/>
        <w:wordWrap/>
        <w:overflowPunct/>
        <w:topLinePunct w:val="0"/>
        <w:autoSpaceDE w:val="0"/>
        <w:autoSpaceDN w:val="0"/>
        <w:bidi w:val="0"/>
        <w:adjustRightInd w:val="0"/>
        <w:snapToGrid w:val="0"/>
        <w:spacing w:line="360" w:lineRule="auto"/>
        <w:ind w:left="0" w:firstLine="460" w:firstLineChars="200"/>
        <w:jc w:val="both"/>
        <w:textAlignment w:val="auto"/>
        <w:outlineLvl w:val="9"/>
      </w:pPr>
      <w:r>
        <w:rPr>
          <w:rFonts w:hint="eastAsia"/>
          <w:spacing w:val="-5"/>
          <w:lang w:eastAsia="zh-CN"/>
        </w:rPr>
        <w:t>本项目不属于水污染影响型建设项目，无直接外排废水。</w:t>
      </w:r>
      <w:r>
        <w:rPr>
          <w:color w:val="000000" w:themeColor="text1"/>
        </w:rPr>
        <w:t>根据《环境影响评价技术导则 地表水</w:t>
      </w:r>
      <w:r>
        <w:t>环境》（</w:t>
      </w:r>
      <w:r>
        <w:rPr>
          <w:rFonts w:ascii="Times New Roman" w:eastAsia="Times New Roman"/>
        </w:rPr>
        <w:t>HJ2.3-2018</w:t>
      </w:r>
      <w:r>
        <w:t>）地表水环境影</w:t>
      </w:r>
      <w:r>
        <w:rPr>
          <w:spacing w:val="-8"/>
        </w:rPr>
        <w:t>响评价分级判据标准，本项目废水不外排，</w:t>
      </w:r>
      <w:r>
        <w:rPr>
          <w:spacing w:val="-3"/>
        </w:rPr>
        <w:t xml:space="preserve">因此，判定本项目地表水环境评价级别为三级 </w:t>
      </w:r>
      <w:r>
        <w:rPr>
          <w:rFonts w:ascii="Times New Roman" w:eastAsia="Times New Roman"/>
        </w:rPr>
        <w:t>B</w:t>
      </w:r>
      <w:r>
        <w:t>。</w:t>
      </w:r>
    </w:p>
    <w:p>
      <w:pPr>
        <w:pStyle w:val="41"/>
        <w:keepNext w:val="0"/>
        <w:keepLines w:val="0"/>
        <w:pageBreakBefore w:val="0"/>
        <w:numPr>
          <w:ilvl w:val="3"/>
          <w:numId w:val="11"/>
        </w:numPr>
        <w:tabs>
          <w:tab w:val="left" w:pos="1621"/>
        </w:tabs>
        <w:kinsoku/>
        <w:wordWrap/>
        <w:overflowPunct/>
        <w:topLinePunct w:val="0"/>
        <w:autoSpaceDE w:val="0"/>
        <w:autoSpaceDN w:val="0"/>
        <w:bidi w:val="0"/>
        <w:adjustRightInd w:val="0"/>
        <w:snapToGrid w:val="0"/>
        <w:spacing w:before="0" w:line="360" w:lineRule="auto"/>
        <w:ind w:firstLine="480" w:firstLineChars="200"/>
        <w:jc w:val="both"/>
        <w:textAlignment w:val="auto"/>
        <w:outlineLvl w:val="9"/>
        <w:rPr>
          <w:sz w:val="24"/>
        </w:rPr>
      </w:pPr>
      <w:r>
        <w:rPr>
          <w:sz w:val="24"/>
        </w:rPr>
        <w:t>地下水环境影响评价工作等级</w:t>
      </w:r>
    </w:p>
    <w:p>
      <w:pPr>
        <w:keepNext w:val="0"/>
        <w:keepLines w:val="0"/>
        <w:pageBreakBefore w:val="0"/>
        <w:widowControl/>
        <w:suppressLineNumbers w:val="0"/>
        <w:kinsoku/>
        <w:wordWrap/>
        <w:overflowPunct/>
        <w:topLinePunct w:val="0"/>
        <w:autoSpaceDE w:val="0"/>
        <w:autoSpaceDN w:val="0"/>
        <w:bidi w:val="0"/>
        <w:adjustRightInd w:val="0"/>
        <w:snapToGrid w:val="0"/>
        <w:jc w:val="left"/>
        <w:textAlignment w:val="auto"/>
        <w:outlineLvl w:val="9"/>
      </w:pPr>
      <w:r>
        <w:rPr>
          <w:rFonts w:hint="eastAsia" w:ascii="宋体" w:hAnsi="宋体" w:eastAsia="宋体" w:cs="宋体"/>
          <w:color w:val="000000"/>
          <w:kern w:val="0"/>
          <w:sz w:val="24"/>
          <w:szCs w:val="24"/>
          <w:lang w:val="en-US" w:eastAsia="zh-CN" w:bidi="ar"/>
        </w:rPr>
        <w:t>根据《环境影响评价技术导则 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）附录</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地下水环境影响评价行业分类表，</w:t>
      </w:r>
      <w:r>
        <w:rPr>
          <w:rFonts w:hint="default" w:ascii="Times New Roman" w:hAnsi="Times New Roman" w:eastAsia="宋体" w:cs="Times New Roman"/>
          <w:color w:val="000000"/>
          <w:kern w:val="0"/>
          <w:sz w:val="24"/>
          <w:szCs w:val="24"/>
          <w:lang w:val="en-US" w:eastAsia="zh-CN" w:bidi="ar"/>
        </w:rPr>
        <w:t>“U</w:t>
      </w:r>
      <w:r>
        <w:rPr>
          <w:rFonts w:hint="eastAsia" w:ascii="宋体" w:hAnsi="宋体" w:eastAsia="宋体" w:cs="宋体"/>
          <w:color w:val="000000"/>
          <w:kern w:val="0"/>
          <w:sz w:val="24"/>
          <w:szCs w:val="24"/>
          <w:lang w:val="en-US" w:eastAsia="zh-CN" w:bidi="ar"/>
        </w:rPr>
        <w:t>热力生产和供应工程</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，燃煤、燃油锅炉总容量</w:t>
      </w:r>
      <w:r>
        <w:rPr>
          <w:rFonts w:hint="default" w:ascii="Times New Roman" w:hAnsi="Times New Roman" w:eastAsia="宋体" w:cs="Times New Roman"/>
          <w:color w:val="000000"/>
          <w:kern w:val="0"/>
          <w:sz w:val="24"/>
          <w:szCs w:val="24"/>
          <w:lang w:val="en-US" w:eastAsia="zh-CN" w:bidi="ar"/>
        </w:rPr>
        <w:t>65</w:t>
      </w:r>
      <w:r>
        <w:rPr>
          <w:rFonts w:hint="eastAsia" w:ascii="宋体" w:hAnsi="宋体" w:eastAsia="宋体" w:cs="宋体"/>
          <w:color w:val="000000"/>
          <w:kern w:val="0"/>
          <w:sz w:val="24"/>
          <w:szCs w:val="24"/>
          <w:lang w:val="en-US" w:eastAsia="zh-CN" w:bidi="ar"/>
        </w:rPr>
        <w:t>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小时（不含）以上，故为</w:t>
      </w:r>
      <w:r>
        <w:rPr>
          <w:rFonts w:hint="default" w:ascii="Times New Roman" w:hAnsi="Times New Roman" w:eastAsia="宋体" w:cs="Times New Roman"/>
          <w:color w:val="000000"/>
          <w:kern w:val="0"/>
          <w:sz w:val="24"/>
          <w:szCs w:val="24"/>
          <w:lang w:val="en-US" w:eastAsia="zh-CN" w:bidi="ar"/>
        </w:rPr>
        <w:t>IV</w:t>
      </w:r>
      <w:r>
        <w:rPr>
          <w:rFonts w:hint="eastAsia" w:ascii="宋体" w:hAnsi="宋体" w:eastAsia="宋体" w:cs="宋体"/>
          <w:color w:val="000000"/>
          <w:kern w:val="0"/>
          <w:sz w:val="24"/>
          <w:szCs w:val="24"/>
          <w:lang w:val="en-US" w:eastAsia="zh-CN" w:bidi="ar"/>
        </w:rPr>
        <w:t>类建设项目，不开展地下水环境影响评价。</w:t>
      </w:r>
    </w:p>
    <w:p>
      <w:pPr>
        <w:pStyle w:val="41"/>
        <w:keepNext w:val="0"/>
        <w:keepLines w:val="0"/>
        <w:pageBreakBefore w:val="0"/>
        <w:numPr>
          <w:ilvl w:val="3"/>
          <w:numId w:val="11"/>
        </w:numPr>
        <w:tabs>
          <w:tab w:val="left" w:pos="1621"/>
        </w:tabs>
        <w:kinsoku/>
        <w:wordWrap/>
        <w:overflowPunct/>
        <w:topLinePunct w:val="0"/>
        <w:autoSpaceDE w:val="0"/>
        <w:autoSpaceDN w:val="0"/>
        <w:bidi w:val="0"/>
        <w:adjustRightInd w:val="0"/>
        <w:snapToGrid w:val="0"/>
        <w:spacing w:before="0" w:line="360" w:lineRule="auto"/>
        <w:ind w:firstLine="480" w:firstLineChars="200"/>
        <w:jc w:val="both"/>
        <w:textAlignment w:val="auto"/>
        <w:outlineLvl w:val="9"/>
        <w:rPr>
          <w:sz w:val="24"/>
          <w:highlight w:val="none"/>
        </w:rPr>
      </w:pPr>
      <w:r>
        <w:rPr>
          <w:sz w:val="24"/>
          <w:highlight w:val="none"/>
        </w:rPr>
        <w:t>声环境影响评价工作等级</w:t>
      </w:r>
    </w:p>
    <w:p>
      <w:pPr>
        <w:keepNext w:val="0"/>
        <w:keepLines w:val="0"/>
        <w:pageBreakBefore w:val="0"/>
        <w:widowControl/>
        <w:suppressLineNumbers w:val="0"/>
        <w:kinsoku/>
        <w:wordWrap/>
        <w:overflowPunct/>
        <w:topLinePunct w:val="0"/>
        <w:autoSpaceDE w:val="0"/>
        <w:autoSpaceDN w:val="0"/>
        <w:bidi w:val="0"/>
        <w:adjustRightInd w:val="0"/>
        <w:snapToGrid w:val="0"/>
        <w:jc w:val="both"/>
        <w:textAlignment w:val="auto"/>
        <w:outlineLvl w:val="9"/>
      </w:pPr>
      <w:r>
        <w:rPr>
          <w:spacing w:val="-4"/>
        </w:rPr>
        <w:t>项目位于</w:t>
      </w:r>
      <w:r>
        <w:rPr>
          <w:rFonts w:hint="eastAsia"/>
          <w:spacing w:val="-4"/>
          <w:lang w:eastAsia="zh-CN"/>
        </w:rPr>
        <w:t>塔城地区额敏县桥南中粮路21号中粮糖业控股股份有限公司额敏糖业分公司厂区内</w:t>
      </w:r>
      <w:r>
        <w:rPr>
          <w:spacing w:val="-9"/>
        </w:rPr>
        <w:t>，</w:t>
      </w:r>
      <w:r>
        <w:rPr>
          <w:spacing w:val="-12"/>
        </w:rPr>
        <w:t>属于</w:t>
      </w:r>
      <w:r>
        <w:rPr>
          <w:rFonts w:hint="eastAsia"/>
          <w:spacing w:val="-12"/>
          <w:lang w:val="en-US" w:eastAsia="zh-CN"/>
        </w:rPr>
        <w:t>3</w:t>
      </w:r>
      <w:r>
        <w:rPr>
          <w:spacing w:val="-5"/>
        </w:rPr>
        <w:t>类声环境功能区。</w:t>
      </w:r>
      <w:r>
        <w:t>根据该项目的污染特征、环境特征和《环境影响评价技术导则</w:t>
      </w:r>
      <w:r>
        <w:rPr>
          <w:rFonts w:ascii="Times New Roman" w:hAnsi="Times New Roman" w:eastAsia="Times New Roman"/>
        </w:rPr>
        <w:t>·</w:t>
      </w:r>
      <w:r>
        <w:t>声环境》（</w:t>
      </w:r>
      <w:r>
        <w:rPr>
          <w:rFonts w:ascii="Times New Roman" w:eastAsia="Times New Roman"/>
        </w:rPr>
        <w:t>HJ2.4-2009</w:t>
      </w:r>
      <w:r>
        <w:t>）中有关评价工作分级的规定，噪声环境影响评价级别的划分是根据建设项目类型、所在功能区及项目建设前后噪声级变化情况确定级别。</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t xml:space="preserve">本次声环境影响评价等级详见表 </w:t>
      </w:r>
      <w:r>
        <w:rPr>
          <w:rFonts w:ascii="Times New Roman" w:eastAsia="Times New Roman"/>
        </w:rPr>
        <w:t>2.6-</w:t>
      </w:r>
      <w:r>
        <w:rPr>
          <w:rFonts w:hint="eastAsia" w:ascii="Times New Roman"/>
          <w:lang w:val="en-US"/>
        </w:rPr>
        <w:t>9</w:t>
      </w:r>
      <w:r>
        <w:t xml:space="preserve">和表 </w:t>
      </w:r>
      <w:r>
        <w:rPr>
          <w:rFonts w:ascii="Times New Roman" w:eastAsia="Times New Roman"/>
        </w:rPr>
        <w:t>2.6-</w:t>
      </w:r>
      <w:r>
        <w:rPr>
          <w:rFonts w:hint="eastAsia" w:ascii="Times New Roman"/>
          <w:lang w:val="en-US"/>
        </w:rPr>
        <w:t>10</w:t>
      </w:r>
      <w:r>
        <w:t>。</w:t>
      </w:r>
    </w:p>
    <w:p>
      <w:pPr>
        <w:keepNext w:val="0"/>
        <w:keepLines w:val="0"/>
        <w:pageBreakBefore w:val="0"/>
        <w:tabs>
          <w:tab w:val="left" w:pos="1519"/>
        </w:tabs>
        <w:kinsoku/>
        <w:wordWrap/>
        <w:overflowPunct/>
        <w:topLinePunct w:val="0"/>
        <w:autoSpaceDE w:val="0"/>
        <w:autoSpaceDN w:val="0"/>
        <w:bidi w:val="0"/>
        <w:adjustRightInd w:val="0"/>
        <w:snapToGrid w:val="0"/>
        <w:ind w:right="28"/>
        <w:jc w:val="center"/>
        <w:textAlignment w:val="auto"/>
        <w:outlineLvl w:val="9"/>
      </w:pPr>
      <w:r>
        <w:t>表</w:t>
      </w:r>
      <w:r>
        <w:rPr>
          <w:spacing w:val="-62"/>
        </w:rPr>
        <w:t xml:space="preserve"> </w:t>
      </w:r>
      <w:r>
        <w:rPr>
          <w:rFonts w:ascii="Times New Roman" w:eastAsia="Times New Roman"/>
        </w:rPr>
        <w:t>2.6-</w:t>
      </w:r>
      <w:r>
        <w:rPr>
          <w:rFonts w:hint="eastAsia" w:ascii="Times New Roman"/>
          <w:lang w:val="en-US"/>
        </w:rPr>
        <w:t>9</w:t>
      </w:r>
      <w:r>
        <w:rPr>
          <w:rFonts w:ascii="Times New Roman" w:eastAsia="Times New Roman"/>
        </w:rPr>
        <w:tab/>
      </w:r>
      <w:r>
        <w:t>声评价工作等级判定表</w:t>
      </w:r>
    </w:p>
    <w:tbl>
      <w:tblPr>
        <w:tblStyle w:val="3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73"/>
        <w:gridCol w:w="1404"/>
        <w:gridCol w:w="2514"/>
        <w:gridCol w:w="1464"/>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00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影响因素评价等级</w:t>
            </w:r>
          </w:p>
        </w:tc>
        <w:tc>
          <w:tcPr>
            <w:tcW w:w="84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声环境功能区类别</w:t>
            </w:r>
          </w:p>
        </w:tc>
        <w:tc>
          <w:tcPr>
            <w:tcW w:w="1511"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敏感目标声级增加量</w:t>
            </w:r>
          </w:p>
        </w:tc>
        <w:tc>
          <w:tcPr>
            <w:tcW w:w="88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影响人口变化</w:t>
            </w:r>
          </w:p>
        </w:tc>
        <w:tc>
          <w:tcPr>
            <w:tcW w:w="7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一级</w:t>
            </w:r>
          </w:p>
        </w:tc>
        <w:tc>
          <w:tcPr>
            <w:tcW w:w="84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rFonts w:ascii="Times New Roman" w:eastAsia="Times New Roman"/>
                <w:sz w:val="21"/>
              </w:rPr>
              <w:t xml:space="preserve">0 </w:t>
            </w:r>
            <w:r>
              <w:rPr>
                <w:sz w:val="21"/>
              </w:rPr>
              <w:t>类</w:t>
            </w:r>
          </w:p>
        </w:tc>
        <w:tc>
          <w:tcPr>
            <w:tcW w:w="1511"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w:t>
            </w:r>
            <w:r>
              <w:rPr>
                <w:rFonts w:ascii="Times New Roman" w:eastAsia="Times New Roman"/>
                <w:sz w:val="21"/>
              </w:rPr>
              <w:t>5dB</w:t>
            </w:r>
            <w:r>
              <w:rPr>
                <w:sz w:val="21"/>
              </w:rPr>
              <w:t>（</w:t>
            </w:r>
            <w:r>
              <w:rPr>
                <w:rFonts w:ascii="Times New Roman" w:eastAsia="Times New Roman"/>
                <w:sz w:val="21"/>
              </w:rPr>
              <w:t>A</w:t>
            </w:r>
            <w:r>
              <w:rPr>
                <w:sz w:val="21"/>
              </w:rPr>
              <w:t>）</w:t>
            </w:r>
          </w:p>
        </w:tc>
        <w:tc>
          <w:tcPr>
            <w:tcW w:w="88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显著</w:t>
            </w:r>
          </w:p>
        </w:tc>
        <w:tc>
          <w:tcPr>
            <w:tcW w:w="755"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三个因素独立，只要满足任意项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二级</w:t>
            </w:r>
          </w:p>
        </w:tc>
        <w:tc>
          <w:tcPr>
            <w:tcW w:w="84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rFonts w:ascii="Times New Roman" w:eastAsia="Times New Roman"/>
                <w:sz w:val="21"/>
              </w:rPr>
              <w:t xml:space="preserve">1 </w:t>
            </w:r>
            <w:r>
              <w:rPr>
                <w:sz w:val="21"/>
              </w:rPr>
              <w:t>类、</w:t>
            </w:r>
            <w:r>
              <w:rPr>
                <w:rFonts w:ascii="Times New Roman" w:eastAsia="Times New Roman"/>
                <w:sz w:val="21"/>
              </w:rPr>
              <w:t xml:space="preserve">2 </w:t>
            </w:r>
            <w:r>
              <w:rPr>
                <w:sz w:val="21"/>
              </w:rPr>
              <w:t>类</w:t>
            </w:r>
          </w:p>
        </w:tc>
        <w:tc>
          <w:tcPr>
            <w:tcW w:w="1511"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rFonts w:ascii="Times New Roman" w:eastAsia="Times New Roman"/>
                <w:spacing w:val="1"/>
                <w:w w:val="99"/>
                <w:sz w:val="21"/>
              </w:rPr>
              <w:t>3</w:t>
            </w:r>
            <w:r>
              <w:rPr>
                <w:spacing w:val="-1"/>
                <w:w w:val="99"/>
                <w:sz w:val="21"/>
              </w:rPr>
              <w:t>～</w:t>
            </w:r>
            <w:r>
              <w:rPr>
                <w:rFonts w:ascii="Times New Roman" w:eastAsia="Times New Roman"/>
                <w:spacing w:val="1"/>
                <w:w w:val="99"/>
                <w:sz w:val="21"/>
              </w:rPr>
              <w:t>5d</w:t>
            </w:r>
            <w:r>
              <w:rPr>
                <w:rFonts w:ascii="Times New Roman" w:eastAsia="Times New Roman"/>
                <w:spacing w:val="-68"/>
                <w:w w:val="99"/>
                <w:sz w:val="21"/>
              </w:rPr>
              <w:t>B</w:t>
            </w:r>
            <w:r>
              <w:rPr>
                <w:spacing w:val="-1"/>
                <w:w w:val="99"/>
                <w:sz w:val="21"/>
              </w:rPr>
              <w:t>（</w:t>
            </w:r>
            <w:r>
              <w:rPr>
                <w:rFonts w:ascii="Times New Roman" w:eastAsia="Times New Roman"/>
                <w:w w:val="99"/>
                <w:sz w:val="21"/>
              </w:rPr>
              <w:t>A</w:t>
            </w:r>
            <w:r>
              <w:rPr>
                <w:spacing w:val="-135"/>
                <w:w w:val="99"/>
                <w:sz w:val="21"/>
              </w:rPr>
              <w:t>）</w:t>
            </w:r>
            <w:r>
              <w:rPr>
                <w:spacing w:val="-1"/>
                <w:w w:val="99"/>
                <w:sz w:val="21"/>
              </w:rPr>
              <w:t>（</w:t>
            </w:r>
            <w:r>
              <w:rPr>
                <w:w w:val="99"/>
                <w:sz w:val="21"/>
              </w:rPr>
              <w:t>含</w:t>
            </w:r>
            <w:r>
              <w:rPr>
                <w:spacing w:val="-50"/>
                <w:sz w:val="21"/>
              </w:rPr>
              <w:t xml:space="preserve"> </w:t>
            </w:r>
            <w:r>
              <w:rPr>
                <w:rFonts w:ascii="Times New Roman" w:eastAsia="Times New Roman"/>
                <w:spacing w:val="1"/>
                <w:w w:val="99"/>
                <w:sz w:val="21"/>
              </w:rPr>
              <w:t>5d</w:t>
            </w:r>
            <w:r>
              <w:rPr>
                <w:rFonts w:ascii="Times New Roman" w:eastAsia="Times New Roman"/>
                <w:spacing w:val="-68"/>
                <w:w w:val="99"/>
                <w:sz w:val="21"/>
              </w:rPr>
              <w:t>B</w:t>
            </w:r>
            <w:r>
              <w:rPr>
                <w:spacing w:val="-1"/>
                <w:w w:val="99"/>
                <w:sz w:val="21"/>
              </w:rPr>
              <w:t>（</w:t>
            </w:r>
            <w:r>
              <w:rPr>
                <w:rFonts w:ascii="Times New Roman" w:eastAsia="Times New Roman"/>
                <w:w w:val="99"/>
                <w:sz w:val="21"/>
              </w:rPr>
              <w:t>A</w:t>
            </w:r>
            <w:r>
              <w:rPr>
                <w:spacing w:val="-104"/>
                <w:w w:val="99"/>
                <w:sz w:val="21"/>
              </w:rPr>
              <w:t>）</w:t>
            </w:r>
            <w:r>
              <w:rPr>
                <w:w w:val="99"/>
                <w:sz w:val="21"/>
              </w:rPr>
              <w:t>）</w:t>
            </w:r>
          </w:p>
        </w:tc>
        <w:tc>
          <w:tcPr>
            <w:tcW w:w="88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较多</w:t>
            </w:r>
          </w:p>
        </w:tc>
        <w:tc>
          <w:tcPr>
            <w:tcW w:w="755" w:type="pct"/>
            <w:vMerge w:val="continue"/>
            <w:tcBorders>
              <w:top w:val="nil"/>
            </w:tcBorders>
            <w:vAlign w:val="center"/>
          </w:tcPr>
          <w:p>
            <w:pPr>
              <w:keepNext w:val="0"/>
              <w:keepLines w:val="0"/>
              <w:pageBreakBefore w:val="0"/>
              <w:kinsoku/>
              <w:wordWrap/>
              <w:overflowPunct/>
              <w:topLinePunct w:val="0"/>
              <w:autoSpaceDE w:val="0"/>
              <w:autoSpaceDN w:val="0"/>
              <w:bidi w:val="0"/>
              <w:adjustRightInd w:val="0"/>
              <w:snapToGrid w:val="0"/>
              <w:jc w:val="center"/>
              <w:textAlignment w:val="auto"/>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三级</w:t>
            </w:r>
          </w:p>
        </w:tc>
        <w:tc>
          <w:tcPr>
            <w:tcW w:w="84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rFonts w:ascii="Times New Roman" w:eastAsia="Times New Roman"/>
                <w:sz w:val="21"/>
              </w:rPr>
              <w:t xml:space="preserve">3 </w:t>
            </w:r>
            <w:r>
              <w:rPr>
                <w:sz w:val="21"/>
              </w:rPr>
              <w:t>类、</w:t>
            </w:r>
            <w:r>
              <w:rPr>
                <w:rFonts w:ascii="Times New Roman" w:eastAsia="Times New Roman"/>
                <w:sz w:val="21"/>
              </w:rPr>
              <w:t xml:space="preserve">4 </w:t>
            </w:r>
            <w:r>
              <w:rPr>
                <w:sz w:val="21"/>
              </w:rPr>
              <w:t>类</w:t>
            </w:r>
          </w:p>
        </w:tc>
        <w:tc>
          <w:tcPr>
            <w:tcW w:w="1511"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w:t>
            </w:r>
            <w:r>
              <w:rPr>
                <w:rFonts w:ascii="Times New Roman" w:eastAsia="Times New Roman"/>
                <w:sz w:val="21"/>
              </w:rPr>
              <w:t>3dB</w:t>
            </w:r>
            <w:r>
              <w:rPr>
                <w:sz w:val="21"/>
              </w:rPr>
              <w:t>（</w:t>
            </w:r>
            <w:r>
              <w:rPr>
                <w:rFonts w:ascii="Times New Roman" w:eastAsia="Times New Roman"/>
                <w:sz w:val="21"/>
              </w:rPr>
              <w:t>A</w:t>
            </w:r>
            <w:r>
              <w:rPr>
                <w:sz w:val="21"/>
              </w:rPr>
              <w:t>）</w:t>
            </w:r>
          </w:p>
        </w:tc>
        <w:tc>
          <w:tcPr>
            <w:tcW w:w="88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不大</w:t>
            </w:r>
          </w:p>
        </w:tc>
        <w:tc>
          <w:tcPr>
            <w:tcW w:w="755" w:type="pct"/>
            <w:vMerge w:val="continue"/>
            <w:tcBorders>
              <w:top w:val="nil"/>
            </w:tcBorders>
            <w:vAlign w:val="center"/>
          </w:tcPr>
          <w:p>
            <w:pPr>
              <w:keepNext w:val="0"/>
              <w:keepLines w:val="0"/>
              <w:pageBreakBefore w:val="0"/>
              <w:kinsoku/>
              <w:wordWrap/>
              <w:overflowPunct/>
              <w:topLinePunct w:val="0"/>
              <w:autoSpaceDE w:val="0"/>
              <w:autoSpaceDN w:val="0"/>
              <w:bidi w:val="0"/>
              <w:adjustRightInd w:val="0"/>
              <w:snapToGrid w:val="0"/>
              <w:jc w:val="center"/>
              <w:textAlignment w:val="auto"/>
              <w:outlineLvl w:val="9"/>
              <w:rPr>
                <w:sz w:val="2"/>
                <w:szCs w:val="2"/>
              </w:rPr>
            </w:pPr>
          </w:p>
        </w:tc>
      </w:tr>
    </w:tbl>
    <w:p>
      <w:pPr>
        <w:keepNext w:val="0"/>
        <w:keepLines w:val="0"/>
        <w:pageBreakBefore w:val="0"/>
        <w:tabs>
          <w:tab w:val="left" w:pos="1519"/>
        </w:tabs>
        <w:kinsoku/>
        <w:wordWrap/>
        <w:overflowPunct/>
        <w:topLinePunct w:val="0"/>
        <w:autoSpaceDE w:val="0"/>
        <w:autoSpaceDN w:val="0"/>
        <w:bidi w:val="0"/>
        <w:adjustRightInd w:val="0"/>
        <w:snapToGrid w:val="0"/>
        <w:spacing w:before="157" w:after="4"/>
        <w:ind w:right="28"/>
        <w:jc w:val="center"/>
        <w:textAlignment w:val="auto"/>
        <w:outlineLvl w:val="9"/>
        <w:rPr>
          <w:b/>
          <w:sz w:val="24"/>
        </w:rPr>
      </w:pPr>
      <w:r>
        <w:rPr>
          <w:b/>
          <w:sz w:val="24"/>
        </w:rPr>
        <w:t>表</w:t>
      </w:r>
      <w:r>
        <w:rPr>
          <w:b/>
          <w:spacing w:val="-62"/>
          <w:sz w:val="24"/>
        </w:rPr>
        <w:t xml:space="preserve"> </w:t>
      </w:r>
      <w:r>
        <w:rPr>
          <w:rFonts w:ascii="Times New Roman" w:eastAsia="Times New Roman"/>
          <w:b/>
          <w:sz w:val="24"/>
        </w:rPr>
        <w:t>2.6-</w:t>
      </w:r>
      <w:r>
        <w:rPr>
          <w:rFonts w:hint="eastAsia" w:ascii="Times New Roman"/>
          <w:b/>
          <w:sz w:val="24"/>
          <w:lang w:val="en-US"/>
        </w:rPr>
        <w:t>10</w:t>
      </w:r>
      <w:r>
        <w:rPr>
          <w:rFonts w:ascii="Times New Roman" w:eastAsia="Times New Roman"/>
          <w:b/>
          <w:sz w:val="24"/>
        </w:rPr>
        <w:tab/>
      </w:r>
      <w:r>
        <w:rPr>
          <w:b/>
          <w:sz w:val="24"/>
        </w:rPr>
        <w:t>项目声环境影响评价等级表</w:t>
      </w:r>
    </w:p>
    <w:tbl>
      <w:tblPr>
        <w:tblStyle w:val="31"/>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59"/>
        <w:gridCol w:w="2727"/>
        <w:gridCol w:w="3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059" w:type="pct"/>
            <w:gridSpan w:val="2"/>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环境要素</w:t>
            </w:r>
          </w:p>
        </w:tc>
        <w:tc>
          <w:tcPr>
            <w:tcW w:w="19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19"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声环境</w:t>
            </w:r>
          </w:p>
        </w:tc>
        <w:tc>
          <w:tcPr>
            <w:tcW w:w="163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功能区</w:t>
            </w:r>
          </w:p>
        </w:tc>
        <w:tc>
          <w:tcPr>
            <w:tcW w:w="19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rFonts w:hint="eastAsia" w:eastAsia="宋体"/>
                <w:sz w:val="21"/>
                <w:lang w:val="en-US" w:eastAsia="zh-CN"/>
              </w:rPr>
              <w:t>3</w:t>
            </w:r>
            <w:r>
              <w:rPr>
                <w:sz w:val="21"/>
              </w:rPr>
              <w:t>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19"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sz w:val="2"/>
                <w:szCs w:val="2"/>
              </w:rPr>
            </w:pPr>
          </w:p>
        </w:tc>
        <w:tc>
          <w:tcPr>
            <w:tcW w:w="163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影响人口</w:t>
            </w:r>
          </w:p>
        </w:tc>
        <w:tc>
          <w:tcPr>
            <w:tcW w:w="19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rFonts w:hint="eastAsia" w:eastAsia="宋体"/>
                <w:sz w:val="21"/>
                <w:lang w:eastAsia="zh-CN"/>
              </w:rPr>
            </w:pPr>
            <w:r>
              <w:rPr>
                <w:rFonts w:hint="eastAsia"/>
                <w:sz w:val="21"/>
                <w:lang w:eastAsia="zh-CN"/>
              </w:rPr>
              <w:t>不大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19"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sz w:val="2"/>
                <w:szCs w:val="2"/>
              </w:rPr>
            </w:pPr>
          </w:p>
        </w:tc>
        <w:tc>
          <w:tcPr>
            <w:tcW w:w="163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预计敏感目标噪声增加值</w:t>
            </w:r>
          </w:p>
        </w:tc>
        <w:tc>
          <w:tcPr>
            <w:tcW w:w="19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w:t>
            </w:r>
            <w:r>
              <w:rPr>
                <w:rFonts w:ascii="Times New Roman" w:eastAsia="Times New Roman"/>
                <w:sz w:val="21"/>
              </w:rPr>
              <w:t>3dB</w:t>
            </w: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19"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outlineLvl w:val="9"/>
              <w:rPr>
                <w:sz w:val="2"/>
                <w:szCs w:val="2"/>
              </w:rPr>
            </w:pPr>
          </w:p>
        </w:tc>
        <w:tc>
          <w:tcPr>
            <w:tcW w:w="163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评价等级</w:t>
            </w:r>
          </w:p>
        </w:tc>
        <w:tc>
          <w:tcPr>
            <w:tcW w:w="194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rFonts w:hint="eastAsia" w:eastAsia="宋体"/>
                <w:sz w:val="21"/>
                <w:lang w:eastAsia="zh-CN"/>
              </w:rPr>
            </w:pPr>
            <w:r>
              <w:rPr>
                <w:rFonts w:hint="eastAsia"/>
                <w:sz w:val="21"/>
                <w:lang w:eastAsia="zh-CN"/>
              </w:rPr>
              <w:t>三级</w:t>
            </w:r>
          </w:p>
        </w:tc>
      </w:tr>
    </w:tbl>
    <w:p>
      <w:pPr>
        <w:pStyle w:val="14"/>
        <w:keepNext w:val="0"/>
        <w:keepLines w:val="0"/>
        <w:pageBreakBefore w:val="0"/>
        <w:kinsoku/>
        <w:wordWrap/>
        <w:overflowPunct/>
        <w:topLinePunct w:val="0"/>
        <w:autoSpaceDE w:val="0"/>
        <w:autoSpaceDN w:val="0"/>
        <w:bidi w:val="0"/>
        <w:adjustRightInd w:val="0"/>
        <w:snapToGrid w:val="0"/>
        <w:spacing w:line="360" w:lineRule="auto"/>
        <w:ind w:left="0" w:firstLine="460" w:firstLineChars="200"/>
        <w:jc w:val="both"/>
        <w:textAlignment w:val="auto"/>
        <w:outlineLvl w:val="9"/>
        <w:rPr>
          <w:color w:val="0000FF"/>
        </w:rPr>
      </w:pPr>
      <w:r>
        <w:rPr>
          <w:color w:val="0000FF"/>
          <w:spacing w:val="-5"/>
        </w:rPr>
        <w:t>根据《环境影响评价技术导则</w:t>
      </w:r>
      <w:r>
        <w:rPr>
          <w:rFonts w:hint="eastAsia"/>
          <w:color w:val="0000FF"/>
          <w:spacing w:val="-5"/>
          <w:lang w:val="en-US" w:eastAsia="zh-CN"/>
        </w:rPr>
        <w:t xml:space="preserve"> </w:t>
      </w:r>
      <w:r>
        <w:rPr>
          <w:color w:val="0000FF"/>
          <w:spacing w:val="-10"/>
        </w:rPr>
        <w:t>声环境》</w:t>
      </w:r>
      <w:r>
        <w:rPr>
          <w:color w:val="0000FF"/>
          <w:spacing w:val="-4"/>
        </w:rPr>
        <w:t>（</w:t>
      </w:r>
      <w:r>
        <w:rPr>
          <w:rFonts w:ascii="Times New Roman" w:hAnsi="Times New Roman" w:eastAsia="Times New Roman"/>
          <w:color w:val="0000FF"/>
          <w:spacing w:val="-4"/>
        </w:rPr>
        <w:t>HJ2.4-2009</w:t>
      </w:r>
      <w:r>
        <w:rPr>
          <w:color w:val="0000FF"/>
          <w:spacing w:val="-4"/>
        </w:rPr>
        <w:t>），</w:t>
      </w:r>
      <w:r>
        <w:rPr>
          <w:rFonts w:hint="eastAsia" w:ascii="宋体" w:hAnsi="宋体" w:cs="宋体"/>
          <w:color w:val="0000FF"/>
          <w:kern w:val="0"/>
          <w:sz w:val="24"/>
          <w:szCs w:val="24"/>
          <w:lang w:val="en-US" w:eastAsia="zh-CN" w:bidi="ar"/>
        </w:rPr>
        <w:t>本项目噪声评价等级为</w:t>
      </w:r>
      <w:r>
        <w:rPr>
          <w:rFonts w:hint="eastAsia" w:ascii="宋体" w:hAnsi="宋体" w:eastAsia="宋体" w:cs="宋体"/>
          <w:color w:val="0000FF"/>
          <w:kern w:val="0"/>
          <w:sz w:val="24"/>
          <w:szCs w:val="24"/>
          <w:lang w:val="en-US" w:eastAsia="zh-CN" w:bidi="ar"/>
        </w:rPr>
        <w:t>三级。</w:t>
      </w:r>
    </w:p>
    <w:p>
      <w:pPr>
        <w:pStyle w:val="41"/>
        <w:keepNext w:val="0"/>
        <w:keepLines w:val="0"/>
        <w:pageBreakBefore w:val="0"/>
        <w:numPr>
          <w:ilvl w:val="3"/>
          <w:numId w:val="11"/>
        </w:numPr>
        <w:tabs>
          <w:tab w:val="left" w:pos="1621"/>
        </w:tabs>
        <w:kinsoku/>
        <w:wordWrap/>
        <w:overflowPunct/>
        <w:topLinePunct w:val="0"/>
        <w:autoSpaceDE w:val="0"/>
        <w:autoSpaceDN w:val="0"/>
        <w:bidi w:val="0"/>
        <w:adjustRightInd w:val="0"/>
        <w:snapToGrid w:val="0"/>
        <w:spacing w:before="0" w:line="360" w:lineRule="auto"/>
        <w:ind w:firstLine="480" w:firstLineChars="200"/>
        <w:jc w:val="both"/>
        <w:textAlignment w:val="auto"/>
        <w:outlineLvl w:val="9"/>
        <w:rPr>
          <w:sz w:val="24"/>
        </w:rPr>
      </w:pPr>
      <w:r>
        <w:rPr>
          <w:sz w:val="24"/>
        </w:rPr>
        <w:t>土壤环境评价工作等级</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t>根据《环境影响评价技术导则 土壤环境（试行）》（</w:t>
      </w:r>
      <w:r>
        <w:rPr>
          <w:rFonts w:ascii="Times New Roman" w:hAnsi="Times New Roman" w:eastAsia="Times New Roman"/>
        </w:rPr>
        <w:t>HJ964-2018</w:t>
      </w:r>
      <w:r>
        <w:t>），污染影响型建设项目占地规模分为大型（≥</w:t>
      </w:r>
      <w:r>
        <w:rPr>
          <w:rFonts w:ascii="Times New Roman" w:hAnsi="Times New Roman" w:eastAsia="Times New Roman"/>
        </w:rPr>
        <w:t>50hm</w:t>
      </w:r>
      <w:r>
        <w:rPr>
          <w:rFonts w:ascii="Times New Roman" w:hAnsi="Times New Roman" w:eastAsia="Times New Roman"/>
          <w:position w:val="8"/>
          <w:sz w:val="15"/>
        </w:rPr>
        <w:t>2</w:t>
      </w:r>
      <w:r>
        <w:t>）、中型（</w:t>
      </w:r>
      <w:r>
        <w:rPr>
          <w:rFonts w:ascii="Times New Roman" w:hAnsi="Times New Roman" w:eastAsia="Times New Roman"/>
        </w:rPr>
        <w:t>5</w:t>
      </w:r>
      <w:r>
        <w:t>～</w:t>
      </w:r>
      <w:r>
        <w:rPr>
          <w:rFonts w:ascii="Times New Roman" w:hAnsi="Times New Roman" w:eastAsia="Times New Roman"/>
        </w:rPr>
        <w:t>50hm</w:t>
      </w:r>
      <w:r>
        <w:rPr>
          <w:rFonts w:ascii="Times New Roman" w:hAnsi="Times New Roman" w:eastAsia="Times New Roman"/>
          <w:position w:val="8"/>
          <w:sz w:val="15"/>
        </w:rPr>
        <w:t>2</w:t>
      </w:r>
      <w:r>
        <w:t xml:space="preserve">）、小型（≤ </w:t>
      </w:r>
      <w:r>
        <w:rPr>
          <w:rFonts w:ascii="Times New Roman" w:hAnsi="Times New Roman" w:eastAsia="Times New Roman"/>
        </w:rPr>
        <w:t>5hm</w:t>
      </w:r>
      <w:r>
        <w:rPr>
          <w:rFonts w:ascii="Times New Roman" w:hAnsi="Times New Roman" w:eastAsia="Times New Roman"/>
          <w:position w:val="8"/>
          <w:sz w:val="15"/>
        </w:rPr>
        <w:t>2</w:t>
      </w:r>
      <w:r>
        <w:t>），建设项目占地主要为永久</w:t>
      </w:r>
      <w:r>
        <w:rPr>
          <w:color w:val="000000" w:themeColor="text1"/>
        </w:rPr>
        <w:t>占地。本项目永久性占地面积</w:t>
      </w:r>
      <w:r>
        <w:rPr>
          <w:rFonts w:hint="eastAsia"/>
          <w:color w:val="000000" w:themeColor="text1"/>
          <w:lang w:val="en-US" w:eastAsia="zh-CN"/>
        </w:rPr>
        <w:t>1492</w:t>
      </w:r>
      <w:r>
        <w:rPr>
          <w:rFonts w:ascii="Times New Roman" w:hAnsi="Times New Roman" w:eastAsia="Times New Roman"/>
          <w:color w:val="000000" w:themeColor="text1"/>
        </w:rPr>
        <w:t>m</w:t>
      </w:r>
      <w:r>
        <w:rPr>
          <w:rFonts w:ascii="Times New Roman" w:hAnsi="Times New Roman" w:eastAsia="Times New Roman"/>
          <w:color w:val="000000" w:themeColor="text1"/>
          <w:position w:val="8"/>
          <w:sz w:val="15"/>
        </w:rPr>
        <w:t>2</w:t>
      </w:r>
      <w:r>
        <w:rPr>
          <w:color w:val="000000" w:themeColor="text1"/>
        </w:rPr>
        <w:t>，属于</w:t>
      </w:r>
      <w:r>
        <w:rPr>
          <w:rFonts w:hint="eastAsia"/>
          <w:color w:val="000000" w:themeColor="text1"/>
          <w:lang w:eastAsia="zh-CN"/>
        </w:rPr>
        <w:t>小型</w:t>
      </w:r>
      <w:r>
        <w:rPr>
          <w:color w:val="000000" w:themeColor="text1"/>
        </w:rPr>
        <w:t>建设项目。建设项目</w:t>
      </w:r>
      <w:r>
        <w:t xml:space="preserve">所在地周边的土壤环境敏感程度分为敏感、较敏感、不敏感，其敏感程度分级情况见表 </w:t>
      </w:r>
      <w:r>
        <w:rPr>
          <w:rFonts w:ascii="Times New Roman" w:hAnsi="Times New Roman" w:eastAsia="Times New Roman"/>
        </w:rPr>
        <w:t>2.6-1</w:t>
      </w:r>
      <w:r>
        <w:rPr>
          <w:rFonts w:hint="eastAsia" w:ascii="Times New Roman" w:hAnsi="Times New Roman"/>
          <w:lang w:val="en-US"/>
        </w:rPr>
        <w:t>1</w:t>
      </w:r>
      <w:r>
        <w:t>。</w:t>
      </w:r>
    </w:p>
    <w:p>
      <w:pPr>
        <w:keepNext w:val="0"/>
        <w:keepLines w:val="0"/>
        <w:pageBreakBefore w:val="0"/>
        <w:tabs>
          <w:tab w:val="left" w:pos="4072"/>
        </w:tabs>
        <w:kinsoku/>
        <w:wordWrap/>
        <w:overflowPunct/>
        <w:topLinePunct w:val="0"/>
        <w:autoSpaceDE w:val="0"/>
        <w:autoSpaceDN w:val="0"/>
        <w:bidi w:val="0"/>
        <w:adjustRightInd w:val="0"/>
        <w:snapToGrid w:val="0"/>
        <w:spacing w:before="82" w:after="2"/>
        <w:ind w:left="2433"/>
        <w:jc w:val="left"/>
        <w:textAlignment w:val="auto"/>
        <w:outlineLvl w:val="9"/>
      </w:pPr>
      <w:r>
        <w:t>表</w:t>
      </w:r>
      <w:r>
        <w:rPr>
          <w:spacing w:val="-62"/>
        </w:rPr>
        <w:t xml:space="preserve"> </w:t>
      </w:r>
      <w:r>
        <w:rPr>
          <w:rFonts w:ascii="Times New Roman" w:eastAsia="Times New Roman"/>
        </w:rPr>
        <w:t>2.6-</w:t>
      </w:r>
      <w:r>
        <w:rPr>
          <w:rFonts w:hint="eastAsia" w:ascii="Times New Roman"/>
          <w:lang w:val="en-US"/>
        </w:rPr>
        <w:t>11</w:t>
      </w:r>
      <w:r>
        <w:rPr>
          <w:rFonts w:ascii="Times New Roman" w:eastAsia="Times New Roman"/>
        </w:rPr>
        <w:tab/>
      </w:r>
      <w:r>
        <w:t>污染影响型敏感程度分级表</w:t>
      </w:r>
    </w:p>
    <w:tbl>
      <w:tblPr>
        <w:tblStyle w:val="31"/>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8"/>
        <w:gridCol w:w="6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敏感程度</w:t>
            </w:r>
          </w:p>
        </w:tc>
        <w:tc>
          <w:tcPr>
            <w:tcW w:w="404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判别依据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敏感</w:t>
            </w:r>
          </w:p>
        </w:tc>
        <w:tc>
          <w:tcPr>
            <w:tcW w:w="404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建设项目周边存在耕地、园地、牧草地、饮用水水源地或居民区、学校、医院、疗养院、养老院等土壤环境敏感目标的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较敏感</w:t>
            </w:r>
          </w:p>
        </w:tc>
        <w:tc>
          <w:tcPr>
            <w:tcW w:w="404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建设项目周边存在其他土壤环境敏感目标的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55"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不敏感</w:t>
            </w:r>
          </w:p>
        </w:tc>
        <w:tc>
          <w:tcPr>
            <w:tcW w:w="4044"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其他情况</w:t>
            </w:r>
          </w:p>
        </w:tc>
      </w:tr>
    </w:tbl>
    <w:p>
      <w:pPr>
        <w:pStyle w:val="14"/>
        <w:keepNext w:val="0"/>
        <w:keepLines w:val="0"/>
        <w:pageBreakBefore w:val="0"/>
        <w:kinsoku/>
        <w:wordWrap/>
        <w:overflowPunct/>
        <w:topLinePunct w:val="0"/>
        <w:autoSpaceDE w:val="0"/>
        <w:autoSpaceDN w:val="0"/>
        <w:bidi w:val="0"/>
        <w:adjustRightInd w:val="0"/>
        <w:snapToGrid w:val="0"/>
        <w:spacing w:line="360" w:lineRule="auto"/>
        <w:ind w:left="0" w:firstLine="448" w:firstLineChars="200"/>
        <w:jc w:val="both"/>
        <w:textAlignment w:val="auto"/>
        <w:outlineLvl w:val="9"/>
      </w:pPr>
      <w:r>
        <w:rPr>
          <w:spacing w:val="-8"/>
        </w:rPr>
        <w:t>建设项目区为</w:t>
      </w:r>
      <w:r>
        <w:rPr>
          <w:rFonts w:hint="eastAsia"/>
          <w:spacing w:val="-8"/>
          <w:lang w:eastAsia="zh-CN"/>
        </w:rPr>
        <w:t>工业用地</w:t>
      </w:r>
      <w:r>
        <w:rPr>
          <w:spacing w:val="-8"/>
        </w:rPr>
        <w:t>，</w:t>
      </w:r>
      <w:r>
        <w:rPr>
          <w:rFonts w:hint="eastAsia"/>
          <w:spacing w:val="-8"/>
          <w:lang w:eastAsia="zh-CN"/>
        </w:rPr>
        <w:t>但厂区周边</w:t>
      </w:r>
      <w:r>
        <w:rPr>
          <w:rFonts w:hint="eastAsia"/>
          <w:spacing w:val="-8"/>
          <w:lang w:val="en-US" w:eastAsia="zh-CN"/>
        </w:rPr>
        <w:t>300m存在居民区，</w:t>
      </w:r>
      <w:r>
        <w:rPr>
          <w:spacing w:val="-7"/>
        </w:rPr>
        <w:t xml:space="preserve">根据表 </w:t>
      </w:r>
      <w:r>
        <w:rPr>
          <w:rFonts w:ascii="Times New Roman" w:eastAsia="Times New Roman"/>
        </w:rPr>
        <w:t>2.6-1</w:t>
      </w:r>
      <w:r>
        <w:rPr>
          <w:rFonts w:hint="eastAsia" w:ascii="Times New Roman"/>
          <w:lang w:val="en-US" w:eastAsia="zh-CN"/>
        </w:rPr>
        <w:t>1</w:t>
      </w:r>
      <w:r>
        <w:t>，本项目土壤环境敏感程度为敏感。</w:t>
      </w:r>
    </w:p>
    <w:p>
      <w:pPr>
        <w:keepNext w:val="0"/>
        <w:keepLines w:val="0"/>
        <w:pageBreakBefore w:val="0"/>
        <w:widowControl/>
        <w:suppressLineNumbers w:val="0"/>
        <w:kinsoku/>
        <w:wordWrap/>
        <w:overflowPunct/>
        <w:topLinePunct w:val="0"/>
        <w:autoSpaceDE w:val="0"/>
        <w:autoSpaceDN w:val="0"/>
        <w:bidi w:val="0"/>
        <w:adjustRightInd w:val="0"/>
        <w:snapToGrid w:val="0"/>
        <w:jc w:val="left"/>
        <w:textAlignment w:val="auto"/>
        <w:outlineLvl w:val="9"/>
      </w:pPr>
      <w:r>
        <w:rPr>
          <w:spacing w:val="-10"/>
        </w:rPr>
        <w:t>根据《环境影响评价技</w:t>
      </w:r>
      <w:r>
        <w:rPr>
          <w:rFonts w:ascii="Times New Roman" w:hAnsi="Times New Roman" w:cs="Times New Roman"/>
          <w:spacing w:val="-10"/>
        </w:rPr>
        <w:t>术导则 土壤环境</w:t>
      </w:r>
      <w:r>
        <w:rPr>
          <w:rFonts w:ascii="Times New Roman" w:hAnsi="Times New Roman" w:cs="Times New Roman"/>
        </w:rPr>
        <w:t>（试行</w:t>
      </w:r>
      <w:r>
        <w:rPr>
          <w:rFonts w:ascii="Times New Roman" w:hAnsi="Times New Roman" w:cs="Times New Roman"/>
          <w:spacing w:val="-53"/>
        </w:rPr>
        <w:t>）</w:t>
      </w:r>
      <w:r>
        <w:rPr>
          <w:rFonts w:ascii="Times New Roman" w:hAnsi="Times New Roman" w:cs="Times New Roman"/>
          <w:spacing w:val="-104"/>
        </w:rPr>
        <w:t>》</w:t>
      </w:r>
      <w:r>
        <w:rPr>
          <w:rFonts w:ascii="Times New Roman" w:hAnsi="Times New Roman" w:cs="Times New Roman"/>
        </w:rPr>
        <w:t>（</w:t>
      </w:r>
      <w:r>
        <w:rPr>
          <w:rFonts w:ascii="Times New Roman" w:hAnsi="Times New Roman" w:eastAsia="Times New Roman" w:cs="Times New Roman"/>
          <w:spacing w:val="-1"/>
        </w:rPr>
        <w:t>H</w:t>
      </w:r>
      <w:r>
        <w:rPr>
          <w:rFonts w:ascii="Times New Roman" w:hAnsi="Times New Roman" w:eastAsia="Times New Roman" w:cs="Times New Roman"/>
          <w:spacing w:val="2"/>
        </w:rPr>
        <w:t>J</w:t>
      </w:r>
      <w:r>
        <w:rPr>
          <w:rFonts w:ascii="Times New Roman" w:hAnsi="Times New Roman" w:eastAsia="Times New Roman" w:cs="Times New Roman"/>
        </w:rPr>
        <w:t>964</w:t>
      </w:r>
      <w:r>
        <w:rPr>
          <w:rFonts w:ascii="Times New Roman" w:hAnsi="Times New Roman" w:eastAsia="Times New Roman" w:cs="Times New Roman"/>
          <w:spacing w:val="-1"/>
        </w:rPr>
        <w:t>-</w:t>
      </w:r>
      <w:r>
        <w:rPr>
          <w:rFonts w:ascii="Times New Roman" w:hAnsi="Times New Roman" w:eastAsia="Times New Roman" w:cs="Times New Roman"/>
        </w:rPr>
        <w:t>201</w:t>
      </w:r>
      <w:r>
        <w:rPr>
          <w:rFonts w:ascii="Times New Roman" w:hAnsi="Times New Roman" w:eastAsia="Times New Roman" w:cs="Times New Roman"/>
          <w:spacing w:val="-3"/>
        </w:rPr>
        <w:t>8</w:t>
      </w:r>
      <w:r>
        <w:rPr>
          <w:rFonts w:ascii="Times New Roman" w:hAnsi="Times New Roman" w:cs="Times New Roman"/>
          <w:spacing w:val="-53"/>
        </w:rPr>
        <w:t>）</w:t>
      </w:r>
      <w:r>
        <w:rPr>
          <w:rFonts w:ascii="Times New Roman" w:hAnsi="Times New Roman" w:cs="Times New Roman"/>
          <w:spacing w:val="-20"/>
        </w:rPr>
        <w:t xml:space="preserve">附录 </w:t>
      </w:r>
      <w:r>
        <w:rPr>
          <w:rFonts w:ascii="Times New Roman" w:hAnsi="Times New Roman" w:eastAsia="Times New Roman" w:cs="Times New Roman"/>
          <w:spacing w:val="-1"/>
        </w:rPr>
        <w:t>A</w:t>
      </w:r>
      <w:r>
        <w:rPr>
          <w:rFonts w:ascii="Times New Roman" w:hAnsi="Times New Roman" w:cs="Times New Roman"/>
          <w:spacing w:val="-120"/>
        </w:rPr>
        <w:t>·</w:t>
      </w:r>
      <w:r>
        <w:rPr>
          <w:rFonts w:ascii="Times New Roman" w:hAnsi="Times New Roman" w:cs="Times New Roman"/>
        </w:rPr>
        <w:t>表</w:t>
      </w:r>
      <w:r>
        <w:rPr>
          <w:rFonts w:ascii="Times New Roman" w:hAnsi="Times New Roman" w:eastAsia="Times New Roman" w:cs="Times New Roman"/>
        </w:rPr>
        <w:t xml:space="preserve">A.1 </w:t>
      </w:r>
      <w:r>
        <w:rPr>
          <w:rFonts w:ascii="Times New Roman" w:hAnsi="Times New Roman" w:cs="Times New Roman"/>
        </w:rPr>
        <w:t>土壤环境影响评价项目类别，本项目</w:t>
      </w:r>
      <w:r>
        <w:rPr>
          <w:rFonts w:hint="eastAsia" w:ascii="宋体" w:hAnsi="宋体" w:eastAsia="宋体" w:cs="宋体"/>
          <w:color w:val="000000"/>
          <w:kern w:val="0"/>
          <w:sz w:val="24"/>
          <w:szCs w:val="24"/>
          <w:lang w:val="en-US" w:eastAsia="zh-CN" w:bidi="ar"/>
        </w:rPr>
        <w:t>属于</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燃煤锅炉总容量 </w:t>
      </w:r>
      <w:r>
        <w:rPr>
          <w:rFonts w:hint="default" w:ascii="Times New Roman" w:hAnsi="Times New Roman" w:eastAsia="宋体" w:cs="Times New Roman"/>
          <w:color w:val="000000"/>
          <w:kern w:val="0"/>
          <w:sz w:val="24"/>
          <w:szCs w:val="24"/>
          <w:lang w:val="en-US" w:eastAsia="zh-CN" w:bidi="ar"/>
        </w:rPr>
        <w:t>65t/h</w:t>
      </w:r>
      <w:r>
        <w:rPr>
          <w:rFonts w:hint="eastAsia" w:ascii="宋体" w:hAnsi="宋体" w:eastAsia="宋体" w:cs="宋体"/>
          <w:color w:val="000000"/>
          <w:kern w:val="0"/>
          <w:sz w:val="24"/>
          <w:szCs w:val="24"/>
          <w:lang w:val="en-US" w:eastAsia="zh-CN" w:bidi="ar"/>
        </w:rPr>
        <w:t>（不含）以上的热力生产工厂</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Ⅲ</w:t>
      </w:r>
      <w:r>
        <w:rPr>
          <w:rFonts w:hint="eastAsia" w:ascii="宋体" w:hAnsi="宋体" w:eastAsia="宋体" w:cs="宋体"/>
          <w:color w:val="000000"/>
          <w:kern w:val="0"/>
          <w:sz w:val="24"/>
          <w:szCs w:val="24"/>
          <w:lang w:val="en-US" w:eastAsia="zh-CN" w:bidi="ar"/>
        </w:rPr>
        <w:t>类项目。</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52" w:firstLineChars="200"/>
        <w:jc w:val="both"/>
        <w:textAlignment w:val="auto"/>
        <w:outlineLvl w:val="9"/>
      </w:pPr>
      <w:r>
        <w:rPr>
          <w:spacing w:val="-7"/>
        </w:rPr>
        <w:t>污染影响型建设根据项目类别、占地规模与敏感程度划分评价工作等级，详</w:t>
      </w:r>
      <w:r>
        <w:rPr>
          <w:spacing w:val="-20"/>
        </w:rPr>
        <w:t xml:space="preserve">见表 </w:t>
      </w:r>
      <w:r>
        <w:rPr>
          <w:rFonts w:ascii="Times New Roman" w:eastAsia="Times New Roman"/>
        </w:rPr>
        <w:t>2.6-1</w:t>
      </w:r>
      <w:r>
        <w:rPr>
          <w:rFonts w:hint="eastAsia" w:ascii="Times New Roman"/>
          <w:lang w:val="en-US"/>
        </w:rPr>
        <w:t>2</w:t>
      </w:r>
      <w:r>
        <w:t>。</w:t>
      </w:r>
    </w:p>
    <w:p>
      <w:pPr>
        <w:keepNext w:val="0"/>
        <w:keepLines w:val="0"/>
        <w:pageBreakBefore w:val="0"/>
        <w:tabs>
          <w:tab w:val="left" w:pos="3827"/>
        </w:tabs>
        <w:kinsoku/>
        <w:wordWrap/>
        <w:overflowPunct/>
        <w:topLinePunct w:val="0"/>
        <w:autoSpaceDE w:val="0"/>
        <w:autoSpaceDN w:val="0"/>
        <w:bidi w:val="0"/>
        <w:adjustRightInd w:val="0"/>
        <w:snapToGrid w:val="0"/>
        <w:spacing w:before="81"/>
        <w:ind w:left="2200"/>
        <w:jc w:val="left"/>
        <w:textAlignment w:val="auto"/>
        <w:outlineLvl w:val="9"/>
      </w:pPr>
      <w:r>
        <w:t>表</w:t>
      </w:r>
      <w:r>
        <w:rPr>
          <w:spacing w:val="-60"/>
        </w:rPr>
        <w:t xml:space="preserve"> </w:t>
      </w:r>
      <w:r>
        <w:rPr>
          <w:rFonts w:ascii="Times New Roman" w:eastAsia="Times New Roman"/>
          <w:spacing w:val="-3"/>
        </w:rPr>
        <w:t>2.6-1</w:t>
      </w:r>
      <w:r>
        <w:rPr>
          <w:rFonts w:hint="eastAsia" w:ascii="Times New Roman"/>
          <w:spacing w:val="-3"/>
          <w:lang w:val="en-US"/>
        </w:rPr>
        <w:t>2</w:t>
      </w:r>
      <w:r>
        <w:rPr>
          <w:rFonts w:ascii="Times New Roman" w:eastAsia="Times New Roman"/>
          <w:spacing w:val="-3"/>
        </w:rPr>
        <w:tab/>
      </w:r>
      <w:r>
        <w:t>污染影响型评价工作等级划分表</w:t>
      </w:r>
    </w:p>
    <w:tbl>
      <w:tblPr>
        <w:tblStyle w:val="31"/>
        <w:tblW w:w="503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593"/>
        <w:gridCol w:w="736"/>
        <w:gridCol w:w="796"/>
        <w:gridCol w:w="702"/>
        <w:gridCol w:w="843"/>
        <w:gridCol w:w="794"/>
        <w:gridCol w:w="684"/>
        <w:gridCol w:w="736"/>
        <w:gridCol w:w="736"/>
        <w:gridCol w:w="7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jc w:val="center"/>
        </w:trPr>
        <w:tc>
          <w:tcPr>
            <w:tcW w:w="951" w:type="pct"/>
            <w:vMerge w:val="restar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占地规模</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评价工作等级</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敏感程度</w:t>
            </w:r>
          </w:p>
        </w:tc>
        <w:tc>
          <w:tcPr>
            <w:tcW w:w="1333" w:type="pct"/>
            <w:gridSpan w:val="3"/>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Ⅰ类项目</w:t>
            </w:r>
          </w:p>
        </w:tc>
        <w:tc>
          <w:tcPr>
            <w:tcW w:w="1385" w:type="pct"/>
            <w:gridSpan w:val="3"/>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Ⅱ类项目</w:t>
            </w:r>
          </w:p>
        </w:tc>
        <w:tc>
          <w:tcPr>
            <w:tcW w:w="1330" w:type="pct"/>
            <w:gridSpan w:val="3"/>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Ⅲ类项目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jc w:val="center"/>
        </w:trPr>
        <w:tc>
          <w:tcPr>
            <w:tcW w:w="951"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p>
        </w:tc>
        <w:tc>
          <w:tcPr>
            <w:tcW w:w="439"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大</w:t>
            </w:r>
          </w:p>
        </w:tc>
        <w:tc>
          <w:tcPr>
            <w:tcW w:w="475"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中</w:t>
            </w:r>
          </w:p>
        </w:tc>
        <w:tc>
          <w:tcPr>
            <w:tcW w:w="417"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小</w:t>
            </w:r>
          </w:p>
        </w:tc>
        <w:tc>
          <w:tcPr>
            <w:tcW w:w="503"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大</w:t>
            </w:r>
          </w:p>
        </w:tc>
        <w:tc>
          <w:tcPr>
            <w:tcW w:w="474"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中</w:t>
            </w:r>
          </w:p>
        </w:tc>
        <w:tc>
          <w:tcPr>
            <w:tcW w:w="408"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小</w:t>
            </w:r>
          </w:p>
        </w:tc>
        <w:tc>
          <w:tcPr>
            <w:tcW w:w="439"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大</w:t>
            </w:r>
          </w:p>
        </w:tc>
        <w:tc>
          <w:tcPr>
            <w:tcW w:w="439"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中</w:t>
            </w:r>
          </w:p>
        </w:tc>
        <w:tc>
          <w:tcPr>
            <w:tcW w:w="450"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b/>
                <w:bCs/>
                <w:color w:val="000000"/>
                <w:sz w:val="18"/>
                <w:szCs w:val="18"/>
              </w:rPr>
            </w:pPr>
            <w:r>
              <w:rPr>
                <w:rFonts w:ascii="Times New Roman" w:hAnsi="Times New Roman" w:cs="Times New Roman"/>
                <w:b/>
                <w:bCs/>
                <w:color w:val="000000"/>
                <w:sz w:val="18"/>
                <w:szCs w:val="18"/>
              </w:rPr>
              <w:t>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jc w:val="center"/>
        </w:trPr>
        <w:tc>
          <w:tcPr>
            <w:tcW w:w="951"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敏感</w:t>
            </w:r>
          </w:p>
        </w:tc>
        <w:tc>
          <w:tcPr>
            <w:tcW w:w="439"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一级</w:t>
            </w:r>
          </w:p>
        </w:tc>
        <w:tc>
          <w:tcPr>
            <w:tcW w:w="475"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一级</w:t>
            </w:r>
          </w:p>
        </w:tc>
        <w:tc>
          <w:tcPr>
            <w:tcW w:w="417"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一级</w:t>
            </w:r>
          </w:p>
        </w:tc>
        <w:tc>
          <w:tcPr>
            <w:tcW w:w="503"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474" w:type="pct"/>
            <w:tcBorders>
              <w:tl2br w:val="nil"/>
              <w:tr2bl w:val="nil"/>
            </w:tcBorders>
            <w:shd w:val="clear" w:color="auto" w:fill="FFFFFF"/>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408"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439"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c>
          <w:tcPr>
            <w:tcW w:w="439"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c>
          <w:tcPr>
            <w:tcW w:w="450"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951"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较敏感</w:t>
            </w:r>
          </w:p>
        </w:tc>
        <w:tc>
          <w:tcPr>
            <w:tcW w:w="439"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一级</w:t>
            </w:r>
          </w:p>
        </w:tc>
        <w:tc>
          <w:tcPr>
            <w:tcW w:w="475"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一级</w:t>
            </w:r>
          </w:p>
        </w:tc>
        <w:tc>
          <w:tcPr>
            <w:tcW w:w="417"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503"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474"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408"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c>
          <w:tcPr>
            <w:tcW w:w="439"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c>
          <w:tcPr>
            <w:tcW w:w="439"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c>
          <w:tcPr>
            <w:tcW w:w="450"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atLeast"/>
          <w:jc w:val="center"/>
        </w:trPr>
        <w:tc>
          <w:tcPr>
            <w:tcW w:w="951"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不敏感</w:t>
            </w:r>
          </w:p>
        </w:tc>
        <w:tc>
          <w:tcPr>
            <w:tcW w:w="439"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一级</w:t>
            </w:r>
          </w:p>
        </w:tc>
        <w:tc>
          <w:tcPr>
            <w:tcW w:w="475"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417"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503"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二级</w:t>
            </w:r>
          </w:p>
        </w:tc>
        <w:tc>
          <w:tcPr>
            <w:tcW w:w="474"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c>
          <w:tcPr>
            <w:tcW w:w="408"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c>
          <w:tcPr>
            <w:tcW w:w="439"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三级</w:t>
            </w:r>
          </w:p>
        </w:tc>
        <w:tc>
          <w:tcPr>
            <w:tcW w:w="439" w:type="pct"/>
            <w:tcBorders>
              <w:tl2br w:val="nil"/>
              <w:tr2bl w:val="nil"/>
            </w:tcBorders>
            <w:shd w:val="clear" w:color="auto" w:fill="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50" w:type="pct"/>
            <w:tcBorders>
              <w:tl2br w:val="nil"/>
              <w:tr2bl w:val="nil"/>
            </w:tcBorders>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cs="Times New Roman"/>
                <w:color w:val="000000"/>
                <w:sz w:val="18"/>
                <w:szCs w:val="18"/>
              </w:rPr>
            </w:pPr>
            <w:r>
              <w:rPr>
                <w:rFonts w:ascii="Times New Roman" w:hAnsi="Times New Roman" w:cs="Times New Roman"/>
                <w:color w:val="000000"/>
                <w:sz w:val="18"/>
                <w:szCs w:val="18"/>
              </w:rPr>
              <w:t>--</w:t>
            </w:r>
          </w:p>
        </w:tc>
      </w:tr>
    </w:tbl>
    <w:p>
      <w:pPr>
        <w:pStyle w:val="14"/>
        <w:keepNext w:val="0"/>
        <w:keepLines w:val="0"/>
        <w:pageBreakBefore w:val="0"/>
        <w:kinsoku/>
        <w:wordWrap/>
        <w:overflowPunct/>
        <w:topLinePunct w:val="0"/>
        <w:autoSpaceDE w:val="0"/>
        <w:autoSpaceDN w:val="0"/>
        <w:bidi w:val="0"/>
        <w:adjustRightInd w:val="0"/>
        <w:snapToGrid w:val="0"/>
        <w:spacing w:line="360" w:lineRule="auto"/>
        <w:ind w:left="0" w:firstLine="456" w:firstLineChars="200"/>
        <w:jc w:val="both"/>
        <w:textAlignment w:val="auto"/>
        <w:outlineLvl w:val="9"/>
      </w:pPr>
      <w:r>
        <w:rPr>
          <w:spacing w:val="-6"/>
        </w:rPr>
        <w:t>根据《环境影响评价技术导则</w:t>
      </w:r>
      <w:r>
        <w:rPr>
          <w:spacing w:val="-27"/>
        </w:rPr>
        <w:t>·</w:t>
      </w:r>
      <w:r>
        <w:rPr>
          <w:spacing w:val="-8"/>
        </w:rPr>
        <w:t>土壤环境</w:t>
      </w:r>
      <w:r>
        <w:t>（试行</w:t>
      </w:r>
      <w:r>
        <w:rPr>
          <w:spacing w:val="-27"/>
        </w:rPr>
        <w:t>）</w:t>
      </w:r>
      <w:r>
        <w:rPr>
          <w:spacing w:val="-56"/>
        </w:rPr>
        <w:t>》</w:t>
      </w:r>
      <w:r>
        <w:rPr>
          <w:spacing w:val="-3"/>
        </w:rPr>
        <w:t>（</w:t>
      </w:r>
      <w:r>
        <w:rPr>
          <w:rFonts w:ascii="Times New Roman" w:hAnsi="Times New Roman" w:eastAsia="Times New Roman"/>
          <w:spacing w:val="-3"/>
        </w:rPr>
        <w:t>HJ964-2018</w:t>
      </w:r>
      <w:r>
        <w:rPr>
          <w:spacing w:val="-3"/>
        </w:rPr>
        <w:t>）</w:t>
      </w:r>
      <w:r>
        <w:rPr>
          <w:spacing w:val="-19"/>
        </w:rPr>
        <w:t xml:space="preserve">附录 </w:t>
      </w:r>
      <w:r>
        <w:rPr>
          <w:rFonts w:ascii="Times New Roman" w:hAnsi="Times New Roman" w:eastAsia="Times New Roman"/>
          <w:spacing w:val="-6"/>
        </w:rPr>
        <w:t>A</w:t>
      </w:r>
      <w:r>
        <w:rPr>
          <w:spacing w:val="-6"/>
        </w:rPr>
        <w:t>，</w:t>
      </w:r>
      <w:r>
        <w:rPr>
          <w:spacing w:val="-5"/>
        </w:rPr>
        <w:t xml:space="preserve">本项目属于Ⅲ类项目，由表 </w:t>
      </w:r>
      <w:r>
        <w:rPr>
          <w:rFonts w:ascii="Times New Roman" w:hAnsi="Times New Roman" w:eastAsia="Times New Roman"/>
        </w:rPr>
        <w:t xml:space="preserve">2.6-11 </w:t>
      </w:r>
      <w:r>
        <w:t>可判定本次土壤环境影响评价等级为三级。</w:t>
      </w:r>
    </w:p>
    <w:p>
      <w:pPr>
        <w:pStyle w:val="41"/>
        <w:keepNext w:val="0"/>
        <w:keepLines w:val="0"/>
        <w:pageBreakBefore w:val="0"/>
        <w:numPr>
          <w:ilvl w:val="3"/>
          <w:numId w:val="11"/>
        </w:numPr>
        <w:tabs>
          <w:tab w:val="left" w:pos="1621"/>
        </w:tabs>
        <w:kinsoku/>
        <w:wordWrap/>
        <w:overflowPunct/>
        <w:topLinePunct w:val="0"/>
        <w:autoSpaceDE w:val="0"/>
        <w:autoSpaceDN w:val="0"/>
        <w:bidi w:val="0"/>
        <w:adjustRightInd w:val="0"/>
        <w:snapToGrid w:val="0"/>
        <w:spacing w:before="0" w:line="360" w:lineRule="auto"/>
        <w:ind w:firstLine="480" w:firstLineChars="200"/>
        <w:jc w:val="both"/>
        <w:textAlignment w:val="auto"/>
        <w:outlineLvl w:val="9"/>
        <w:rPr>
          <w:sz w:val="24"/>
        </w:rPr>
      </w:pPr>
      <w:r>
        <w:rPr>
          <w:sz w:val="24"/>
        </w:rPr>
        <w:t>生态环境影响评价工作等级</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56" w:firstLineChars="200"/>
        <w:jc w:val="both"/>
        <w:textAlignment w:val="auto"/>
        <w:outlineLvl w:val="9"/>
      </w:pPr>
      <w:r>
        <w:rPr>
          <w:spacing w:val="-6"/>
        </w:rPr>
        <w:t>依据生态影响评价工作等级划分的原则，本项目属于</w:t>
      </w:r>
      <w:r>
        <w:rPr>
          <w:rFonts w:hint="eastAsia"/>
          <w:spacing w:val="-6"/>
          <w:lang w:eastAsia="zh-CN"/>
        </w:rPr>
        <w:t>改扩建</w:t>
      </w:r>
      <w:r>
        <w:rPr>
          <w:spacing w:val="-6"/>
        </w:rPr>
        <w:t>项目，占地面积为</w:t>
      </w:r>
      <w:r>
        <w:rPr>
          <w:rFonts w:hint="eastAsia"/>
          <w:lang w:val="en-US" w:eastAsia="zh-CN"/>
        </w:rPr>
        <w:t>1492</w:t>
      </w:r>
      <w:r>
        <w:rPr>
          <w:rFonts w:ascii="Times New Roman" w:hAnsi="Times New Roman" w:eastAsia="Times New Roman"/>
        </w:rPr>
        <w:t>m</w:t>
      </w:r>
      <w:r>
        <w:rPr>
          <w:rFonts w:ascii="Times New Roman" w:hAnsi="Times New Roman" w:eastAsia="Times New Roman"/>
          <w:position w:val="8"/>
          <w:sz w:val="15"/>
        </w:rPr>
        <w:t>2</w:t>
      </w:r>
      <w:r>
        <w:rPr>
          <w:rFonts w:ascii="Times New Roman" w:hAnsi="Times New Roman" w:eastAsia="Times New Roman"/>
        </w:rPr>
        <w:t>&lt;2km</w:t>
      </w:r>
      <w:r>
        <w:rPr>
          <w:rFonts w:ascii="Times New Roman" w:hAnsi="Times New Roman" w:eastAsia="Times New Roman"/>
          <w:position w:val="8"/>
          <w:sz w:val="15"/>
        </w:rPr>
        <w:t>2</w:t>
      </w:r>
      <w:r>
        <w:t>，项目区不涉及特殊及重要生态敏感区，占</w:t>
      </w:r>
      <w:r>
        <w:rPr>
          <w:spacing w:val="-7"/>
        </w:rPr>
        <w:t>地类型为</w:t>
      </w:r>
      <w:r>
        <w:rPr>
          <w:rFonts w:hint="eastAsia"/>
          <w:spacing w:val="-7"/>
          <w:lang w:eastAsia="zh-CN"/>
        </w:rPr>
        <w:t>工业用地</w:t>
      </w:r>
      <w:r>
        <w:rPr>
          <w:spacing w:val="-7"/>
        </w:rPr>
        <w:t>，区域生态敏感性属于“一般区域”，根据《环境影响评价技术导则</w:t>
      </w:r>
      <w:r>
        <w:rPr>
          <w:rFonts w:ascii="Times New Roman" w:hAnsi="Times New Roman" w:eastAsia="Times New Roman"/>
          <w:spacing w:val="-7"/>
        </w:rPr>
        <w:t>·</w:t>
      </w:r>
      <w:r>
        <w:rPr>
          <w:spacing w:val="-8"/>
        </w:rPr>
        <w:t>生态影响》</w:t>
      </w:r>
      <w:r>
        <w:rPr>
          <w:spacing w:val="-3"/>
        </w:rPr>
        <w:t>（</w:t>
      </w:r>
      <w:r>
        <w:rPr>
          <w:rFonts w:ascii="Times New Roman" w:hAnsi="Times New Roman" w:eastAsia="Times New Roman"/>
          <w:spacing w:val="-3"/>
        </w:rPr>
        <w:t>HJ19-2011</w:t>
      </w:r>
      <w:r>
        <w:rPr>
          <w:spacing w:val="-3"/>
        </w:rPr>
        <w:t>），</w:t>
      </w:r>
      <w:r>
        <w:rPr>
          <w:spacing w:val="-2"/>
        </w:rPr>
        <w:t>并结合项目特点，本次生态影响评价工作等</w:t>
      </w:r>
      <w:r>
        <w:rPr>
          <w:spacing w:val="-5"/>
        </w:rPr>
        <w:t xml:space="preserve">级为三级，具体判断依据见表 </w:t>
      </w:r>
      <w:r>
        <w:rPr>
          <w:rFonts w:ascii="Times New Roman" w:hAnsi="Times New Roman" w:eastAsia="Times New Roman"/>
        </w:rPr>
        <w:t>2.6-1</w:t>
      </w:r>
      <w:r>
        <w:rPr>
          <w:rFonts w:hint="eastAsia" w:ascii="Times New Roman" w:hAnsi="Times New Roman"/>
          <w:lang w:val="en-US"/>
        </w:rPr>
        <w:t>3</w:t>
      </w:r>
      <w:r>
        <w:rPr>
          <w:rFonts w:ascii="Times New Roman" w:hAnsi="Times New Roman" w:eastAsia="Times New Roman"/>
        </w:rPr>
        <w:t xml:space="preserve"> </w:t>
      </w:r>
      <w:r>
        <w:t>所示。</w:t>
      </w:r>
    </w:p>
    <w:p>
      <w:pPr>
        <w:keepNext w:val="0"/>
        <w:keepLines w:val="0"/>
        <w:pageBreakBefore w:val="0"/>
        <w:tabs>
          <w:tab w:val="left" w:pos="3952"/>
        </w:tabs>
        <w:kinsoku/>
        <w:wordWrap/>
        <w:overflowPunct/>
        <w:topLinePunct w:val="0"/>
        <w:autoSpaceDE w:val="0"/>
        <w:autoSpaceDN w:val="0"/>
        <w:bidi w:val="0"/>
        <w:adjustRightInd w:val="0"/>
        <w:snapToGrid w:val="0"/>
        <w:spacing w:before="80" w:after="3"/>
        <w:ind w:left="2313"/>
        <w:jc w:val="both"/>
        <w:textAlignment w:val="auto"/>
        <w:outlineLvl w:val="9"/>
      </w:pPr>
      <w:r>
        <w:t>表</w:t>
      </w:r>
      <w:r>
        <w:rPr>
          <w:spacing w:val="-62"/>
        </w:rPr>
        <w:t xml:space="preserve"> </w:t>
      </w:r>
      <w:r>
        <w:rPr>
          <w:rFonts w:ascii="Times New Roman" w:eastAsia="Times New Roman"/>
        </w:rPr>
        <w:t>2.6-1</w:t>
      </w:r>
      <w:r>
        <w:rPr>
          <w:rFonts w:hint="eastAsia" w:ascii="Times New Roman"/>
          <w:lang w:val="en-US"/>
        </w:rPr>
        <w:t>3</w:t>
      </w:r>
      <w:r>
        <w:rPr>
          <w:rFonts w:ascii="Times New Roman" w:eastAsia="Times New Roman"/>
        </w:rPr>
        <w:tab/>
      </w:r>
      <w:r>
        <w:t>生态影响评价工作等级划分表</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63"/>
        <w:gridCol w:w="2034"/>
        <w:gridCol w:w="2960"/>
        <w:gridCol w:w="1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0" w:type="auto"/>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b/>
                <w:sz w:val="21"/>
              </w:rPr>
            </w:pPr>
            <w:r>
              <w:rPr>
                <w:b/>
                <w:sz w:val="21"/>
              </w:rPr>
              <w:t>影响区域生态敏感性</w:t>
            </w:r>
          </w:p>
        </w:tc>
        <w:tc>
          <w:tcPr>
            <w:tcW w:w="0" w:type="auto"/>
            <w:gridSpan w:val="3"/>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b/>
                <w:sz w:val="21"/>
              </w:rPr>
            </w:pPr>
            <w:r>
              <w:rPr>
                <w:b/>
                <w:sz w:val="21"/>
              </w:rPr>
              <w:t>工程占地范围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0" w:type="auto"/>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
                <w:szCs w:val="2"/>
              </w:rPr>
            </w:pP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rFonts w:ascii="Times New Roman" w:hAnsi="Times New Roman" w:eastAsia="Times New Roman"/>
                <w:b/>
                <w:sz w:val="21"/>
              </w:rPr>
            </w:pPr>
            <w:r>
              <w:rPr>
                <w:b/>
                <w:sz w:val="21"/>
              </w:rPr>
              <w:t>面积≥</w:t>
            </w:r>
            <w:r>
              <w:rPr>
                <w:rFonts w:ascii="Times New Roman" w:hAnsi="Times New Roman" w:eastAsia="Times New Roman"/>
                <w:b/>
                <w:sz w:val="21"/>
              </w:rPr>
              <w:t>20km</w:t>
            </w:r>
            <w:r>
              <w:rPr>
                <w:rFonts w:ascii="Times New Roman" w:hAnsi="Times New Roman" w:eastAsia="Times New Roman"/>
                <w:b/>
                <w:position w:val="7"/>
                <w:sz w:val="13"/>
              </w:rPr>
              <w:t xml:space="preserve">2 </w:t>
            </w:r>
            <w:r>
              <w:rPr>
                <w:b/>
                <w:sz w:val="21"/>
              </w:rPr>
              <w:t>或长度≥</w:t>
            </w:r>
            <w:r>
              <w:rPr>
                <w:rFonts w:ascii="Times New Roman" w:hAnsi="Times New Roman" w:eastAsia="Times New Roman"/>
                <w:b/>
                <w:sz w:val="21"/>
              </w:rPr>
              <w:t>100km</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rFonts w:ascii="Times New Roman" w:eastAsia="Times New Roman"/>
                <w:b/>
                <w:sz w:val="21"/>
              </w:rPr>
            </w:pPr>
            <w:r>
              <w:rPr>
                <w:b/>
                <w:sz w:val="21"/>
              </w:rPr>
              <w:t xml:space="preserve">面积 </w:t>
            </w:r>
            <w:r>
              <w:rPr>
                <w:rFonts w:ascii="Times New Roman" w:eastAsia="Times New Roman"/>
                <w:b/>
                <w:sz w:val="21"/>
              </w:rPr>
              <w:t>2km</w:t>
            </w:r>
            <w:r>
              <w:rPr>
                <w:rFonts w:ascii="Times New Roman" w:eastAsia="Times New Roman"/>
                <w:b/>
                <w:position w:val="7"/>
                <w:sz w:val="13"/>
              </w:rPr>
              <w:t>2</w:t>
            </w:r>
            <w:r>
              <w:rPr>
                <w:b/>
                <w:sz w:val="21"/>
              </w:rPr>
              <w:t>～</w:t>
            </w:r>
            <w:r>
              <w:rPr>
                <w:rFonts w:ascii="Times New Roman" w:eastAsia="Times New Roman"/>
                <w:b/>
                <w:sz w:val="21"/>
              </w:rPr>
              <w:t>20km</w:t>
            </w:r>
            <w:r>
              <w:rPr>
                <w:rFonts w:ascii="Times New Roman" w:eastAsia="Times New Roman"/>
                <w:b/>
                <w:position w:val="7"/>
                <w:sz w:val="13"/>
              </w:rPr>
              <w:t xml:space="preserve">2 </w:t>
            </w:r>
            <w:r>
              <w:rPr>
                <w:b/>
                <w:sz w:val="21"/>
              </w:rPr>
              <w:t xml:space="preserve">或长度 </w:t>
            </w:r>
            <w:r>
              <w:rPr>
                <w:rFonts w:ascii="Times New Roman" w:eastAsia="Times New Roman"/>
                <w:b/>
                <w:sz w:val="21"/>
              </w:rPr>
              <w:t>50km</w:t>
            </w:r>
            <w:r>
              <w:rPr>
                <w:b/>
                <w:sz w:val="21"/>
              </w:rPr>
              <w:t>～</w:t>
            </w:r>
            <w:r>
              <w:rPr>
                <w:rFonts w:ascii="Times New Roman" w:eastAsia="Times New Roman"/>
                <w:b/>
                <w:sz w:val="21"/>
              </w:rPr>
              <w:t>100km</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rFonts w:ascii="Times New Roman" w:hAnsi="Times New Roman" w:eastAsia="Times New Roman"/>
                <w:b/>
                <w:sz w:val="21"/>
              </w:rPr>
            </w:pPr>
            <w:r>
              <w:rPr>
                <w:b/>
                <w:sz w:val="21"/>
              </w:rPr>
              <w:t>面积≤</w:t>
            </w:r>
            <w:r>
              <w:rPr>
                <w:rFonts w:ascii="Times New Roman" w:hAnsi="Times New Roman" w:eastAsia="Times New Roman"/>
                <w:b/>
                <w:sz w:val="21"/>
              </w:rPr>
              <w:t>2km</w:t>
            </w:r>
            <w:r>
              <w:rPr>
                <w:rFonts w:ascii="Times New Roman" w:hAnsi="Times New Roman" w:eastAsia="Times New Roman"/>
                <w:b/>
                <w:position w:val="7"/>
                <w:sz w:val="13"/>
              </w:rPr>
              <w:t xml:space="preserve">2 </w:t>
            </w:r>
            <w:r>
              <w:rPr>
                <w:b/>
                <w:sz w:val="21"/>
              </w:rPr>
              <w:t>或长度≤</w:t>
            </w:r>
            <w:r>
              <w:rPr>
                <w:rFonts w:ascii="Times New Roman" w:hAnsi="Times New Roman" w:eastAsia="Times New Roman"/>
                <w:b/>
                <w:sz w:val="21"/>
              </w:rPr>
              <w:t>50km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特殊生态敏感区</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w w:val="95"/>
                <w:sz w:val="21"/>
              </w:rPr>
              <w:t>一级</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一级</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重要生态敏感区</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w w:val="95"/>
                <w:sz w:val="21"/>
              </w:rPr>
              <w:t>一级</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二级</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一般区域</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w w:val="95"/>
                <w:sz w:val="21"/>
              </w:rPr>
              <w:t>二级</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三级</w:t>
            </w:r>
          </w:p>
        </w:tc>
        <w:tc>
          <w:tcPr>
            <w:tcW w:w="0" w:type="auto"/>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textAlignment w:val="auto"/>
              <w:outlineLvl w:val="9"/>
              <w:rPr>
                <w:sz w:val="21"/>
              </w:rPr>
            </w:pPr>
            <w:r>
              <w:rPr>
                <w:sz w:val="21"/>
              </w:rPr>
              <w:t>三级</w:t>
            </w:r>
          </w:p>
        </w:tc>
      </w:tr>
    </w:tbl>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t>（</w:t>
      </w:r>
      <w:r>
        <w:rPr>
          <w:rFonts w:ascii="Times New Roman" w:eastAsia="Times New Roman"/>
        </w:rPr>
        <w:t>6</w:t>
      </w:r>
      <w:r>
        <w:t>）风险评价工作等级</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52" w:firstLineChars="200"/>
        <w:jc w:val="both"/>
        <w:textAlignment w:val="auto"/>
        <w:outlineLvl w:val="9"/>
      </w:pPr>
      <w:r>
        <w:rPr>
          <w:spacing w:val="-7"/>
        </w:rPr>
        <w:t>根据《建设项目环境风险评价技术导则》</w:t>
      </w:r>
      <w:r>
        <w:t>（</w:t>
      </w:r>
      <w:r>
        <w:rPr>
          <w:rFonts w:ascii="Times New Roman" w:eastAsia="Times New Roman"/>
        </w:rPr>
        <w:t>HJ169-2018</w:t>
      </w:r>
      <w:r>
        <w:t>）</w:t>
      </w:r>
      <w:r>
        <w:rPr>
          <w:spacing w:val="-2"/>
        </w:rPr>
        <w:t>中对评价工作等级</w:t>
      </w:r>
      <w:r>
        <w:rPr>
          <w:spacing w:val="-8"/>
        </w:rPr>
        <w:t>确定的规定，环境风险评价工作等级划分为一级、二级、三级，根据建设项目设</w:t>
      </w:r>
      <w:r>
        <w:t>计的物质及工艺系统危险性和所在地的环境敏感性确定环境风险潜势，按照表</w:t>
      </w:r>
      <w:r>
        <w:rPr>
          <w:rFonts w:ascii="Times New Roman" w:eastAsia="Times New Roman"/>
        </w:rPr>
        <w:t>2.6-1</w:t>
      </w:r>
      <w:r>
        <w:rPr>
          <w:rFonts w:hint="eastAsia" w:ascii="Times New Roman"/>
          <w:lang w:val="en-US"/>
        </w:rPr>
        <w:t>4</w:t>
      </w:r>
      <w:r>
        <w:rPr>
          <w:rFonts w:ascii="Times New Roman" w:eastAsia="Times New Roman"/>
        </w:rPr>
        <w:t xml:space="preserve"> </w:t>
      </w:r>
      <w:r>
        <w:t>确定评价工作等级。</w:t>
      </w:r>
    </w:p>
    <w:p>
      <w:pPr>
        <w:keepNext w:val="0"/>
        <w:keepLines w:val="0"/>
        <w:pageBreakBefore w:val="0"/>
        <w:tabs>
          <w:tab w:val="left" w:pos="3923"/>
        </w:tabs>
        <w:kinsoku/>
        <w:wordWrap/>
        <w:overflowPunct/>
        <w:topLinePunct w:val="0"/>
        <w:autoSpaceDE w:val="0"/>
        <w:autoSpaceDN w:val="0"/>
        <w:bidi w:val="0"/>
        <w:adjustRightInd w:val="0"/>
        <w:snapToGrid w:val="0"/>
        <w:spacing w:before="70"/>
        <w:ind w:left="2342"/>
        <w:jc w:val="left"/>
        <w:textAlignment w:val="auto"/>
        <w:outlineLvl w:val="9"/>
      </w:pPr>
      <w:r>
        <w:t>表</w:t>
      </w:r>
      <w:r>
        <w:rPr>
          <w:rFonts w:ascii="Times New Roman" w:eastAsia="Times New Roman"/>
        </w:rPr>
        <w:t>2.6-1</w:t>
      </w:r>
      <w:r>
        <w:rPr>
          <w:rFonts w:hint="eastAsia" w:ascii="Times New Roman"/>
          <w:lang w:val="en-US"/>
        </w:rPr>
        <w:t>4</w:t>
      </w:r>
      <w:r>
        <w:rPr>
          <w:rFonts w:ascii="Times New Roman" w:eastAsia="Times New Roman"/>
        </w:rPr>
        <w:tab/>
      </w:r>
      <w:r>
        <w:t>环境风险评价工作等级划分表</w:t>
      </w:r>
    </w:p>
    <w:tbl>
      <w:tblPr>
        <w:tblStyle w:val="31"/>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14"/>
        <w:gridCol w:w="1673"/>
        <w:gridCol w:w="1673"/>
        <w:gridCol w:w="1673"/>
        <w:gridCol w:w="1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1"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sz w:val="21"/>
              </w:rPr>
              <w:t>环境风险潜势</w:t>
            </w:r>
          </w:p>
        </w:tc>
        <w:tc>
          <w:tcPr>
            <w:tcW w:w="100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rFonts w:ascii="Times New Roman" w:hAnsi="Times New Roman" w:eastAsia="Times New Roman"/>
                <w:b/>
                <w:sz w:val="13"/>
              </w:rPr>
            </w:pPr>
            <w:r>
              <w:rPr>
                <w:b/>
                <w:sz w:val="21"/>
              </w:rPr>
              <w:t>Ⅳ、Ⅵ</w:t>
            </w:r>
            <w:r>
              <w:rPr>
                <w:rFonts w:ascii="Times New Roman" w:hAnsi="Times New Roman" w:eastAsia="Times New Roman"/>
                <w:b/>
                <w:position w:val="7"/>
                <w:sz w:val="13"/>
              </w:rPr>
              <w:t>+</w:t>
            </w:r>
          </w:p>
        </w:tc>
        <w:tc>
          <w:tcPr>
            <w:tcW w:w="100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w w:val="99"/>
                <w:sz w:val="21"/>
              </w:rPr>
              <w:t>Ⅲ</w:t>
            </w:r>
          </w:p>
        </w:tc>
        <w:tc>
          <w:tcPr>
            <w:tcW w:w="100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w w:val="99"/>
                <w:sz w:val="21"/>
              </w:rPr>
              <w:t>Ⅱ</w:t>
            </w:r>
          </w:p>
        </w:tc>
        <w:tc>
          <w:tcPr>
            <w:tcW w:w="100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b/>
                <w:sz w:val="21"/>
              </w:rPr>
            </w:pPr>
            <w:r>
              <w:rPr>
                <w:b/>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71"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sz w:val="21"/>
              </w:rPr>
              <w:t>评价工作等级</w:t>
            </w:r>
          </w:p>
        </w:tc>
        <w:tc>
          <w:tcPr>
            <w:tcW w:w="100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w w:val="99"/>
                <w:sz w:val="21"/>
              </w:rPr>
              <w:t>一</w:t>
            </w:r>
          </w:p>
        </w:tc>
        <w:tc>
          <w:tcPr>
            <w:tcW w:w="100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w w:val="99"/>
                <w:sz w:val="21"/>
              </w:rPr>
              <w:t>二</w:t>
            </w:r>
          </w:p>
        </w:tc>
        <w:tc>
          <w:tcPr>
            <w:tcW w:w="100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w w:val="99"/>
                <w:sz w:val="21"/>
              </w:rPr>
              <w:t>三</w:t>
            </w:r>
          </w:p>
        </w:tc>
        <w:tc>
          <w:tcPr>
            <w:tcW w:w="100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000" w:type="pct"/>
            <w:gridSpan w:val="5"/>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outlineLvl w:val="9"/>
              <w:rPr>
                <w:sz w:val="21"/>
              </w:rPr>
            </w:pPr>
            <w:r>
              <w:rPr>
                <w:rFonts w:ascii="Times New Roman" w:eastAsia="Times New Roman"/>
                <w:sz w:val="21"/>
              </w:rPr>
              <w:t xml:space="preserve">a </w:t>
            </w:r>
            <w:r>
              <w:rPr>
                <w:sz w:val="21"/>
              </w:rPr>
              <w:t>是相对于详细评价工作内容而言，在描述危险物质、环境影响途径、环境危险后果、风险防范措施等方面给出定性的说明。</w:t>
            </w:r>
          </w:p>
        </w:tc>
      </w:tr>
    </w:tbl>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t xml:space="preserve">根据建设项目涉及的物质和工艺系统的危险性及其所在地的环境敏感程度，结合事故情形下环境影响途径，对建设项目潜在环境危害程度进行概化分析，按照建设项目环境风险潜势划分依据进行确定，潜势划分依据见表 </w:t>
      </w:r>
      <w:r>
        <w:rPr>
          <w:rFonts w:ascii="Times New Roman" w:eastAsia="Times New Roman"/>
        </w:rPr>
        <w:t>2.6-1</w:t>
      </w:r>
      <w:r>
        <w:rPr>
          <w:rFonts w:hint="eastAsia" w:ascii="Times New Roman"/>
          <w:lang w:val="en-US"/>
        </w:rPr>
        <w:t>5</w:t>
      </w:r>
      <w:r>
        <w:t>。</w:t>
      </w:r>
    </w:p>
    <w:p>
      <w:pPr>
        <w:keepNext w:val="0"/>
        <w:keepLines w:val="0"/>
        <w:pageBreakBefore w:val="0"/>
        <w:tabs>
          <w:tab w:val="left" w:pos="3952"/>
        </w:tabs>
        <w:kinsoku/>
        <w:wordWrap/>
        <w:overflowPunct/>
        <w:topLinePunct w:val="0"/>
        <w:autoSpaceDE w:val="0"/>
        <w:autoSpaceDN w:val="0"/>
        <w:bidi w:val="0"/>
        <w:adjustRightInd w:val="0"/>
        <w:snapToGrid w:val="0"/>
        <w:spacing w:before="81"/>
        <w:ind w:left="2313"/>
        <w:jc w:val="left"/>
        <w:textAlignment w:val="auto"/>
        <w:outlineLvl w:val="9"/>
      </w:pPr>
      <w:r>
        <w:t>表</w:t>
      </w:r>
      <w:r>
        <w:rPr>
          <w:spacing w:val="-62"/>
        </w:rPr>
        <w:t xml:space="preserve"> </w:t>
      </w:r>
      <w:r>
        <w:rPr>
          <w:rFonts w:ascii="Times New Roman" w:eastAsia="Times New Roman"/>
        </w:rPr>
        <w:t>2.6-1</w:t>
      </w:r>
      <w:r>
        <w:rPr>
          <w:rFonts w:hint="eastAsia" w:ascii="Times New Roman"/>
          <w:lang w:val="en-US"/>
        </w:rPr>
        <w:t>5</w:t>
      </w:r>
      <w:r>
        <w:rPr>
          <w:rFonts w:ascii="Times New Roman" w:eastAsia="Times New Roman"/>
        </w:rPr>
        <w:tab/>
      </w:r>
      <w:r>
        <w:t>建设项目环境风险潜势划分表</w:t>
      </w:r>
    </w:p>
    <w:tbl>
      <w:tblPr>
        <w:tblStyle w:val="31"/>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76"/>
        <w:gridCol w:w="1506"/>
        <w:gridCol w:w="1493"/>
        <w:gridCol w:w="1559"/>
        <w:gridCol w:w="15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b/>
                <w:sz w:val="21"/>
              </w:rPr>
            </w:pPr>
            <w:r>
              <w:rPr>
                <w:b/>
                <w:sz w:val="21"/>
              </w:rPr>
              <w:t>环境敏感程度（</w:t>
            </w:r>
            <w:r>
              <w:rPr>
                <w:rFonts w:ascii="Times New Roman" w:eastAsia="Times New Roman"/>
                <w:b/>
                <w:sz w:val="21"/>
              </w:rPr>
              <w:t>E</w:t>
            </w:r>
            <w:r>
              <w:rPr>
                <w:b/>
                <w:sz w:val="21"/>
              </w:rPr>
              <w:t>）</w:t>
            </w:r>
          </w:p>
        </w:tc>
        <w:tc>
          <w:tcPr>
            <w:tcW w:w="3690" w:type="pct"/>
            <w:gridSpan w:val="4"/>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b/>
                <w:sz w:val="21"/>
              </w:rPr>
            </w:pPr>
            <w:r>
              <w:rPr>
                <w:b/>
                <w:sz w:val="21"/>
              </w:rPr>
              <w:t>危害物质及工艺系统危害性（</w:t>
            </w:r>
            <w:r>
              <w:rPr>
                <w:rFonts w:ascii="Times New Roman" w:eastAsia="Times New Roman"/>
                <w:b/>
                <w:sz w:val="21"/>
              </w:rPr>
              <w:t>P</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b/>
                <w:sz w:val="21"/>
              </w:rPr>
            </w:pPr>
            <w:r>
              <w:rPr>
                <w:b/>
                <w:sz w:val="21"/>
              </w:rPr>
              <w:t>评价工作等级</w:t>
            </w:r>
          </w:p>
        </w:tc>
        <w:tc>
          <w:tcPr>
            <w:tcW w:w="90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b/>
                <w:sz w:val="21"/>
              </w:rPr>
            </w:pPr>
            <w:r>
              <w:rPr>
                <w:b/>
                <w:spacing w:val="-17"/>
                <w:w w:val="95"/>
                <w:sz w:val="21"/>
              </w:rPr>
              <w:t>极高危害</w:t>
            </w:r>
            <w:r>
              <w:rPr>
                <w:b/>
                <w:w w:val="95"/>
                <w:sz w:val="21"/>
              </w:rPr>
              <w:t>（</w:t>
            </w:r>
            <w:r>
              <w:rPr>
                <w:rFonts w:ascii="Times New Roman" w:eastAsia="Times New Roman"/>
                <w:b/>
                <w:w w:val="95"/>
                <w:sz w:val="21"/>
              </w:rPr>
              <w:t>P1</w:t>
            </w:r>
            <w:r>
              <w:rPr>
                <w:b/>
                <w:w w:val="95"/>
                <w:sz w:val="21"/>
              </w:rPr>
              <w:t>）</w:t>
            </w:r>
          </w:p>
        </w:tc>
        <w:tc>
          <w:tcPr>
            <w:tcW w:w="8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b/>
                <w:sz w:val="21"/>
              </w:rPr>
            </w:pPr>
            <w:r>
              <w:rPr>
                <w:b/>
                <w:spacing w:val="-21"/>
                <w:sz w:val="21"/>
              </w:rPr>
              <w:t>高度危害</w:t>
            </w:r>
            <w:r>
              <w:rPr>
                <w:b/>
                <w:sz w:val="21"/>
              </w:rPr>
              <w:t>（</w:t>
            </w:r>
            <w:r>
              <w:rPr>
                <w:rFonts w:ascii="Times New Roman" w:eastAsia="Times New Roman"/>
                <w:b/>
                <w:sz w:val="21"/>
              </w:rPr>
              <w:t>P2</w:t>
            </w:r>
            <w:r>
              <w:rPr>
                <w:b/>
                <w:sz w:val="21"/>
              </w:rPr>
              <w:t>）</w:t>
            </w:r>
          </w:p>
        </w:tc>
        <w:tc>
          <w:tcPr>
            <w:tcW w:w="93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b/>
                <w:sz w:val="21"/>
              </w:rPr>
            </w:pPr>
            <w:r>
              <w:rPr>
                <w:b/>
                <w:spacing w:val="-4"/>
                <w:sz w:val="21"/>
              </w:rPr>
              <w:t>中度危害</w:t>
            </w:r>
            <w:r>
              <w:rPr>
                <w:b/>
                <w:spacing w:val="-3"/>
                <w:sz w:val="21"/>
              </w:rPr>
              <w:t>（</w:t>
            </w:r>
            <w:r>
              <w:rPr>
                <w:rFonts w:ascii="Times New Roman" w:eastAsia="Times New Roman"/>
                <w:b/>
                <w:spacing w:val="-3"/>
                <w:sz w:val="21"/>
              </w:rPr>
              <w:t>P3</w:t>
            </w:r>
            <w:r>
              <w:rPr>
                <w:b/>
                <w:spacing w:val="-3"/>
                <w:sz w:val="21"/>
              </w:rPr>
              <w:t>）</w:t>
            </w:r>
          </w:p>
        </w:tc>
        <w:tc>
          <w:tcPr>
            <w:tcW w:w="94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b/>
                <w:sz w:val="21"/>
              </w:rPr>
            </w:pPr>
            <w:r>
              <w:rPr>
                <w:b/>
                <w:sz w:val="21"/>
              </w:rPr>
              <w:t>轻度危害（</w:t>
            </w:r>
            <w:r>
              <w:rPr>
                <w:rFonts w:ascii="Times New Roman" w:eastAsia="Times New Roman"/>
                <w:b/>
                <w:sz w:val="21"/>
              </w:rPr>
              <w:t>P4</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sz w:val="21"/>
              </w:rPr>
              <w:t>环境高度敏感区（E1）</w:t>
            </w:r>
          </w:p>
        </w:tc>
        <w:tc>
          <w:tcPr>
            <w:tcW w:w="90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rFonts w:ascii="Times New Roman" w:hAnsi="Times New Roman"/>
                <w:sz w:val="13"/>
              </w:rPr>
            </w:pPr>
            <w:r>
              <w:rPr>
                <w:position w:val="-6"/>
                <w:sz w:val="21"/>
              </w:rPr>
              <w:t>Ⅵ</w:t>
            </w:r>
            <w:r>
              <w:rPr>
                <w:rFonts w:ascii="Times New Roman" w:hAnsi="Times New Roman"/>
                <w:sz w:val="13"/>
              </w:rPr>
              <w:t>+</w:t>
            </w:r>
          </w:p>
        </w:tc>
        <w:tc>
          <w:tcPr>
            <w:tcW w:w="8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Ⅳ</w:t>
            </w:r>
          </w:p>
        </w:tc>
        <w:tc>
          <w:tcPr>
            <w:tcW w:w="93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Ⅲ</w:t>
            </w:r>
          </w:p>
        </w:tc>
        <w:tc>
          <w:tcPr>
            <w:tcW w:w="94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sz w:val="21"/>
              </w:rPr>
              <w:t>环境中度敏感区（E2）</w:t>
            </w:r>
          </w:p>
        </w:tc>
        <w:tc>
          <w:tcPr>
            <w:tcW w:w="90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Ⅳ</w:t>
            </w:r>
          </w:p>
        </w:tc>
        <w:tc>
          <w:tcPr>
            <w:tcW w:w="8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Ⅲ</w:t>
            </w:r>
          </w:p>
        </w:tc>
        <w:tc>
          <w:tcPr>
            <w:tcW w:w="93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Ⅲ</w:t>
            </w:r>
          </w:p>
        </w:tc>
        <w:tc>
          <w:tcPr>
            <w:tcW w:w="94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30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sz w:val="21"/>
              </w:rPr>
              <w:t>环境低度敏感区（E3）</w:t>
            </w:r>
          </w:p>
        </w:tc>
        <w:tc>
          <w:tcPr>
            <w:tcW w:w="906"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Ⅲ</w:t>
            </w:r>
          </w:p>
        </w:tc>
        <w:tc>
          <w:tcPr>
            <w:tcW w:w="8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Ⅲ</w:t>
            </w:r>
          </w:p>
        </w:tc>
        <w:tc>
          <w:tcPr>
            <w:tcW w:w="93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Ⅱ</w:t>
            </w:r>
          </w:p>
        </w:tc>
        <w:tc>
          <w:tcPr>
            <w:tcW w:w="94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w w:val="99"/>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000" w:type="pct"/>
            <w:gridSpan w:val="5"/>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outlineLvl w:val="9"/>
              <w:rPr>
                <w:sz w:val="21"/>
              </w:rPr>
            </w:pPr>
            <w:r>
              <w:rPr>
                <w:sz w:val="21"/>
              </w:rPr>
              <w:t>注：Ⅵ</w:t>
            </w:r>
            <w:r>
              <w:rPr>
                <w:rFonts w:ascii="Times New Roman" w:hAnsi="Times New Roman" w:eastAsia="Times New Roman"/>
                <w:position w:val="7"/>
                <w:sz w:val="13"/>
              </w:rPr>
              <w:t>+</w:t>
            </w:r>
            <w:r>
              <w:rPr>
                <w:sz w:val="21"/>
              </w:rPr>
              <w:t>为极高环境风险</w:t>
            </w:r>
          </w:p>
        </w:tc>
      </w:tr>
    </w:tbl>
    <w:p>
      <w:pPr>
        <w:pStyle w:val="14"/>
        <w:keepNext w:val="0"/>
        <w:keepLines w:val="0"/>
        <w:pageBreakBefore w:val="0"/>
        <w:kinsoku/>
        <w:wordWrap/>
        <w:overflowPunct/>
        <w:topLinePunct w:val="0"/>
        <w:autoSpaceDE w:val="0"/>
        <w:autoSpaceDN w:val="0"/>
        <w:bidi w:val="0"/>
        <w:adjustRightInd w:val="0"/>
        <w:snapToGrid w:val="0"/>
        <w:spacing w:line="360" w:lineRule="auto"/>
        <w:ind w:left="0" w:firstLine="400" w:firstLineChars="200"/>
        <w:jc w:val="both"/>
        <w:textAlignment w:val="auto"/>
        <w:outlineLvl w:val="9"/>
      </w:pPr>
      <w:r>
        <w:rPr>
          <w:spacing w:val="-20"/>
        </w:rPr>
        <w:t xml:space="preserve">根据 </w:t>
      </w:r>
      <w:r>
        <w:rPr>
          <w:rFonts w:ascii="Times New Roman" w:eastAsia="Times New Roman"/>
        </w:rPr>
        <w:t xml:space="preserve">HJ169-2018 </w:t>
      </w:r>
      <w:r>
        <w:rPr>
          <w:spacing w:val="-20"/>
        </w:rPr>
        <w:t xml:space="preserve">附录 </w:t>
      </w:r>
      <w:r>
        <w:rPr>
          <w:rFonts w:ascii="Times New Roman" w:eastAsia="Times New Roman"/>
        </w:rPr>
        <w:t xml:space="preserve">C </w:t>
      </w:r>
      <w:r>
        <w:rPr>
          <w:spacing w:val="-1"/>
        </w:rPr>
        <w:t>计算所涉及的每种危险物质在厂界内的最大存在总</w:t>
      </w:r>
      <w:r>
        <w:rPr>
          <w:spacing w:val="-7"/>
        </w:rPr>
        <w:t xml:space="preserve">量与其在附录 </w:t>
      </w:r>
      <w:r>
        <w:rPr>
          <w:rFonts w:ascii="Times New Roman" w:eastAsia="Times New Roman"/>
        </w:rPr>
        <w:t xml:space="preserve">B </w:t>
      </w:r>
      <w:r>
        <w:rPr>
          <w:spacing w:val="-5"/>
        </w:rPr>
        <w:t xml:space="preserve">中对应临界量的比值 </w:t>
      </w:r>
      <w:r>
        <w:rPr>
          <w:rFonts w:ascii="Times New Roman" w:eastAsia="Times New Roman"/>
          <w:spacing w:val="4"/>
        </w:rPr>
        <w:t>Q</w:t>
      </w:r>
      <w:r>
        <w:t>。在不同场区的同一种物质，按其在厂界内的最大存在总量计算</w:t>
      </w:r>
      <w:r>
        <w:rPr>
          <w:rFonts w:hint="eastAsia"/>
        </w:rPr>
        <w:t>。</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center"/>
        <w:textAlignment w:val="auto"/>
        <w:outlineLvl w:val="9"/>
      </w:pPr>
      <w:r>
        <w:rPr>
          <w:lang w:val="en-US" w:bidi="ar-SA"/>
        </w:rPr>
        <w:drawing>
          <wp:inline distT="0" distB="0" distL="114300" distR="114300">
            <wp:extent cx="1552575" cy="54292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3"/>
                    <a:stretch>
                      <a:fillRect/>
                    </a:stretch>
                  </pic:blipFill>
                  <pic:spPr>
                    <a:xfrm>
                      <a:off x="0" y="0"/>
                      <a:ext cx="1552575" cy="542925"/>
                    </a:xfrm>
                    <a:prstGeom prst="rect">
                      <a:avLst/>
                    </a:prstGeom>
                    <a:noFill/>
                    <a:ln>
                      <a:noFill/>
                    </a:ln>
                  </pic:spPr>
                </pic:pic>
              </a:graphicData>
            </a:graphic>
          </wp:inline>
        </w:drawing>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rPr>
        <w:t>、</w:t>
      </w:r>
      <w:r>
        <w:rPr>
          <w:rFonts w:ascii="Times New Roman" w:hAnsi="Times New Roman" w:eastAsia="Times New Roman"/>
          <w:position w:val="2"/>
        </w:rPr>
        <w:t>q</w:t>
      </w:r>
      <w:r>
        <w:rPr>
          <w:rFonts w:ascii="Times New Roman" w:hAnsi="Times New Roman" w:eastAsia="Times New Roman"/>
          <w:position w:val="2"/>
          <w:vertAlign w:val="subscript"/>
        </w:rPr>
        <w:t>2</w:t>
      </w:r>
      <w:r>
        <w:rPr>
          <w:position w:val="2"/>
        </w:rPr>
        <w:t>、</w:t>
      </w:r>
      <w:r>
        <w:rPr>
          <w:rFonts w:ascii="Times New Roman" w:hAnsi="Times New Roman" w:eastAsia="Times New Roman"/>
          <w:position w:val="2"/>
        </w:rPr>
        <w:t>···q</w:t>
      </w:r>
      <w:r>
        <w:rPr>
          <w:rFonts w:ascii="Times New Roman" w:hAnsi="Times New Roman" w:eastAsia="Times New Roman"/>
          <w:position w:val="2"/>
          <w:vertAlign w:val="subscript"/>
        </w:rPr>
        <w:t>n</w:t>
      </w:r>
      <w:r>
        <w:rPr>
          <w:position w:val="2"/>
        </w:rPr>
        <w:t>——每种危险物质的最大存在总量，</w:t>
      </w:r>
      <w:r>
        <w:rPr>
          <w:rFonts w:ascii="Times New Roman" w:hAnsi="Times New Roman" w:eastAsia="Times New Roman"/>
          <w:position w:val="2"/>
        </w:rPr>
        <w:t>t</w:t>
      </w:r>
      <w:r>
        <w:rPr>
          <w:position w:val="2"/>
        </w:rPr>
        <w:t>；</w:t>
      </w:r>
    </w:p>
    <w:p>
      <w:pPr>
        <w:pStyle w:val="14"/>
        <w:keepNext w:val="0"/>
        <w:keepLines w:val="0"/>
        <w:pageBreakBefore w:val="0"/>
        <w:kinsoku/>
        <w:wordWrap/>
        <w:overflowPunct/>
        <w:topLinePunct w:val="0"/>
        <w:autoSpaceDE w:val="0"/>
        <w:autoSpaceDN w:val="0"/>
        <w:bidi w:val="0"/>
        <w:adjustRightInd w:val="0"/>
        <w:snapToGrid w:val="0"/>
        <w:spacing w:line="360" w:lineRule="auto"/>
        <w:ind w:left="0" w:firstLine="480" w:firstLineChars="200"/>
        <w:jc w:val="both"/>
        <w:textAlignment w:val="auto"/>
        <w:outlineLvl w:val="9"/>
      </w:pPr>
      <w:r>
        <w:rPr>
          <w:rFonts w:ascii="Times New Roman" w:hAnsi="Times New Roman" w:eastAsia="Times New Roman"/>
          <w:position w:val="2"/>
        </w:rPr>
        <w:t>Q</w:t>
      </w:r>
      <w:r>
        <w:rPr>
          <w:rFonts w:ascii="Times New Roman" w:hAnsi="Times New Roman" w:eastAsia="Times New Roman"/>
          <w:position w:val="2"/>
          <w:vertAlign w:val="subscript"/>
        </w:rPr>
        <w:t>1</w:t>
      </w:r>
      <w:r>
        <w:rPr>
          <w:position w:val="2"/>
        </w:rPr>
        <w:t>、</w:t>
      </w:r>
      <w:r>
        <w:rPr>
          <w:rFonts w:ascii="Times New Roman" w:hAnsi="Times New Roman" w:eastAsia="Times New Roman"/>
          <w:position w:val="2"/>
        </w:rPr>
        <w:t>Q</w:t>
      </w:r>
      <w:r>
        <w:rPr>
          <w:rFonts w:ascii="Times New Roman" w:hAnsi="Times New Roman" w:eastAsia="Times New Roman"/>
          <w:position w:val="2"/>
          <w:vertAlign w:val="subscript"/>
        </w:rPr>
        <w:t>2</w:t>
      </w:r>
      <w:r>
        <w:rPr>
          <w:position w:val="2"/>
        </w:rPr>
        <w:t>、</w:t>
      </w:r>
      <w:r>
        <w:rPr>
          <w:rFonts w:ascii="Times New Roman" w:hAnsi="Times New Roman" w:eastAsia="Times New Roman"/>
          <w:position w:val="2"/>
        </w:rPr>
        <w:t>···Q</w:t>
      </w:r>
      <w:r>
        <w:rPr>
          <w:rFonts w:ascii="Times New Roman" w:hAnsi="Times New Roman" w:eastAsia="Times New Roman"/>
          <w:position w:val="2"/>
          <w:vertAlign w:val="subscript"/>
        </w:rPr>
        <w:t>n</w:t>
      </w:r>
      <w:r>
        <w:rPr>
          <w:position w:val="2"/>
        </w:rPr>
        <w:t>——每种危险物质的临界量，</w:t>
      </w:r>
      <w:r>
        <w:rPr>
          <w:rFonts w:ascii="Times New Roman" w:hAnsi="Times New Roman" w:eastAsia="Times New Roman"/>
          <w:position w:val="2"/>
        </w:rPr>
        <w:t>t</w:t>
      </w:r>
      <w:r>
        <w:rPr>
          <w:position w:val="2"/>
        </w:rPr>
        <w:t>。</w:t>
      </w:r>
      <w:r>
        <w:t xml:space="preserve">当 </w:t>
      </w:r>
      <w:r>
        <w:rPr>
          <w:rFonts w:ascii="Times New Roman" w:hAnsi="Times New Roman" w:eastAsia="Times New Roman"/>
        </w:rPr>
        <w:t>Q</w:t>
      </w:r>
      <w:r>
        <w:t>＜</w:t>
      </w:r>
      <w:r>
        <w:rPr>
          <w:rFonts w:ascii="Times New Roman" w:hAnsi="Times New Roman" w:eastAsia="Times New Roman"/>
        </w:rPr>
        <w:t xml:space="preserve">1 </w:t>
      </w:r>
      <w:r>
        <w:t xml:space="preserve">时，该项目环境风险潜势为Ⅰ；当 </w:t>
      </w:r>
      <w:r>
        <w:rPr>
          <w:rFonts w:ascii="Times New Roman" w:hAnsi="Times New Roman" w:eastAsia="Times New Roman"/>
        </w:rPr>
        <w:t>Q</w:t>
      </w:r>
      <w:r>
        <w:t>≥</w:t>
      </w:r>
      <w:r>
        <w:rPr>
          <w:rFonts w:ascii="Times New Roman" w:hAnsi="Times New Roman" w:eastAsia="Times New Roman"/>
        </w:rPr>
        <w:t xml:space="preserve">1 </w:t>
      </w:r>
      <w:r>
        <w:t xml:space="preserve">时，将 </w:t>
      </w:r>
      <w:r>
        <w:rPr>
          <w:rFonts w:ascii="Times New Roman" w:hAnsi="Times New Roman" w:eastAsia="Times New Roman"/>
        </w:rPr>
        <w:t xml:space="preserve">Q </w:t>
      </w:r>
      <w:r>
        <w:t>值划分为：（</w:t>
      </w:r>
      <w:r>
        <w:rPr>
          <w:rFonts w:ascii="Times New Roman" w:hAnsi="Times New Roman" w:eastAsia="Times New Roman"/>
        </w:rPr>
        <w:t>1</w:t>
      </w:r>
      <w:r>
        <w:t>）</w:t>
      </w:r>
      <w:r>
        <w:rPr>
          <w:rFonts w:ascii="Times New Roman" w:hAnsi="Times New Roman" w:eastAsia="Times New Roman"/>
        </w:rPr>
        <w:t>1</w:t>
      </w:r>
      <w:r>
        <w:t>≤</w:t>
      </w:r>
      <w:r>
        <w:rPr>
          <w:rFonts w:ascii="Times New Roman" w:hAnsi="Times New Roman" w:eastAsia="Times New Roman"/>
        </w:rPr>
        <w:t>Q</w:t>
      </w:r>
      <w:r>
        <w:t>＜</w:t>
      </w:r>
      <w:r>
        <w:rPr>
          <w:rFonts w:ascii="Times New Roman" w:hAnsi="Times New Roman" w:eastAsia="Times New Roman"/>
        </w:rPr>
        <w:t>10</w:t>
      </w:r>
      <w:r>
        <w:t>；（</w:t>
      </w:r>
      <w:r>
        <w:rPr>
          <w:rFonts w:ascii="Times New Roman" w:hAnsi="Times New Roman" w:eastAsia="Times New Roman"/>
        </w:rPr>
        <w:t>2</w:t>
      </w:r>
      <w:r>
        <w:t>）</w:t>
      </w:r>
      <w:r>
        <w:rPr>
          <w:rFonts w:ascii="Times New Roman" w:hAnsi="Times New Roman" w:eastAsia="Times New Roman"/>
        </w:rPr>
        <w:t>10</w:t>
      </w:r>
      <w:r>
        <w:t>≤</w:t>
      </w:r>
      <w:r>
        <w:rPr>
          <w:rFonts w:ascii="Times New Roman" w:hAnsi="Times New Roman" w:eastAsia="Times New Roman"/>
        </w:rPr>
        <w:t>Q</w:t>
      </w:r>
      <w:r>
        <w:t>＜</w:t>
      </w:r>
      <w:r>
        <w:rPr>
          <w:rFonts w:ascii="Times New Roman" w:hAnsi="Times New Roman" w:eastAsia="Times New Roman"/>
        </w:rPr>
        <w:t>100</w:t>
      </w:r>
      <w:r>
        <w:t>；（</w:t>
      </w:r>
      <w:r>
        <w:rPr>
          <w:rFonts w:ascii="Times New Roman" w:hAnsi="Times New Roman" w:eastAsia="Times New Roman"/>
        </w:rPr>
        <w:t>3</w:t>
      </w:r>
      <w:r>
        <w:t>）</w:t>
      </w:r>
      <w:r>
        <w:rPr>
          <w:rFonts w:ascii="Times New Roman" w:hAnsi="Times New Roman" w:eastAsia="Times New Roman"/>
        </w:rPr>
        <w:t>Q</w:t>
      </w:r>
      <w:r>
        <w:t>≥</w:t>
      </w:r>
      <w:r>
        <w:rPr>
          <w:rFonts w:ascii="Times New Roman" w:hAnsi="Times New Roman" w:eastAsia="Times New Roman"/>
        </w:rPr>
        <w:t>100</w:t>
      </w:r>
      <w:r>
        <w:t>。</w:t>
      </w:r>
    </w:p>
    <w:p>
      <w:pPr>
        <w:keepNext w:val="0"/>
        <w:keepLines w:val="0"/>
        <w:pageBreakBefore w:val="0"/>
        <w:widowControl/>
        <w:suppressLineNumbers w:val="0"/>
        <w:kinsoku/>
        <w:wordWrap/>
        <w:overflowPunct/>
        <w:topLinePunct w:val="0"/>
        <w:autoSpaceDE w:val="0"/>
        <w:autoSpaceDN w:val="0"/>
        <w:bidi w:val="0"/>
        <w:adjustRightInd w:val="0"/>
        <w:snapToGrid w:val="0"/>
        <w:spacing w:line="360" w:lineRule="auto"/>
        <w:ind w:firstLine="456" w:firstLineChars="200"/>
        <w:jc w:val="both"/>
        <w:textAlignment w:val="auto"/>
        <w:rPr>
          <w:highlight w:val="none"/>
        </w:rPr>
      </w:pPr>
      <w:r>
        <w:rPr>
          <w:color w:val="000000" w:themeColor="text1"/>
          <w:spacing w:val="-6"/>
          <w:highlight w:val="none"/>
        </w:rPr>
        <w:t>本项目涉及的有毒有害物质主要为</w:t>
      </w:r>
      <w:r>
        <w:rPr>
          <w:rFonts w:hint="eastAsia"/>
          <w:color w:val="000000" w:themeColor="text1"/>
          <w:spacing w:val="-6"/>
          <w:highlight w:val="none"/>
          <w:lang w:eastAsia="zh-CN"/>
        </w:rPr>
        <w:t>机油和废机油，最大存在量为</w:t>
      </w:r>
      <w:r>
        <w:rPr>
          <w:rFonts w:hint="eastAsia"/>
          <w:color w:val="000000" w:themeColor="text1"/>
          <w:spacing w:val="-6"/>
          <w:highlight w:val="none"/>
          <w:lang w:val="en-US" w:eastAsia="zh-CN"/>
        </w:rPr>
        <w:t>0.2t，临界量为2500t，</w:t>
      </w:r>
      <w:r>
        <w:rPr>
          <w:color w:val="auto"/>
          <w:kern w:val="0"/>
          <w:sz w:val="24"/>
          <w:highlight w:val="none"/>
          <w:lang w:val="zh-CN"/>
        </w:rPr>
        <w:t>本项目的Q值为0</w:t>
      </w:r>
      <w:r>
        <w:rPr>
          <w:rFonts w:hint="eastAsia"/>
          <w:color w:val="auto"/>
          <w:kern w:val="0"/>
          <w:sz w:val="24"/>
          <w:highlight w:val="none"/>
          <w:lang w:val="en-US" w:eastAsia="zh-CN"/>
        </w:rPr>
        <w:t>.00016</w:t>
      </w:r>
      <w:r>
        <w:rPr>
          <w:color w:val="auto"/>
          <w:kern w:val="0"/>
          <w:sz w:val="24"/>
          <w:highlight w:val="none"/>
          <w:lang w:val="zh-CN"/>
        </w:rPr>
        <w:t>，Q＜1时，本项目环境风险潜势为Ⅰ</w:t>
      </w:r>
      <w:r>
        <w:rPr>
          <w:rFonts w:hint="eastAsia"/>
          <w:color w:val="auto"/>
          <w:kern w:val="0"/>
          <w:sz w:val="24"/>
          <w:highlight w:val="none"/>
          <w:lang w:val="zh-CN"/>
        </w:rPr>
        <w:t>，</w:t>
      </w:r>
      <w:r>
        <w:rPr>
          <w:rFonts w:hint="eastAsia" w:ascii="宋体" w:hAnsi="宋体" w:eastAsia="宋体" w:cs="宋体"/>
          <w:color w:val="000000"/>
          <w:kern w:val="0"/>
          <w:sz w:val="24"/>
          <w:szCs w:val="24"/>
          <w:highlight w:val="none"/>
          <w:lang w:val="en-US" w:eastAsia="zh-CN" w:bidi="ar"/>
        </w:rPr>
        <w:t>确定本项目大气环境风险评价工作等级为简单分析。</w:t>
      </w:r>
    </w:p>
    <w:p>
      <w:pPr>
        <w:pStyle w:val="6"/>
        <w:numPr>
          <w:ilvl w:val="2"/>
          <w:numId w:val="11"/>
        </w:numPr>
        <w:tabs>
          <w:tab w:val="left" w:pos="1241"/>
        </w:tabs>
        <w:spacing w:line="360" w:lineRule="auto"/>
        <w:ind w:left="0" w:firstLine="562" w:firstLineChars="200"/>
        <w:jc w:val="both"/>
      </w:pPr>
      <w:bookmarkStart w:id="76" w:name="2.6.2_评价范围"/>
      <w:bookmarkEnd w:id="76"/>
      <w:r>
        <w:t>评价范围</w:t>
      </w:r>
    </w:p>
    <w:p>
      <w:pPr>
        <w:pStyle w:val="14"/>
        <w:spacing w:line="360" w:lineRule="auto"/>
        <w:ind w:left="0" w:firstLine="444" w:firstLineChars="200"/>
        <w:jc w:val="both"/>
      </w:pPr>
      <w:r>
        <w:rPr>
          <w:spacing w:val="-9"/>
        </w:rPr>
        <w:t>根据项目大气、水、声环境影响评价等级和环境风险评价等级，参照导则要</w:t>
      </w:r>
      <w:r>
        <w:rPr>
          <w:spacing w:val="-17"/>
        </w:rPr>
        <w:t>求，并结合本项目自身特点和项目周边环境状况，本次环境影响评价范围确定为：</w:t>
      </w:r>
    </w:p>
    <w:p>
      <w:pPr>
        <w:pStyle w:val="41"/>
        <w:numPr>
          <w:ilvl w:val="0"/>
          <w:numId w:val="12"/>
        </w:numPr>
        <w:tabs>
          <w:tab w:val="left" w:pos="1621"/>
        </w:tabs>
        <w:spacing w:before="0" w:line="360" w:lineRule="auto"/>
        <w:ind w:firstLine="480" w:firstLineChars="200"/>
        <w:jc w:val="both"/>
        <w:rPr>
          <w:sz w:val="24"/>
        </w:rPr>
      </w:pPr>
      <w:r>
        <w:rPr>
          <w:sz w:val="24"/>
        </w:rPr>
        <w:t>大气环境：</w:t>
      </w:r>
    </w:p>
    <w:p>
      <w:pPr>
        <w:pStyle w:val="41"/>
        <w:tabs>
          <w:tab w:val="left" w:pos="1621"/>
        </w:tabs>
        <w:spacing w:before="0" w:line="360" w:lineRule="auto"/>
        <w:ind w:left="0" w:firstLine="480" w:firstLineChars="200"/>
        <w:jc w:val="both"/>
        <w:rPr>
          <w:sz w:val="24"/>
        </w:rPr>
      </w:pPr>
      <w:r>
        <w:rPr>
          <w:sz w:val="24"/>
        </w:rPr>
        <w:t>本项目大气环境影响评价等级为二级，根据《环境影响评价技术导则</w:t>
      </w:r>
      <w:r>
        <w:rPr>
          <w:rFonts w:ascii="Times New Roman" w:hAnsi="Times New Roman" w:eastAsia="Times New Roman"/>
          <w:sz w:val="24"/>
        </w:rPr>
        <w:t>·</w:t>
      </w:r>
      <w:r>
        <w:rPr>
          <w:spacing w:val="-11"/>
          <w:sz w:val="24"/>
        </w:rPr>
        <w:t>大气环境》</w:t>
      </w:r>
      <w:r>
        <w:rPr>
          <w:spacing w:val="-3"/>
          <w:sz w:val="24"/>
        </w:rPr>
        <w:t>（</w:t>
      </w:r>
      <w:r>
        <w:rPr>
          <w:rFonts w:ascii="Times New Roman" w:hAnsi="Times New Roman" w:eastAsia="Times New Roman"/>
          <w:spacing w:val="-3"/>
          <w:sz w:val="24"/>
        </w:rPr>
        <w:t>HJ2.2-2018</w:t>
      </w:r>
      <w:r>
        <w:rPr>
          <w:spacing w:val="-3"/>
          <w:sz w:val="24"/>
        </w:rPr>
        <w:t>）</w:t>
      </w:r>
      <w:r>
        <w:rPr>
          <w:spacing w:val="-6"/>
          <w:sz w:val="24"/>
        </w:rPr>
        <w:t xml:space="preserve">规定，其大气环境影响评价范围为以项目场址为中心，边长为 </w:t>
      </w:r>
      <w:r>
        <w:rPr>
          <w:rFonts w:ascii="Times New Roman" w:hAnsi="Times New Roman" w:eastAsia="Times New Roman"/>
          <w:sz w:val="24"/>
        </w:rPr>
        <w:t>5km</w:t>
      </w:r>
      <w:r>
        <w:rPr>
          <w:rFonts w:ascii="Times New Roman" w:hAnsi="Times New Roman" w:eastAsia="Times New Roman"/>
          <w:spacing w:val="-2"/>
          <w:sz w:val="24"/>
        </w:rPr>
        <w:t xml:space="preserve"> </w:t>
      </w:r>
      <w:r>
        <w:rPr>
          <w:sz w:val="24"/>
        </w:rPr>
        <w:t>的矩形区域。</w:t>
      </w:r>
    </w:p>
    <w:p>
      <w:pPr>
        <w:pStyle w:val="41"/>
        <w:numPr>
          <w:ilvl w:val="0"/>
          <w:numId w:val="12"/>
        </w:numPr>
        <w:tabs>
          <w:tab w:val="left" w:pos="1621"/>
        </w:tabs>
        <w:spacing w:before="0" w:line="360" w:lineRule="auto"/>
        <w:ind w:firstLine="480" w:firstLineChars="200"/>
        <w:jc w:val="both"/>
        <w:rPr>
          <w:sz w:val="24"/>
        </w:rPr>
      </w:pPr>
      <w:r>
        <w:rPr>
          <w:sz w:val="24"/>
        </w:rPr>
        <w:t>水环境：</w:t>
      </w:r>
    </w:p>
    <w:p>
      <w:pPr>
        <w:pStyle w:val="14"/>
        <w:spacing w:line="360" w:lineRule="auto"/>
        <w:ind w:left="0" w:firstLine="480" w:firstLineChars="200"/>
        <w:jc w:val="both"/>
      </w:pPr>
      <w:r>
        <w:t>地表水：本项目地表水评价不设评价范围。</w:t>
      </w:r>
    </w:p>
    <w:p>
      <w:pPr>
        <w:pStyle w:val="14"/>
        <w:spacing w:line="360" w:lineRule="auto"/>
        <w:ind w:left="0" w:firstLine="480" w:firstLineChars="200"/>
        <w:jc w:val="both"/>
      </w:pPr>
      <w:r>
        <w:t>地下水：</w:t>
      </w:r>
      <w:r>
        <w:rPr>
          <w:rFonts w:hint="eastAsia"/>
          <w:lang w:eastAsia="zh-CN"/>
        </w:rPr>
        <w:t>本项目地下水评价不设评价范围</w:t>
      </w:r>
      <w:r>
        <w:t>。</w:t>
      </w:r>
    </w:p>
    <w:p>
      <w:pPr>
        <w:pStyle w:val="41"/>
        <w:numPr>
          <w:ilvl w:val="0"/>
          <w:numId w:val="12"/>
        </w:numPr>
        <w:tabs>
          <w:tab w:val="left" w:pos="1628"/>
        </w:tabs>
        <w:spacing w:before="0" w:line="360" w:lineRule="auto"/>
        <w:ind w:firstLine="460" w:firstLineChars="200"/>
        <w:jc w:val="both"/>
        <w:rPr>
          <w:sz w:val="24"/>
        </w:rPr>
      </w:pPr>
      <w:r>
        <w:rPr>
          <w:spacing w:val="-5"/>
          <w:sz w:val="24"/>
        </w:rPr>
        <w:t>声环境：</w:t>
      </w:r>
      <w:r>
        <w:rPr>
          <w:color w:val="auto"/>
          <w:highlight w:val="none"/>
          <w:lang w:val="zh-CN"/>
        </w:rPr>
        <w:t>根据导则要求，一级评价一般以建设项目边界向外200m为评价范围；二、三级评价范围可根据建设项目所在区域和相邻区域的声环境功能区类别及敏感目标等实际情况适当缩小。如依据建设项目声源计算得到的贡献值到200m处，仍不能满足相应功能区标准值时，应将评价范围扩大到满足标准值的距离。本项目声环境评价范围为厂界外</w:t>
      </w:r>
      <w:r>
        <w:rPr>
          <w:rFonts w:hint="eastAsia"/>
          <w:color w:val="auto"/>
          <w:highlight w:val="none"/>
        </w:rPr>
        <w:t>200</w:t>
      </w:r>
      <w:r>
        <w:rPr>
          <w:color w:val="auto"/>
          <w:highlight w:val="none"/>
          <w:lang w:val="zh-CN"/>
        </w:rPr>
        <w:t>m范围。</w:t>
      </w:r>
    </w:p>
    <w:p>
      <w:pPr>
        <w:pStyle w:val="41"/>
        <w:numPr>
          <w:ilvl w:val="0"/>
          <w:numId w:val="12"/>
        </w:numPr>
        <w:tabs>
          <w:tab w:val="left" w:pos="1683"/>
        </w:tabs>
        <w:spacing w:before="0" w:line="360" w:lineRule="auto"/>
        <w:ind w:firstLine="480" w:firstLineChars="200"/>
        <w:jc w:val="both"/>
        <w:rPr>
          <w:color w:val="000000" w:themeColor="text1"/>
          <w:sz w:val="24"/>
          <w:szCs w:val="24"/>
        </w:rPr>
      </w:pPr>
      <w:r>
        <w:rPr>
          <w:sz w:val="24"/>
          <w:szCs w:val="24"/>
        </w:rPr>
        <w:t>）</w:t>
      </w:r>
      <w:r>
        <w:rPr>
          <w:spacing w:val="3"/>
          <w:sz w:val="24"/>
          <w:szCs w:val="24"/>
        </w:rPr>
        <w:t xml:space="preserve"> 土壤环境： 根据</w:t>
      </w:r>
      <w:r>
        <w:rPr>
          <w:color w:val="000000" w:themeColor="text1"/>
          <w:spacing w:val="3"/>
          <w:sz w:val="24"/>
          <w:szCs w:val="24"/>
        </w:rPr>
        <w:t>《环境影响评价技术导则 土壤环境</w:t>
      </w:r>
      <w:r>
        <w:rPr>
          <w:color w:val="000000" w:themeColor="text1"/>
          <w:spacing w:val="19"/>
          <w:sz w:val="24"/>
          <w:szCs w:val="24"/>
        </w:rPr>
        <w:t>（</w:t>
      </w:r>
      <w:r>
        <w:rPr>
          <w:color w:val="000000" w:themeColor="text1"/>
          <w:spacing w:val="21"/>
          <w:sz w:val="24"/>
          <w:szCs w:val="24"/>
        </w:rPr>
        <w:t>试行）</w:t>
      </w:r>
      <w:r>
        <w:rPr>
          <w:color w:val="000000" w:themeColor="text1"/>
          <w:sz w:val="24"/>
          <w:szCs w:val="24"/>
        </w:rPr>
        <w:t>》（</w:t>
      </w:r>
      <w:r>
        <w:rPr>
          <w:rFonts w:ascii="Times New Roman" w:eastAsia="Times New Roman"/>
          <w:color w:val="000000" w:themeColor="text1"/>
          <w:sz w:val="24"/>
          <w:szCs w:val="24"/>
        </w:rPr>
        <w:t>HJ964-2018</w:t>
      </w:r>
      <w:r>
        <w:rPr>
          <w:color w:val="000000" w:themeColor="text1"/>
          <w:sz w:val="24"/>
          <w:szCs w:val="24"/>
        </w:rPr>
        <w:t xml:space="preserve">）规定，本项目土壤环境评价范围为占地范围外 </w:t>
      </w:r>
      <w:r>
        <w:rPr>
          <w:rFonts w:ascii="Times New Roman" w:eastAsia="Times New Roman"/>
          <w:color w:val="000000" w:themeColor="text1"/>
          <w:sz w:val="24"/>
          <w:szCs w:val="24"/>
        </w:rPr>
        <w:t xml:space="preserve">0.05km </w:t>
      </w:r>
      <w:r>
        <w:rPr>
          <w:color w:val="000000" w:themeColor="text1"/>
          <w:sz w:val="24"/>
          <w:szCs w:val="24"/>
        </w:rPr>
        <w:t>范围内。</w:t>
      </w:r>
    </w:p>
    <w:p>
      <w:pPr>
        <w:pStyle w:val="41"/>
        <w:numPr>
          <w:ilvl w:val="0"/>
          <w:numId w:val="12"/>
        </w:numPr>
        <w:tabs>
          <w:tab w:val="left" w:pos="1621"/>
        </w:tabs>
        <w:spacing w:before="0" w:line="360" w:lineRule="auto"/>
        <w:ind w:firstLine="464" w:firstLineChars="200"/>
        <w:jc w:val="both"/>
        <w:rPr>
          <w:color w:val="000000" w:themeColor="text1"/>
          <w:sz w:val="24"/>
        </w:rPr>
      </w:pPr>
      <w:r>
        <w:rPr>
          <w:color w:val="000000" w:themeColor="text1"/>
          <w:spacing w:val="-4"/>
          <w:sz w:val="24"/>
        </w:rPr>
        <w:t>生态环境：项目厂界范围</w:t>
      </w:r>
      <w:r>
        <w:rPr>
          <w:color w:val="000000" w:themeColor="text1"/>
          <w:sz w:val="24"/>
        </w:rPr>
        <w:t>。</w:t>
      </w:r>
    </w:p>
    <w:p>
      <w:pPr>
        <w:pStyle w:val="41"/>
        <w:numPr>
          <w:ilvl w:val="0"/>
          <w:numId w:val="12"/>
        </w:numPr>
        <w:tabs>
          <w:tab w:val="left" w:pos="1625"/>
        </w:tabs>
        <w:spacing w:before="0" w:line="360" w:lineRule="auto"/>
        <w:ind w:firstLine="480" w:firstLineChars="200"/>
        <w:jc w:val="both"/>
        <w:rPr>
          <w:color w:val="000000" w:themeColor="text1"/>
          <w:sz w:val="24"/>
        </w:rPr>
      </w:pPr>
      <w:r>
        <w:rPr>
          <w:color w:val="000000" w:themeColor="text1"/>
          <w:sz w:val="24"/>
        </w:rPr>
        <w:t>风险评价：根据《建设项目环境风险评价技术导则》（</w:t>
      </w:r>
      <w:r>
        <w:rPr>
          <w:rFonts w:ascii="Times New Roman" w:eastAsia="Times New Roman"/>
          <w:color w:val="000000" w:themeColor="text1"/>
          <w:sz w:val="24"/>
        </w:rPr>
        <w:t>HJ169-2018</w:t>
      </w:r>
      <w:r>
        <w:rPr>
          <w:color w:val="000000" w:themeColor="text1"/>
          <w:sz w:val="24"/>
        </w:rPr>
        <w:t xml:space="preserve">） </w:t>
      </w:r>
      <w:r>
        <w:rPr>
          <w:color w:val="000000" w:themeColor="text1"/>
          <w:spacing w:val="-3"/>
          <w:sz w:val="24"/>
        </w:rPr>
        <w:t>规定，</w:t>
      </w:r>
      <w:r>
        <w:rPr>
          <w:color w:val="000000" w:themeColor="text1"/>
          <w:spacing w:val="-1"/>
          <w:sz w:val="24"/>
          <w:szCs w:val="24"/>
        </w:rPr>
        <w:t>本项目环境风险评价工作</w:t>
      </w:r>
      <w:r>
        <w:rPr>
          <w:color w:val="000000" w:themeColor="text1"/>
          <w:spacing w:val="-8"/>
          <w:sz w:val="24"/>
          <w:szCs w:val="24"/>
        </w:rPr>
        <w:t>等级为简单分析，</w:t>
      </w:r>
      <w:r>
        <w:rPr>
          <w:rFonts w:hint="eastAsia"/>
          <w:color w:val="000000" w:themeColor="text1"/>
          <w:spacing w:val="-8"/>
          <w:sz w:val="24"/>
          <w:szCs w:val="24"/>
        </w:rPr>
        <w:t>不设风险评价范围</w:t>
      </w:r>
      <w:r>
        <w:rPr>
          <w:color w:val="000000" w:themeColor="text1"/>
          <w:sz w:val="24"/>
          <w:szCs w:val="24"/>
        </w:rPr>
        <w:t>。</w:t>
      </w:r>
    </w:p>
    <w:p>
      <w:pPr>
        <w:pStyle w:val="14"/>
        <w:spacing w:line="360" w:lineRule="auto"/>
        <w:ind w:left="0" w:firstLine="464" w:firstLineChars="200"/>
        <w:jc w:val="both"/>
      </w:pPr>
      <w:r>
        <w:rPr>
          <w:color w:val="000000" w:themeColor="text1"/>
          <w:spacing w:val="-4"/>
        </w:rPr>
        <w:t>本项目各环境要素评价范围图见</w:t>
      </w:r>
      <w:r>
        <w:rPr>
          <w:spacing w:val="-4"/>
        </w:rPr>
        <w:t xml:space="preserve">图 </w:t>
      </w:r>
      <w:r>
        <w:rPr>
          <w:rFonts w:ascii="Times New Roman" w:eastAsia="Times New Roman"/>
        </w:rPr>
        <w:t>2.6-1</w:t>
      </w:r>
      <w:r>
        <w:t>。</w:t>
      </w:r>
    </w:p>
    <w:p>
      <w:pPr>
        <w:pStyle w:val="5"/>
        <w:keepNext w:val="0"/>
        <w:keepLines w:val="0"/>
        <w:pageBreakBefore w:val="0"/>
        <w:widowControl w:val="0"/>
        <w:numPr>
          <w:ilvl w:val="1"/>
          <w:numId w:val="13"/>
        </w:numPr>
        <w:tabs>
          <w:tab w:val="left" w:pos="1100"/>
        </w:tabs>
        <w:kinsoku/>
        <w:wordWrap/>
        <w:overflowPunct/>
        <w:topLinePunct w:val="0"/>
        <w:autoSpaceDE w:val="0"/>
        <w:autoSpaceDN w:val="0"/>
        <w:bidi w:val="0"/>
        <w:adjustRightInd w:val="0"/>
        <w:snapToGrid w:val="0"/>
        <w:spacing w:line="360" w:lineRule="auto"/>
        <w:ind w:left="0"/>
        <w:jc w:val="both"/>
        <w:textAlignment w:val="auto"/>
      </w:pPr>
      <w:bookmarkStart w:id="77" w:name="2.7_污染控制与环境保护目标"/>
      <w:bookmarkEnd w:id="77"/>
      <w:bookmarkStart w:id="78" w:name="_bookmark12"/>
      <w:bookmarkEnd w:id="78"/>
      <w:bookmarkStart w:id="79" w:name="_Toc10761"/>
      <w:bookmarkStart w:id="80" w:name="_Toc26569"/>
      <w:bookmarkStart w:id="81" w:name="_Toc18450"/>
      <w:r>
        <w:t>环境保护目标</w:t>
      </w:r>
      <w:bookmarkEnd w:id="79"/>
      <w:bookmarkEnd w:id="80"/>
      <w:bookmarkEnd w:id="81"/>
    </w:p>
    <w:p>
      <w:pPr>
        <w:bidi w:val="0"/>
        <w:rPr>
          <w:rFonts w:hint="eastAsia"/>
          <w:color w:val="auto"/>
          <w:highlight w:val="none"/>
        </w:rPr>
      </w:pPr>
      <w:bookmarkStart w:id="82" w:name="2.7.1_污染控制"/>
      <w:bookmarkEnd w:id="82"/>
      <w:r>
        <w:rPr>
          <w:rFonts w:hint="eastAsia"/>
          <w:color w:val="auto"/>
          <w:highlight w:val="none"/>
          <w:lang w:eastAsia="zh-CN"/>
        </w:rPr>
        <w:t>锅炉房</w:t>
      </w:r>
      <w:r>
        <w:rPr>
          <w:rFonts w:hint="eastAsia"/>
          <w:color w:val="auto"/>
          <w:highlight w:val="none"/>
        </w:rPr>
        <w:t>主体工程环境保护目标按各种环境要素可分：</w:t>
      </w:r>
    </w:p>
    <w:p>
      <w:pPr>
        <w:bidi w:val="0"/>
        <w:rPr>
          <w:rFonts w:hint="eastAsia"/>
          <w:color w:val="auto"/>
          <w:highlight w:val="none"/>
        </w:rPr>
      </w:pPr>
      <w:r>
        <w:rPr>
          <w:rFonts w:hint="eastAsia"/>
          <w:color w:val="auto"/>
          <w:highlight w:val="none"/>
        </w:rPr>
        <w:t>（1）大气环境保护目标</w:t>
      </w:r>
    </w:p>
    <w:p>
      <w:pPr>
        <w:bidi w:val="0"/>
        <w:rPr>
          <w:rFonts w:hint="eastAsia"/>
          <w:color w:val="auto"/>
          <w:highlight w:val="none"/>
        </w:rPr>
      </w:pPr>
      <w:r>
        <w:rPr>
          <w:rFonts w:hint="eastAsia"/>
          <w:color w:val="auto"/>
          <w:highlight w:val="none"/>
        </w:rPr>
        <w:t>保证厂界周边范围内的环境空气质量不因项目的建设和运营而下降，并满足《环境空气质量标准》（GB3095-2012）的二级标准。</w:t>
      </w:r>
    </w:p>
    <w:p>
      <w:pPr>
        <w:bidi w:val="0"/>
        <w:rPr>
          <w:rFonts w:hint="eastAsia"/>
          <w:color w:val="auto"/>
          <w:highlight w:val="none"/>
        </w:rPr>
      </w:pPr>
      <w:r>
        <w:rPr>
          <w:rFonts w:hint="eastAsia"/>
          <w:color w:val="auto"/>
          <w:highlight w:val="none"/>
        </w:rPr>
        <w:t>（2）水环境保护目标</w:t>
      </w:r>
    </w:p>
    <w:p>
      <w:pPr>
        <w:bidi w:val="0"/>
        <w:rPr>
          <w:rFonts w:hint="eastAsia"/>
          <w:color w:val="auto"/>
          <w:highlight w:val="none"/>
        </w:rPr>
      </w:pPr>
      <w:r>
        <w:rPr>
          <w:rFonts w:hint="eastAsia"/>
          <w:color w:val="auto"/>
          <w:highlight w:val="none"/>
        </w:rPr>
        <w:t>保证项目区地下水环境质量不因项目的建设和运营而下降，并满足</w:t>
      </w:r>
      <w:r>
        <w:rPr>
          <w:rFonts w:hint="eastAsia"/>
          <w:color w:val="0000FF"/>
          <w:highlight w:val="none"/>
        </w:rPr>
        <w:t>《地下水质量标准》（GB/T14848-2017）中Ⅲ类标准。</w:t>
      </w:r>
    </w:p>
    <w:p>
      <w:pPr>
        <w:bidi w:val="0"/>
        <w:rPr>
          <w:rFonts w:hint="eastAsia"/>
          <w:color w:val="auto"/>
          <w:highlight w:val="none"/>
        </w:rPr>
      </w:pPr>
      <w:r>
        <w:rPr>
          <w:rFonts w:hint="eastAsia"/>
          <w:color w:val="auto"/>
          <w:highlight w:val="none"/>
        </w:rPr>
        <w:t>（3）声环境保护目标</w:t>
      </w:r>
    </w:p>
    <w:p>
      <w:pPr>
        <w:bidi w:val="0"/>
        <w:rPr>
          <w:rFonts w:hint="eastAsia"/>
          <w:color w:val="auto"/>
          <w:highlight w:val="none"/>
        </w:rPr>
      </w:pPr>
      <w:r>
        <w:rPr>
          <w:rFonts w:hint="eastAsia"/>
          <w:color w:val="auto"/>
          <w:highlight w:val="none"/>
        </w:rPr>
        <w:t>声环境主要保护对象为拟建项目厂址附近区域。拟建工程在设计、建设时，厂区内合理布局，采用各类减震、防噪措施，确保厂界噪声满足《工业企业厂界环境噪声排放标准》（GB12348-2008）中的</w:t>
      </w:r>
      <w:r>
        <w:rPr>
          <w:rFonts w:hint="eastAsia"/>
          <w:color w:val="auto"/>
          <w:highlight w:val="none"/>
          <w:lang w:val="en-US" w:eastAsia="zh-CN"/>
        </w:rPr>
        <w:t>3</w:t>
      </w:r>
      <w:r>
        <w:rPr>
          <w:rFonts w:hint="eastAsia"/>
          <w:color w:val="auto"/>
          <w:highlight w:val="none"/>
        </w:rPr>
        <w:t>类标准；施工期噪声满足《建设施工场界环境噪声排放标准》（GB12523-2011）中的有关标准的要求。</w:t>
      </w:r>
    </w:p>
    <w:p>
      <w:pPr>
        <w:bidi w:val="0"/>
        <w:rPr>
          <w:rFonts w:hint="eastAsia"/>
          <w:color w:val="auto"/>
          <w:highlight w:val="none"/>
        </w:rPr>
      </w:pPr>
      <w:r>
        <w:rPr>
          <w:rFonts w:hint="eastAsia"/>
          <w:color w:val="auto"/>
          <w:highlight w:val="none"/>
        </w:rPr>
        <w:t>（4）落实项目固体废物综合利用的途径及用量，固体废物的处理和处置满足《一般工业固体废物贮存和填埋污染控制标准》（GB18599-2020）和《危险废物贮存污染控制标准》（GB18597-2023）相关要求。</w:t>
      </w:r>
    </w:p>
    <w:p>
      <w:pPr>
        <w:bidi w:val="0"/>
        <w:rPr>
          <w:rFonts w:hint="eastAsia"/>
          <w:color w:val="auto"/>
          <w:highlight w:val="none"/>
        </w:rPr>
      </w:pPr>
      <w:r>
        <w:rPr>
          <w:rFonts w:hint="eastAsia"/>
          <w:color w:val="auto"/>
          <w:highlight w:val="none"/>
        </w:rPr>
        <w:t>（5）生态保护目标</w:t>
      </w:r>
    </w:p>
    <w:p>
      <w:pPr>
        <w:pStyle w:val="14"/>
        <w:spacing w:line="360" w:lineRule="auto"/>
        <w:ind w:left="0" w:firstLine="480" w:firstLineChars="200"/>
        <w:jc w:val="both"/>
      </w:pPr>
      <w:r>
        <w:rPr>
          <w:rFonts w:hint="eastAsia"/>
          <w:color w:val="auto"/>
          <w:highlight w:val="none"/>
        </w:rPr>
        <w:t>防止对周围植被、土壤和现有土质结构产生破坏性影响，保护项目区周边生态环境质量不因项目的建设受破坏</w:t>
      </w:r>
      <w:r>
        <w:t>。</w:t>
      </w:r>
      <w:r>
        <w:rPr>
          <w:spacing w:val="-5"/>
        </w:rPr>
        <w:t xml:space="preserve">环境敏感目标见表 </w:t>
      </w:r>
      <w:r>
        <w:rPr>
          <w:rFonts w:ascii="Times New Roman" w:eastAsia="Times New Roman"/>
          <w:spacing w:val="-4"/>
        </w:rPr>
        <w:t>2.7-2</w:t>
      </w:r>
      <w:r>
        <w:rPr>
          <w:spacing w:val="-4"/>
        </w:rPr>
        <w:t xml:space="preserve">， </w:t>
      </w:r>
      <w:r>
        <w:rPr>
          <w:spacing w:val="-6"/>
        </w:rPr>
        <w:t xml:space="preserve">敏感目标分布情况见图 </w:t>
      </w:r>
      <w:r>
        <w:rPr>
          <w:rFonts w:ascii="Times New Roman" w:eastAsia="Times New Roman"/>
        </w:rPr>
        <w:t>2.7-1</w:t>
      </w:r>
      <w:r>
        <w:t>。</w:t>
      </w:r>
    </w:p>
    <w:p>
      <w:pPr>
        <w:keepNext w:val="0"/>
        <w:keepLines w:val="0"/>
        <w:pageBreakBefore w:val="0"/>
        <w:widowControl w:val="0"/>
        <w:tabs>
          <w:tab w:val="left" w:pos="4372"/>
        </w:tabs>
        <w:kinsoku/>
        <w:wordWrap/>
        <w:overflowPunct/>
        <w:topLinePunct w:val="0"/>
        <w:autoSpaceDE w:val="0"/>
        <w:autoSpaceDN w:val="0"/>
        <w:bidi w:val="0"/>
        <w:adjustRightInd w:val="0"/>
        <w:snapToGrid w:val="0"/>
        <w:spacing w:before="80"/>
        <w:ind w:left="2852"/>
        <w:jc w:val="left"/>
        <w:textAlignment w:val="auto"/>
        <w:outlineLvl w:val="9"/>
        <w:rPr>
          <w:b/>
          <w:bCs/>
          <w:color w:val="000000" w:themeColor="text1"/>
          <w:sz w:val="21"/>
          <w:szCs w:val="21"/>
        </w:rPr>
      </w:pPr>
      <w:r>
        <w:rPr>
          <w:b/>
          <w:bCs/>
          <w:color w:val="000000" w:themeColor="text1"/>
          <w:sz w:val="21"/>
          <w:szCs w:val="21"/>
        </w:rPr>
        <w:t>表</w:t>
      </w:r>
      <w:r>
        <w:rPr>
          <w:b/>
          <w:bCs/>
          <w:color w:val="000000" w:themeColor="text1"/>
          <w:spacing w:val="-62"/>
          <w:sz w:val="21"/>
          <w:szCs w:val="21"/>
        </w:rPr>
        <w:t xml:space="preserve"> </w:t>
      </w:r>
      <w:r>
        <w:rPr>
          <w:rFonts w:ascii="Times New Roman" w:eastAsia="Times New Roman"/>
          <w:b/>
          <w:bCs/>
          <w:color w:val="000000" w:themeColor="text1"/>
          <w:sz w:val="21"/>
          <w:szCs w:val="21"/>
        </w:rPr>
        <w:t>2.7-2</w:t>
      </w:r>
      <w:r>
        <w:rPr>
          <w:rFonts w:ascii="Times New Roman" w:eastAsia="Times New Roman"/>
          <w:b/>
          <w:bCs/>
          <w:color w:val="000000" w:themeColor="text1"/>
          <w:sz w:val="21"/>
          <w:szCs w:val="21"/>
        </w:rPr>
        <w:tab/>
      </w:r>
      <w:r>
        <w:rPr>
          <w:b/>
          <w:bCs/>
          <w:color w:val="000000" w:themeColor="text1"/>
          <w:sz w:val="21"/>
          <w:szCs w:val="21"/>
        </w:rPr>
        <w:t>环境保护目标一览表</w:t>
      </w:r>
    </w:p>
    <w:tbl>
      <w:tblPr>
        <w:tblStyle w:val="31"/>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8"/>
        <w:gridCol w:w="1318"/>
        <w:gridCol w:w="1643"/>
        <w:gridCol w:w="686"/>
        <w:gridCol w:w="499"/>
        <w:gridCol w:w="1615"/>
        <w:gridCol w:w="781"/>
        <w:gridCol w:w="663"/>
        <w:gridCol w:w="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7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bookmarkStart w:id="83" w:name="2.8_评价总体思路及评价重点"/>
            <w:bookmarkEnd w:id="83"/>
            <w:bookmarkStart w:id="84" w:name="_bookmark13"/>
            <w:bookmarkEnd w:id="84"/>
            <w:bookmarkStart w:id="85" w:name="_Toc7501"/>
            <w:r>
              <w:rPr>
                <w:b/>
                <w:color w:val="000000" w:themeColor="text1"/>
                <w:sz w:val="21"/>
                <w:highlight w:val="none"/>
              </w:rPr>
              <w:t>环境</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b/>
                <w:color w:val="000000" w:themeColor="text1"/>
                <w:sz w:val="21"/>
                <w:highlight w:val="none"/>
              </w:rPr>
              <w:t>要素</w:t>
            </w:r>
          </w:p>
        </w:tc>
        <w:tc>
          <w:tcPr>
            <w:tcW w:w="79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b/>
                <w:color w:val="000000" w:themeColor="text1"/>
                <w:sz w:val="21"/>
                <w:highlight w:val="none"/>
              </w:rPr>
              <w:t>名称</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rFonts w:hint="eastAsia"/>
                <w:b/>
                <w:color w:val="000000" w:themeColor="text1"/>
                <w:sz w:val="21"/>
                <w:highlight w:val="none"/>
              </w:rPr>
              <w:t>坐标</w:t>
            </w:r>
          </w:p>
        </w:tc>
        <w:tc>
          <w:tcPr>
            <w:tcW w:w="41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b/>
                <w:color w:val="000000" w:themeColor="text1"/>
                <w:sz w:val="21"/>
                <w:highlight w:val="none"/>
              </w:rPr>
              <w:t>保护</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b/>
                <w:color w:val="000000" w:themeColor="text1"/>
                <w:sz w:val="21"/>
                <w:highlight w:val="none"/>
              </w:rPr>
              <w:t>对象</w:t>
            </w:r>
          </w:p>
        </w:tc>
        <w:tc>
          <w:tcPr>
            <w:tcW w:w="30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rFonts w:hint="eastAsia"/>
                <w:b/>
                <w:color w:val="000000" w:themeColor="text1"/>
                <w:sz w:val="21"/>
                <w:highlight w:val="none"/>
              </w:rPr>
              <w:t>保护</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rFonts w:hint="eastAsia"/>
                <w:b/>
                <w:color w:val="000000" w:themeColor="text1"/>
                <w:sz w:val="21"/>
                <w:highlight w:val="none"/>
              </w:rPr>
              <w:t>内容</w:t>
            </w:r>
          </w:p>
        </w:tc>
        <w:tc>
          <w:tcPr>
            <w:tcW w:w="97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rFonts w:hint="eastAsia"/>
                <w:b/>
                <w:color w:val="000000" w:themeColor="text1"/>
                <w:sz w:val="21"/>
                <w:highlight w:val="none"/>
              </w:rPr>
              <w:t>环境功能区</w:t>
            </w:r>
          </w:p>
        </w:tc>
        <w:tc>
          <w:tcPr>
            <w:tcW w:w="46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b/>
                <w:color w:val="000000" w:themeColor="text1"/>
                <w:sz w:val="21"/>
                <w:highlight w:val="none"/>
              </w:rPr>
              <w:t>相对场址方位</w:t>
            </w:r>
          </w:p>
        </w:tc>
        <w:tc>
          <w:tcPr>
            <w:tcW w:w="3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b/>
                <w:color w:val="000000" w:themeColor="text1"/>
                <w:spacing w:val="-6"/>
                <w:sz w:val="21"/>
                <w:highlight w:val="none"/>
              </w:rPr>
              <w:t>相对</w:t>
            </w:r>
            <w:r>
              <w:rPr>
                <w:rFonts w:hint="eastAsia"/>
                <w:b/>
                <w:color w:val="000000" w:themeColor="text1"/>
                <w:spacing w:val="-6"/>
                <w:sz w:val="21"/>
                <w:highlight w:val="none"/>
              </w:rPr>
              <w:t>厂界</w:t>
            </w:r>
            <w:r>
              <w:rPr>
                <w:b/>
                <w:color w:val="000000" w:themeColor="text1"/>
                <w:spacing w:val="-6"/>
                <w:w w:val="95"/>
                <w:sz w:val="21"/>
                <w:highlight w:val="none"/>
              </w:rPr>
              <w:t>距离</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b/>
                <w:color w:val="000000" w:themeColor="text1"/>
                <w:sz w:val="21"/>
                <w:highlight w:val="none"/>
              </w:rPr>
            </w:pPr>
            <w:r>
              <w:rPr>
                <w:b/>
                <w:color w:val="000000" w:themeColor="text1"/>
                <w:sz w:val="21"/>
                <w:highlight w:val="none"/>
              </w:rPr>
              <w:t>（</w:t>
            </w:r>
            <w:r>
              <w:rPr>
                <w:rFonts w:ascii="Times New Roman" w:eastAsia="Times New Roman"/>
                <w:b/>
                <w:color w:val="000000" w:themeColor="text1"/>
                <w:sz w:val="21"/>
                <w:highlight w:val="none"/>
              </w:rPr>
              <w:t>m</w:t>
            </w:r>
            <w:r>
              <w:rPr>
                <w:b/>
                <w:color w:val="000000" w:themeColor="text1"/>
                <w:sz w:val="21"/>
                <w:highlight w:val="none"/>
              </w:rPr>
              <w:t>）</w:t>
            </w:r>
          </w:p>
        </w:tc>
        <w:tc>
          <w:tcPr>
            <w:tcW w:w="398"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b/>
                <w:color w:val="000000" w:themeColor="text1"/>
                <w:sz w:val="21"/>
                <w:highlight w:val="none"/>
              </w:rPr>
            </w:pPr>
            <w:r>
              <w:rPr>
                <w:rFonts w:hint="default" w:ascii="Times New Roman" w:hAnsi="Times New Roman" w:eastAsia="宋体" w:cs="Times New Roman"/>
                <w:color w:val="auto"/>
                <w:spacing w:val="-2"/>
                <w:sz w:val="21"/>
                <w:szCs w:val="21"/>
                <w:highlight w:val="none"/>
              </w:rPr>
              <w:t>涉及人口</w:t>
            </w:r>
            <w:r>
              <w:rPr>
                <w:rFonts w:hint="default" w:ascii="Times New Roman" w:hAnsi="Times New Roman" w:eastAsia="宋体" w:cs="Times New Roman"/>
                <w:color w:val="auto"/>
                <w:spacing w:val="-3"/>
                <w:sz w:val="21"/>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70"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大气环境</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cs="Times New Roman"/>
                <w:color w:val="000000" w:themeColor="text1"/>
                <w:sz w:val="21"/>
                <w:highlight w:val="none"/>
              </w:rPr>
            </w:pPr>
            <w:r>
              <w:rPr>
                <w:rFonts w:hint="eastAsia" w:cs="Times New Roman"/>
                <w:color w:val="auto"/>
                <w:kern w:val="2"/>
                <w:sz w:val="21"/>
                <w:szCs w:val="21"/>
                <w:highlight w:val="none"/>
                <w:lang w:val="en-US" w:eastAsia="zh-CN" w:bidi="ar-SA"/>
              </w:rPr>
              <w:t>南园社区</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E</w:t>
            </w:r>
            <w:r>
              <w:rPr>
                <w:rFonts w:hint="eastAsia" w:eastAsia="宋体"/>
                <w:color w:val="000000" w:themeColor="text1"/>
                <w:sz w:val="21"/>
                <w:szCs w:val="21"/>
                <w:highlight w:val="none"/>
                <w:lang w:val="en-US" w:eastAsia="zh-CN"/>
              </w:rPr>
              <w:t>83</w:t>
            </w:r>
            <w:r>
              <w:rPr>
                <w:rFonts w:ascii="Times New Roman" w:hAnsi="Times New Roman" w:eastAsia="Times New Roman"/>
                <w:color w:val="000000" w:themeColor="text1"/>
                <w:sz w:val="21"/>
                <w:szCs w:val="21"/>
                <w:highlight w:val="none"/>
              </w:rPr>
              <w:t>°</w:t>
            </w:r>
            <w:r>
              <w:rPr>
                <w:rFonts w:hint="eastAsia" w:ascii="Times New Roman" w:hAnsi="Times New Roman"/>
                <w:color w:val="000000" w:themeColor="text1"/>
                <w:sz w:val="21"/>
                <w:szCs w:val="21"/>
                <w:highlight w:val="none"/>
                <w:lang w:val="en-US" w:eastAsia="zh-CN"/>
              </w:rPr>
              <w:t>39</w:t>
            </w:r>
            <w:r>
              <w:rPr>
                <w:rFonts w:ascii="Times New Roman" w:hAnsi="Times New Roman" w:eastAsia="Times New Roman"/>
                <w:color w:val="000000" w:themeColor="text1"/>
                <w:sz w:val="21"/>
                <w:szCs w:val="21"/>
                <w:highlight w:val="none"/>
              </w:rPr>
              <w:t>'</w:t>
            </w:r>
            <w:r>
              <w:rPr>
                <w:rFonts w:hint="eastAsia"/>
                <w:color w:val="000000" w:themeColor="text1"/>
                <w:sz w:val="21"/>
                <w:szCs w:val="21"/>
                <w:highlight w:val="none"/>
                <w:lang w:val="en-US" w:eastAsia="zh-CN"/>
              </w:rPr>
              <w:t>52.81</w:t>
            </w:r>
            <w:r>
              <w:rPr>
                <w:rFonts w:ascii="Times New Roman" w:hAnsi="Times New Roman" w:eastAsia="Times New Roman"/>
                <w:color w:val="000000" w:themeColor="text1"/>
                <w:sz w:val="21"/>
                <w:szCs w:val="21"/>
                <w:highlight w:val="none"/>
              </w:rPr>
              <w:t>"</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eastAsia="Times New Roman"/>
                <w:color w:val="000000" w:themeColor="text1"/>
                <w:sz w:val="21"/>
                <w:szCs w:val="21"/>
                <w:highlight w:val="none"/>
              </w:rPr>
              <w:t>N</w:t>
            </w:r>
            <w:r>
              <w:rPr>
                <w:rFonts w:hint="eastAsia" w:ascii="Times New Roman" w:hAnsi="Times New Roman"/>
                <w:color w:val="000000" w:themeColor="text1"/>
                <w:sz w:val="21"/>
                <w:szCs w:val="21"/>
                <w:highlight w:val="none"/>
                <w:lang w:val="en-US"/>
              </w:rPr>
              <w:t>4</w:t>
            </w:r>
            <w:r>
              <w:rPr>
                <w:rFonts w:hint="eastAsia"/>
                <w:color w:val="000000" w:themeColor="text1"/>
                <w:sz w:val="21"/>
                <w:szCs w:val="21"/>
                <w:highlight w:val="none"/>
                <w:lang w:val="en-US" w:eastAsia="zh-CN"/>
              </w:rPr>
              <w:t>6</w:t>
            </w:r>
            <w:r>
              <w:rPr>
                <w:rFonts w:ascii="Times New Roman" w:hAnsi="Times New Roman" w:eastAsia="Times New Roman"/>
                <w:color w:val="000000" w:themeColor="text1"/>
                <w:sz w:val="21"/>
                <w:szCs w:val="21"/>
                <w:highlight w:val="none"/>
              </w:rPr>
              <w:t>°</w:t>
            </w:r>
            <w:r>
              <w:rPr>
                <w:rFonts w:hint="eastAsia" w:eastAsia="宋体"/>
                <w:color w:val="000000" w:themeColor="text1"/>
                <w:sz w:val="21"/>
                <w:szCs w:val="21"/>
                <w:highlight w:val="none"/>
                <w:lang w:val="en-US" w:eastAsia="zh-CN"/>
              </w:rPr>
              <w:t>30</w:t>
            </w:r>
            <w:r>
              <w:rPr>
                <w:rFonts w:ascii="Times New Roman" w:hAnsi="Times New Roman" w:eastAsia="Times New Roman"/>
                <w:color w:val="000000" w:themeColor="text1"/>
                <w:sz w:val="21"/>
                <w:szCs w:val="21"/>
                <w:highlight w:val="none"/>
              </w:rPr>
              <w:t>'</w:t>
            </w:r>
            <w:r>
              <w:rPr>
                <w:rFonts w:hint="eastAsia" w:eastAsia="宋体"/>
                <w:color w:val="000000" w:themeColor="text1"/>
                <w:sz w:val="21"/>
                <w:szCs w:val="21"/>
                <w:highlight w:val="none"/>
                <w:lang w:val="en-US" w:eastAsia="zh-CN"/>
              </w:rPr>
              <w:t>19.36</w:t>
            </w:r>
            <w:r>
              <w:rPr>
                <w:rFonts w:ascii="Times New Roman" w:hAnsi="Times New Roman" w:eastAsia="Times New Roman"/>
                <w:color w:val="000000" w:themeColor="text1"/>
                <w:sz w:val="21"/>
                <w:szCs w:val="21"/>
                <w:highlight w:val="none"/>
              </w:rPr>
              <w:t>"</w:t>
            </w:r>
          </w:p>
        </w:tc>
        <w:tc>
          <w:tcPr>
            <w:tcW w:w="41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cs="Times New Roman"/>
                <w:color w:val="000000" w:themeColor="text1"/>
                <w:sz w:val="21"/>
                <w:highlight w:val="none"/>
              </w:rPr>
            </w:pPr>
            <w:r>
              <w:rPr>
                <w:rFonts w:hint="eastAsia" w:cs="Times New Roman"/>
                <w:color w:val="auto"/>
                <w:kern w:val="2"/>
                <w:sz w:val="21"/>
                <w:szCs w:val="21"/>
                <w:highlight w:val="none"/>
                <w:lang w:val="en-US" w:eastAsia="zh-CN" w:bidi="ar-SA"/>
              </w:rPr>
              <w:t>居民区</w:t>
            </w:r>
          </w:p>
        </w:tc>
        <w:tc>
          <w:tcPr>
            <w:tcW w:w="30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cs="Times New Roman"/>
                <w:color w:val="000000" w:themeColor="text1"/>
                <w:sz w:val="21"/>
                <w:highlight w:val="none"/>
                <w:lang w:val="en-US"/>
              </w:rPr>
            </w:pPr>
            <w:r>
              <w:rPr>
                <w:rFonts w:hint="eastAsia" w:cs="Times New Roman"/>
                <w:color w:val="auto"/>
                <w:spacing w:val="-3"/>
                <w:sz w:val="21"/>
                <w:szCs w:val="21"/>
                <w:highlight w:val="none"/>
                <w:lang w:eastAsia="zh-CN"/>
              </w:rPr>
              <w:t>居民</w:t>
            </w:r>
          </w:p>
        </w:tc>
        <w:tc>
          <w:tcPr>
            <w:tcW w:w="970" w:type="pct"/>
            <w:vMerge w:val="restar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《环境空气质量标准》（GB3095-2012）二级标准</w:t>
            </w:r>
          </w:p>
        </w:tc>
        <w:tc>
          <w:tcPr>
            <w:tcW w:w="78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highlight w:val="none"/>
                <w:lang w:eastAsia="zh-CN"/>
              </w:rPr>
            </w:pPr>
            <w:r>
              <w:rPr>
                <w:rFonts w:hint="eastAsia" w:cs="Times New Roman"/>
                <w:color w:val="auto"/>
                <w:sz w:val="21"/>
                <w:szCs w:val="21"/>
                <w:highlight w:val="none"/>
                <w:lang w:eastAsia="zh-CN"/>
              </w:rPr>
              <w:t>东南</w:t>
            </w:r>
          </w:p>
        </w:tc>
        <w:tc>
          <w:tcPr>
            <w:tcW w:w="6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cs="Times New Roman"/>
                <w:color w:val="000000" w:themeColor="text1"/>
                <w:sz w:val="21"/>
                <w:highlight w:val="none"/>
              </w:rPr>
            </w:pPr>
            <w:r>
              <w:rPr>
                <w:rFonts w:hint="eastAsia" w:cs="Times New Roman"/>
                <w:color w:val="auto"/>
                <w:spacing w:val="-3"/>
                <w:sz w:val="21"/>
                <w:szCs w:val="21"/>
                <w:highlight w:val="none"/>
                <w:lang w:val="en-US" w:eastAsia="zh-CN"/>
              </w:rPr>
              <w:t>250</w:t>
            </w:r>
          </w:p>
        </w:tc>
        <w:tc>
          <w:tcPr>
            <w:tcW w:w="398"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eastAsia="zh-CN"/>
              </w:rPr>
            </w:pPr>
            <w:r>
              <w:rPr>
                <w:rFonts w:hint="eastAsia" w:cs="Times New Roman"/>
                <w:color w:val="auto"/>
                <w:spacing w:val="-7"/>
                <w:sz w:val="21"/>
                <w:szCs w:val="21"/>
                <w:highlight w:val="none"/>
                <w:lang w:val="en-US" w:eastAsia="zh-CN"/>
              </w:rPr>
              <w:t>500</w:t>
            </w:r>
            <w:r>
              <w:rPr>
                <w:rFonts w:hint="default" w:ascii="Times New Roman" w:hAnsi="Times New Roman" w:eastAsia="宋体" w:cs="Times New Roman"/>
                <w:color w:val="auto"/>
                <w:spacing w:val="-7"/>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7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eastAsia="zh-CN"/>
              </w:rPr>
            </w:pPr>
            <w:r>
              <w:rPr>
                <w:rFonts w:hint="eastAsia" w:cs="Times New Roman"/>
                <w:color w:val="auto"/>
                <w:kern w:val="2"/>
                <w:sz w:val="21"/>
                <w:szCs w:val="21"/>
                <w:highlight w:val="none"/>
                <w:lang w:val="en-US" w:eastAsia="zh-CN" w:bidi="ar-SA"/>
              </w:rPr>
              <w:t>阿克苏村</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E</w:t>
            </w:r>
            <w:r>
              <w:rPr>
                <w:rFonts w:hint="eastAsia" w:eastAsia="宋体"/>
                <w:color w:val="000000" w:themeColor="text1"/>
                <w:sz w:val="21"/>
                <w:szCs w:val="21"/>
                <w:highlight w:val="none"/>
                <w:lang w:val="en-US" w:eastAsia="zh-CN"/>
              </w:rPr>
              <w:t>83</w:t>
            </w:r>
            <w:r>
              <w:rPr>
                <w:rFonts w:ascii="Times New Roman" w:hAnsi="Times New Roman" w:eastAsia="Times New Roman"/>
                <w:color w:val="000000" w:themeColor="text1"/>
                <w:sz w:val="21"/>
                <w:szCs w:val="21"/>
                <w:highlight w:val="none"/>
              </w:rPr>
              <w:t>°</w:t>
            </w:r>
            <w:r>
              <w:rPr>
                <w:rFonts w:hint="eastAsia" w:ascii="Times New Roman" w:hAnsi="Times New Roman"/>
                <w:color w:val="000000" w:themeColor="text1"/>
                <w:sz w:val="21"/>
                <w:szCs w:val="21"/>
                <w:highlight w:val="none"/>
                <w:lang w:val="en-US" w:eastAsia="zh-CN"/>
              </w:rPr>
              <w:t>40</w:t>
            </w:r>
            <w:r>
              <w:rPr>
                <w:rFonts w:ascii="Times New Roman" w:hAnsi="Times New Roman" w:eastAsia="Times New Roman"/>
                <w:color w:val="000000" w:themeColor="text1"/>
                <w:sz w:val="21"/>
                <w:szCs w:val="21"/>
                <w:highlight w:val="none"/>
              </w:rPr>
              <w:t>'</w:t>
            </w:r>
            <w:r>
              <w:rPr>
                <w:rFonts w:hint="eastAsia" w:ascii="Times New Roman" w:hAnsi="Times New Roman" w:eastAsia="宋体"/>
                <w:color w:val="000000" w:themeColor="text1"/>
                <w:sz w:val="21"/>
                <w:szCs w:val="21"/>
                <w:highlight w:val="none"/>
                <w:lang w:val="en-US" w:eastAsia="zh-CN"/>
              </w:rPr>
              <w:t>02.85</w:t>
            </w:r>
            <w:r>
              <w:rPr>
                <w:rFonts w:ascii="Times New Roman" w:hAnsi="Times New Roman" w:eastAsia="Times New Roman"/>
                <w:color w:val="000000" w:themeColor="text1"/>
                <w:sz w:val="21"/>
                <w:szCs w:val="21"/>
                <w:highlight w:val="none"/>
              </w:rPr>
              <w:t>"</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N</w:t>
            </w:r>
            <w:r>
              <w:rPr>
                <w:rFonts w:hint="eastAsia" w:ascii="Times New Roman" w:hAnsi="Times New Roman"/>
                <w:color w:val="000000" w:themeColor="text1"/>
                <w:sz w:val="21"/>
                <w:szCs w:val="21"/>
                <w:highlight w:val="none"/>
                <w:lang w:val="en-US"/>
              </w:rPr>
              <w:t>4</w:t>
            </w:r>
            <w:r>
              <w:rPr>
                <w:rFonts w:hint="eastAsia"/>
                <w:color w:val="000000" w:themeColor="text1"/>
                <w:sz w:val="21"/>
                <w:szCs w:val="21"/>
                <w:highlight w:val="none"/>
                <w:lang w:val="en-US" w:eastAsia="zh-CN"/>
              </w:rPr>
              <w:t>6</w:t>
            </w:r>
            <w:r>
              <w:rPr>
                <w:rFonts w:ascii="Times New Roman" w:hAnsi="Times New Roman" w:eastAsia="Times New Roman"/>
                <w:color w:val="000000" w:themeColor="text1"/>
                <w:sz w:val="21"/>
                <w:szCs w:val="21"/>
                <w:highlight w:val="none"/>
              </w:rPr>
              <w:t>°</w:t>
            </w:r>
            <w:r>
              <w:rPr>
                <w:rFonts w:hint="eastAsia"/>
                <w:color w:val="000000" w:themeColor="text1"/>
                <w:sz w:val="21"/>
                <w:szCs w:val="21"/>
                <w:highlight w:val="none"/>
                <w:lang w:val="en-US" w:eastAsia="zh-CN"/>
              </w:rPr>
              <w:t>29</w:t>
            </w:r>
            <w:r>
              <w:rPr>
                <w:rFonts w:ascii="Times New Roman" w:hAnsi="Times New Roman" w:eastAsia="Times New Roman"/>
                <w:color w:val="000000" w:themeColor="text1"/>
                <w:sz w:val="21"/>
                <w:szCs w:val="21"/>
                <w:highlight w:val="none"/>
              </w:rPr>
              <w:t>'</w:t>
            </w:r>
            <w:r>
              <w:rPr>
                <w:rFonts w:hint="eastAsia" w:ascii="Times New Roman" w:hAnsi="Times New Roman" w:eastAsia="宋体"/>
                <w:color w:val="000000" w:themeColor="text1"/>
                <w:sz w:val="21"/>
                <w:szCs w:val="21"/>
                <w:highlight w:val="none"/>
                <w:lang w:val="en-US" w:eastAsia="zh-CN"/>
              </w:rPr>
              <w:t>47.34</w:t>
            </w:r>
            <w:r>
              <w:rPr>
                <w:rFonts w:ascii="Times New Roman" w:hAnsi="Times New Roman" w:eastAsia="Times New Roman"/>
                <w:color w:val="000000" w:themeColor="text1"/>
                <w:sz w:val="21"/>
                <w:szCs w:val="21"/>
                <w:highlight w:val="none"/>
              </w:rPr>
              <w:t>"</w:t>
            </w:r>
          </w:p>
        </w:tc>
        <w:tc>
          <w:tcPr>
            <w:tcW w:w="41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cs="Times New Roman"/>
                <w:color w:val="000000" w:themeColor="text1"/>
                <w:sz w:val="21"/>
                <w:highlight w:val="none"/>
              </w:rPr>
            </w:pPr>
            <w:r>
              <w:rPr>
                <w:rFonts w:hint="eastAsia" w:cs="Times New Roman"/>
                <w:color w:val="auto"/>
                <w:kern w:val="2"/>
                <w:sz w:val="21"/>
                <w:szCs w:val="21"/>
                <w:highlight w:val="none"/>
                <w:lang w:val="en-US" w:eastAsia="zh-CN" w:bidi="ar-SA"/>
              </w:rPr>
              <w:t>居民区</w:t>
            </w:r>
          </w:p>
        </w:tc>
        <w:tc>
          <w:tcPr>
            <w:tcW w:w="30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rPr>
            </w:pPr>
            <w:r>
              <w:rPr>
                <w:rFonts w:hint="eastAsia" w:cs="Times New Roman"/>
                <w:color w:val="auto"/>
                <w:spacing w:val="-3"/>
                <w:sz w:val="21"/>
                <w:szCs w:val="21"/>
                <w:highlight w:val="none"/>
                <w:lang w:eastAsia="zh-CN"/>
              </w:rPr>
              <w:t>居民</w:t>
            </w:r>
          </w:p>
        </w:tc>
        <w:tc>
          <w:tcPr>
            <w:tcW w:w="97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p>
        </w:tc>
        <w:tc>
          <w:tcPr>
            <w:tcW w:w="78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highlight w:val="none"/>
                <w:lang w:eastAsia="zh-CN"/>
              </w:rPr>
            </w:pPr>
            <w:r>
              <w:rPr>
                <w:rFonts w:hint="eastAsia" w:cs="Times New Roman"/>
                <w:color w:val="auto"/>
                <w:sz w:val="21"/>
                <w:szCs w:val="21"/>
                <w:highlight w:val="none"/>
                <w:lang w:val="en-US" w:eastAsia="zh-CN"/>
              </w:rPr>
              <w:t>南</w:t>
            </w:r>
          </w:p>
        </w:tc>
        <w:tc>
          <w:tcPr>
            <w:tcW w:w="6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highlight w:val="none"/>
                <w:lang w:val="en-US" w:eastAsia="zh-CN"/>
              </w:rPr>
            </w:pPr>
            <w:r>
              <w:rPr>
                <w:rFonts w:hint="eastAsia" w:cs="Times New Roman"/>
                <w:color w:val="auto"/>
                <w:spacing w:val="-4"/>
                <w:sz w:val="21"/>
                <w:szCs w:val="21"/>
                <w:highlight w:val="none"/>
                <w:lang w:val="en-US" w:eastAsia="zh-CN"/>
              </w:rPr>
              <w:t>1288</w:t>
            </w:r>
          </w:p>
        </w:tc>
        <w:tc>
          <w:tcPr>
            <w:tcW w:w="398"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eastAsia="zh-CN"/>
              </w:rPr>
            </w:pPr>
            <w:r>
              <w:rPr>
                <w:rFonts w:hint="eastAsia" w:cs="Times New Roman"/>
                <w:color w:val="auto"/>
                <w:spacing w:val="-6"/>
                <w:sz w:val="21"/>
                <w:szCs w:val="21"/>
                <w:highlight w:val="none"/>
                <w:lang w:val="en-US" w:eastAsia="zh-CN"/>
              </w:rPr>
              <w:t>1000</w:t>
            </w:r>
            <w:r>
              <w:rPr>
                <w:rFonts w:hint="default" w:ascii="Times New Roman" w:hAnsi="Times New Roman" w:eastAsia="宋体" w:cs="Times New Roman"/>
                <w:color w:val="auto"/>
                <w:spacing w:val="-6"/>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7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eastAsia="zh-CN"/>
              </w:rPr>
            </w:pPr>
            <w:r>
              <w:rPr>
                <w:rFonts w:hint="eastAsia" w:cs="Times New Roman"/>
                <w:color w:val="auto"/>
                <w:spacing w:val="-2"/>
                <w:kern w:val="2"/>
                <w:sz w:val="21"/>
                <w:szCs w:val="21"/>
                <w:highlight w:val="none"/>
                <w:lang w:val="en-US" w:eastAsia="zh-CN" w:bidi="ar-SA"/>
              </w:rPr>
              <w:t>糖厂家属院</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E</w:t>
            </w:r>
            <w:r>
              <w:rPr>
                <w:rFonts w:hint="eastAsia" w:eastAsia="宋体"/>
                <w:color w:val="000000" w:themeColor="text1"/>
                <w:sz w:val="21"/>
                <w:szCs w:val="21"/>
                <w:highlight w:val="none"/>
                <w:lang w:val="en-US" w:eastAsia="zh-CN"/>
              </w:rPr>
              <w:t>83</w:t>
            </w:r>
            <w:r>
              <w:rPr>
                <w:rFonts w:ascii="Times New Roman" w:hAnsi="Times New Roman" w:eastAsia="Times New Roman"/>
                <w:color w:val="000000" w:themeColor="text1"/>
                <w:sz w:val="21"/>
                <w:szCs w:val="21"/>
                <w:highlight w:val="none"/>
              </w:rPr>
              <w:t>°</w:t>
            </w:r>
            <w:r>
              <w:rPr>
                <w:rFonts w:hint="eastAsia" w:ascii="Times New Roman" w:hAnsi="Times New Roman"/>
                <w:color w:val="000000" w:themeColor="text1"/>
                <w:sz w:val="21"/>
                <w:szCs w:val="21"/>
                <w:highlight w:val="none"/>
                <w:lang w:val="en-US" w:eastAsia="zh-CN"/>
              </w:rPr>
              <w:t>39</w:t>
            </w:r>
            <w:r>
              <w:rPr>
                <w:rFonts w:ascii="Times New Roman" w:hAnsi="Times New Roman" w:eastAsia="Times New Roman"/>
                <w:color w:val="000000" w:themeColor="text1"/>
                <w:sz w:val="21"/>
                <w:szCs w:val="21"/>
                <w:highlight w:val="none"/>
              </w:rPr>
              <w:t>'</w:t>
            </w:r>
            <w:r>
              <w:rPr>
                <w:rFonts w:hint="eastAsia"/>
                <w:color w:val="000000" w:themeColor="text1"/>
                <w:sz w:val="21"/>
                <w:szCs w:val="21"/>
                <w:highlight w:val="none"/>
                <w:lang w:val="en-US" w:eastAsia="zh-CN"/>
              </w:rPr>
              <w:t>42.34</w:t>
            </w:r>
            <w:r>
              <w:rPr>
                <w:rFonts w:ascii="Times New Roman" w:hAnsi="Times New Roman" w:eastAsia="Times New Roman"/>
                <w:color w:val="000000" w:themeColor="text1"/>
                <w:sz w:val="21"/>
                <w:szCs w:val="21"/>
                <w:highlight w:val="none"/>
              </w:rPr>
              <w:t>"</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N</w:t>
            </w:r>
            <w:r>
              <w:rPr>
                <w:rFonts w:hint="eastAsia" w:ascii="Times New Roman" w:hAnsi="Times New Roman"/>
                <w:color w:val="000000" w:themeColor="text1"/>
                <w:sz w:val="21"/>
                <w:szCs w:val="21"/>
                <w:highlight w:val="none"/>
                <w:lang w:val="en-US"/>
              </w:rPr>
              <w:t>4</w:t>
            </w:r>
            <w:r>
              <w:rPr>
                <w:rFonts w:hint="eastAsia"/>
                <w:color w:val="000000" w:themeColor="text1"/>
                <w:sz w:val="21"/>
                <w:szCs w:val="21"/>
                <w:highlight w:val="none"/>
                <w:lang w:val="en-US" w:eastAsia="zh-CN"/>
              </w:rPr>
              <w:t>6</w:t>
            </w:r>
            <w:r>
              <w:rPr>
                <w:rFonts w:ascii="Times New Roman" w:hAnsi="Times New Roman" w:eastAsia="Times New Roman"/>
                <w:color w:val="000000" w:themeColor="text1"/>
                <w:sz w:val="21"/>
                <w:szCs w:val="21"/>
                <w:highlight w:val="none"/>
              </w:rPr>
              <w:t>°</w:t>
            </w:r>
            <w:r>
              <w:rPr>
                <w:rFonts w:hint="eastAsia" w:eastAsia="宋体"/>
                <w:color w:val="000000" w:themeColor="text1"/>
                <w:sz w:val="21"/>
                <w:szCs w:val="21"/>
                <w:highlight w:val="none"/>
                <w:lang w:val="en-US" w:eastAsia="zh-CN"/>
              </w:rPr>
              <w:t>30</w:t>
            </w:r>
            <w:r>
              <w:rPr>
                <w:rFonts w:ascii="Times New Roman" w:hAnsi="Times New Roman" w:eastAsia="Times New Roman"/>
                <w:color w:val="000000" w:themeColor="text1"/>
                <w:sz w:val="21"/>
                <w:szCs w:val="21"/>
                <w:highlight w:val="none"/>
              </w:rPr>
              <w:t>'</w:t>
            </w:r>
            <w:r>
              <w:rPr>
                <w:rFonts w:hint="eastAsia"/>
                <w:color w:val="000000" w:themeColor="text1"/>
                <w:sz w:val="21"/>
                <w:szCs w:val="21"/>
                <w:highlight w:val="none"/>
                <w:lang w:val="en-US" w:eastAsia="zh-CN"/>
              </w:rPr>
              <w:t>34.74</w:t>
            </w:r>
            <w:r>
              <w:rPr>
                <w:rFonts w:ascii="Times New Roman" w:hAnsi="Times New Roman" w:eastAsia="Times New Roman"/>
                <w:color w:val="000000" w:themeColor="text1"/>
                <w:sz w:val="21"/>
                <w:szCs w:val="21"/>
                <w:highlight w:val="none"/>
              </w:rPr>
              <w:t>"</w:t>
            </w:r>
          </w:p>
        </w:tc>
        <w:tc>
          <w:tcPr>
            <w:tcW w:w="41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cs="Times New Roman"/>
                <w:color w:val="000000" w:themeColor="text1"/>
                <w:sz w:val="21"/>
                <w:highlight w:val="none"/>
              </w:rPr>
            </w:pPr>
            <w:r>
              <w:rPr>
                <w:rFonts w:hint="eastAsia" w:cs="Times New Roman"/>
                <w:color w:val="auto"/>
                <w:kern w:val="2"/>
                <w:sz w:val="21"/>
                <w:szCs w:val="21"/>
                <w:highlight w:val="none"/>
                <w:lang w:val="en-US" w:eastAsia="zh-CN" w:bidi="ar-SA"/>
              </w:rPr>
              <w:t>居民区</w:t>
            </w:r>
          </w:p>
        </w:tc>
        <w:tc>
          <w:tcPr>
            <w:tcW w:w="30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rPr>
            </w:pPr>
            <w:r>
              <w:rPr>
                <w:rFonts w:hint="eastAsia" w:cs="Times New Roman"/>
                <w:color w:val="auto"/>
                <w:spacing w:val="-3"/>
                <w:sz w:val="21"/>
                <w:szCs w:val="21"/>
                <w:highlight w:val="none"/>
                <w:lang w:eastAsia="zh-CN"/>
              </w:rPr>
              <w:t>居民</w:t>
            </w:r>
          </w:p>
        </w:tc>
        <w:tc>
          <w:tcPr>
            <w:tcW w:w="97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p>
        </w:tc>
        <w:tc>
          <w:tcPr>
            <w:tcW w:w="78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sz w:val="21"/>
                <w:highlight w:val="none"/>
                <w:lang w:eastAsia="zh-CN"/>
              </w:rPr>
            </w:pPr>
            <w:r>
              <w:rPr>
                <w:rFonts w:hint="eastAsia" w:cs="Times New Roman"/>
                <w:color w:val="auto"/>
                <w:spacing w:val="-2"/>
                <w:sz w:val="21"/>
                <w:szCs w:val="21"/>
                <w:highlight w:val="none"/>
                <w:lang w:eastAsia="zh-CN"/>
              </w:rPr>
              <w:t>西</w:t>
            </w:r>
          </w:p>
        </w:tc>
        <w:tc>
          <w:tcPr>
            <w:tcW w:w="6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highlight w:val="none"/>
                <w:lang w:val="en-US" w:eastAsia="zh-CN"/>
              </w:rPr>
            </w:pPr>
            <w:r>
              <w:rPr>
                <w:rFonts w:hint="eastAsia" w:cs="Times New Roman"/>
                <w:color w:val="auto"/>
                <w:spacing w:val="-2"/>
                <w:sz w:val="21"/>
                <w:szCs w:val="21"/>
                <w:highlight w:val="none"/>
                <w:lang w:val="en-US" w:eastAsia="zh-CN"/>
              </w:rPr>
              <w:t>324</w:t>
            </w:r>
          </w:p>
        </w:tc>
        <w:tc>
          <w:tcPr>
            <w:tcW w:w="398"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eastAsia="zh-CN"/>
              </w:rPr>
            </w:pPr>
            <w:r>
              <w:rPr>
                <w:rFonts w:hint="default" w:ascii="Times New Roman" w:hAnsi="Times New Roman" w:eastAsia="宋体" w:cs="Times New Roman"/>
                <w:color w:val="auto"/>
                <w:sz w:val="21"/>
                <w:szCs w:val="21"/>
                <w:highlight w:val="none"/>
              </w:rPr>
              <w:t>200人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7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eastAsia="zh-CN"/>
              </w:rPr>
            </w:pPr>
            <w:r>
              <w:rPr>
                <w:rFonts w:hint="eastAsia" w:cs="Times New Roman"/>
                <w:color w:val="auto"/>
                <w:spacing w:val="-2"/>
                <w:kern w:val="2"/>
                <w:sz w:val="21"/>
                <w:szCs w:val="21"/>
                <w:highlight w:val="none"/>
                <w:lang w:val="en-US" w:eastAsia="zh-CN" w:bidi="ar-SA"/>
              </w:rPr>
              <w:t>糖厂小学</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E</w:t>
            </w:r>
            <w:r>
              <w:rPr>
                <w:rFonts w:hint="eastAsia" w:eastAsia="宋体"/>
                <w:color w:val="000000" w:themeColor="text1"/>
                <w:sz w:val="21"/>
                <w:szCs w:val="21"/>
                <w:highlight w:val="none"/>
                <w:lang w:val="en-US" w:eastAsia="zh-CN"/>
              </w:rPr>
              <w:t>83</w:t>
            </w:r>
            <w:r>
              <w:rPr>
                <w:rFonts w:ascii="Times New Roman" w:hAnsi="Times New Roman" w:eastAsia="Times New Roman"/>
                <w:color w:val="000000" w:themeColor="text1"/>
                <w:sz w:val="21"/>
                <w:szCs w:val="21"/>
                <w:highlight w:val="none"/>
              </w:rPr>
              <w:t>°</w:t>
            </w:r>
            <w:r>
              <w:rPr>
                <w:rFonts w:hint="eastAsia" w:ascii="Times New Roman" w:hAnsi="Times New Roman"/>
                <w:color w:val="000000" w:themeColor="text1"/>
                <w:sz w:val="21"/>
                <w:szCs w:val="21"/>
                <w:highlight w:val="none"/>
                <w:lang w:val="en-US" w:eastAsia="zh-CN"/>
              </w:rPr>
              <w:t>39</w:t>
            </w:r>
            <w:r>
              <w:rPr>
                <w:rFonts w:ascii="Times New Roman" w:hAnsi="Times New Roman" w:eastAsia="Times New Roman"/>
                <w:color w:val="000000" w:themeColor="text1"/>
                <w:sz w:val="21"/>
                <w:szCs w:val="21"/>
                <w:highlight w:val="none"/>
              </w:rPr>
              <w:t>'</w:t>
            </w:r>
            <w:r>
              <w:rPr>
                <w:rFonts w:hint="eastAsia"/>
                <w:color w:val="000000" w:themeColor="text1"/>
                <w:sz w:val="21"/>
                <w:szCs w:val="21"/>
                <w:highlight w:val="none"/>
                <w:lang w:val="en-US" w:eastAsia="zh-CN"/>
              </w:rPr>
              <w:t>36.86</w:t>
            </w:r>
            <w:r>
              <w:rPr>
                <w:rFonts w:ascii="Times New Roman" w:hAnsi="Times New Roman" w:eastAsia="Times New Roman"/>
                <w:color w:val="000000" w:themeColor="text1"/>
                <w:sz w:val="21"/>
                <w:szCs w:val="21"/>
                <w:highlight w:val="none"/>
              </w:rPr>
              <w:t>"</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N</w:t>
            </w:r>
            <w:r>
              <w:rPr>
                <w:rFonts w:hint="eastAsia" w:ascii="Times New Roman" w:hAnsi="Times New Roman"/>
                <w:color w:val="000000" w:themeColor="text1"/>
                <w:sz w:val="21"/>
                <w:szCs w:val="21"/>
                <w:highlight w:val="none"/>
                <w:lang w:val="en-US"/>
              </w:rPr>
              <w:t>4</w:t>
            </w:r>
            <w:r>
              <w:rPr>
                <w:rFonts w:hint="eastAsia"/>
                <w:color w:val="000000" w:themeColor="text1"/>
                <w:sz w:val="21"/>
                <w:szCs w:val="21"/>
                <w:highlight w:val="none"/>
                <w:lang w:val="en-US" w:eastAsia="zh-CN"/>
              </w:rPr>
              <w:t>6</w:t>
            </w:r>
            <w:r>
              <w:rPr>
                <w:rFonts w:ascii="Times New Roman" w:hAnsi="Times New Roman" w:eastAsia="Times New Roman"/>
                <w:color w:val="000000" w:themeColor="text1"/>
                <w:sz w:val="21"/>
                <w:szCs w:val="21"/>
                <w:highlight w:val="none"/>
              </w:rPr>
              <w:t>°</w:t>
            </w:r>
            <w:r>
              <w:rPr>
                <w:rFonts w:hint="eastAsia" w:eastAsia="宋体"/>
                <w:color w:val="000000" w:themeColor="text1"/>
                <w:sz w:val="21"/>
                <w:szCs w:val="21"/>
                <w:highlight w:val="none"/>
                <w:lang w:val="en-US" w:eastAsia="zh-CN"/>
              </w:rPr>
              <w:t>30</w:t>
            </w:r>
            <w:r>
              <w:rPr>
                <w:rFonts w:ascii="Times New Roman" w:hAnsi="Times New Roman" w:eastAsia="Times New Roman"/>
                <w:color w:val="000000" w:themeColor="text1"/>
                <w:sz w:val="21"/>
                <w:szCs w:val="21"/>
                <w:highlight w:val="none"/>
              </w:rPr>
              <w:t>'</w:t>
            </w:r>
            <w:r>
              <w:rPr>
                <w:rFonts w:hint="eastAsia"/>
                <w:color w:val="000000" w:themeColor="text1"/>
                <w:sz w:val="21"/>
                <w:szCs w:val="21"/>
                <w:highlight w:val="none"/>
                <w:lang w:val="en-US" w:eastAsia="zh-CN"/>
              </w:rPr>
              <w:t>30.22</w:t>
            </w:r>
            <w:r>
              <w:rPr>
                <w:rFonts w:ascii="Times New Roman" w:hAnsi="Times New Roman" w:eastAsia="Times New Roman"/>
                <w:color w:val="000000" w:themeColor="text1"/>
                <w:sz w:val="21"/>
                <w:szCs w:val="21"/>
                <w:highlight w:val="none"/>
              </w:rPr>
              <w:t>"</w:t>
            </w:r>
          </w:p>
        </w:tc>
        <w:tc>
          <w:tcPr>
            <w:tcW w:w="41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cs="Times New Roman"/>
                <w:color w:val="000000" w:themeColor="text1"/>
                <w:sz w:val="21"/>
                <w:highlight w:val="none"/>
              </w:rPr>
            </w:pPr>
            <w:r>
              <w:rPr>
                <w:rFonts w:hint="eastAsia" w:cs="Times New Roman"/>
                <w:color w:val="auto"/>
                <w:spacing w:val="-2"/>
                <w:sz w:val="21"/>
                <w:szCs w:val="21"/>
                <w:highlight w:val="none"/>
                <w:lang w:eastAsia="zh-CN"/>
              </w:rPr>
              <w:t>学校</w:t>
            </w:r>
          </w:p>
        </w:tc>
        <w:tc>
          <w:tcPr>
            <w:tcW w:w="30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rPr>
            </w:pPr>
            <w:r>
              <w:rPr>
                <w:rFonts w:hint="eastAsia" w:cs="Times New Roman"/>
                <w:color w:val="auto"/>
                <w:spacing w:val="-2"/>
                <w:sz w:val="21"/>
                <w:szCs w:val="21"/>
                <w:highlight w:val="none"/>
                <w:lang w:eastAsia="zh-CN"/>
              </w:rPr>
              <w:t>老师学生</w:t>
            </w:r>
          </w:p>
        </w:tc>
        <w:tc>
          <w:tcPr>
            <w:tcW w:w="97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p>
        </w:tc>
        <w:tc>
          <w:tcPr>
            <w:tcW w:w="78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eastAsia="zh-CN"/>
              </w:rPr>
            </w:pPr>
            <w:r>
              <w:rPr>
                <w:rFonts w:hint="eastAsia" w:cs="Times New Roman"/>
                <w:color w:val="auto"/>
                <w:spacing w:val="-2"/>
                <w:sz w:val="21"/>
                <w:szCs w:val="21"/>
                <w:highlight w:val="none"/>
                <w:lang w:eastAsia="zh-CN"/>
              </w:rPr>
              <w:t>西</w:t>
            </w:r>
          </w:p>
        </w:tc>
        <w:tc>
          <w:tcPr>
            <w:tcW w:w="6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eastAsia="zh-CN"/>
              </w:rPr>
            </w:pPr>
            <w:r>
              <w:rPr>
                <w:rFonts w:hint="eastAsia" w:cs="Times New Roman"/>
                <w:color w:val="auto"/>
                <w:spacing w:val="-2"/>
                <w:sz w:val="21"/>
                <w:szCs w:val="21"/>
                <w:highlight w:val="none"/>
                <w:lang w:val="en-US" w:eastAsia="zh-CN"/>
              </w:rPr>
              <w:t>362</w:t>
            </w:r>
          </w:p>
        </w:tc>
        <w:tc>
          <w:tcPr>
            <w:tcW w:w="398"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eastAsia="zh-CN"/>
              </w:rPr>
            </w:pPr>
            <w:r>
              <w:rPr>
                <w:rFonts w:hint="eastAsia" w:cs="Times New Roman"/>
                <w:color w:val="auto"/>
                <w:spacing w:val="-2"/>
                <w:sz w:val="21"/>
                <w:szCs w:val="21"/>
                <w:highlight w:val="none"/>
                <w:lang w:val="en-US" w:eastAsia="zh-CN"/>
              </w:rPr>
              <w:t>2</w:t>
            </w:r>
            <w:r>
              <w:rPr>
                <w:rFonts w:hint="default" w:ascii="Times New Roman" w:hAnsi="Times New Roman" w:eastAsia="宋体" w:cs="Times New Roman"/>
                <w:color w:val="auto"/>
                <w:spacing w:val="-2"/>
                <w:sz w:val="21"/>
                <w:szCs w:val="21"/>
                <w:highlight w:val="none"/>
              </w:rPr>
              <w:t>00人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27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eastAsia="zh-CN"/>
              </w:rPr>
            </w:pPr>
            <w:r>
              <w:rPr>
                <w:rFonts w:hint="eastAsia" w:cs="Times New Roman"/>
                <w:color w:val="auto"/>
                <w:spacing w:val="-2"/>
                <w:kern w:val="2"/>
                <w:sz w:val="21"/>
                <w:szCs w:val="21"/>
                <w:highlight w:val="none"/>
                <w:lang w:val="en-US" w:eastAsia="zh-CN" w:bidi="ar-SA"/>
              </w:rPr>
              <w:t>塔斯尔海村</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E</w:t>
            </w:r>
            <w:r>
              <w:rPr>
                <w:rFonts w:hint="eastAsia" w:eastAsia="宋体"/>
                <w:color w:val="000000" w:themeColor="text1"/>
                <w:sz w:val="21"/>
                <w:szCs w:val="21"/>
                <w:highlight w:val="none"/>
                <w:lang w:val="en-US" w:eastAsia="zh-CN"/>
              </w:rPr>
              <w:t>83</w:t>
            </w:r>
            <w:r>
              <w:rPr>
                <w:rFonts w:ascii="Times New Roman" w:hAnsi="Times New Roman" w:eastAsia="Times New Roman"/>
                <w:color w:val="000000" w:themeColor="text1"/>
                <w:sz w:val="21"/>
                <w:szCs w:val="21"/>
                <w:highlight w:val="none"/>
              </w:rPr>
              <w:t>°</w:t>
            </w:r>
            <w:r>
              <w:rPr>
                <w:rFonts w:hint="eastAsia" w:ascii="Times New Roman" w:hAnsi="Times New Roman"/>
                <w:color w:val="000000" w:themeColor="text1"/>
                <w:sz w:val="21"/>
                <w:szCs w:val="21"/>
                <w:highlight w:val="none"/>
                <w:lang w:val="en-US" w:eastAsia="zh-CN"/>
              </w:rPr>
              <w:t>39</w:t>
            </w:r>
            <w:r>
              <w:rPr>
                <w:rFonts w:ascii="Times New Roman" w:hAnsi="Times New Roman" w:eastAsia="Times New Roman"/>
                <w:color w:val="000000" w:themeColor="text1"/>
                <w:sz w:val="21"/>
                <w:szCs w:val="21"/>
                <w:highlight w:val="none"/>
              </w:rPr>
              <w:t>'</w:t>
            </w:r>
            <w:r>
              <w:rPr>
                <w:rFonts w:hint="eastAsia"/>
                <w:color w:val="000000" w:themeColor="text1"/>
                <w:sz w:val="21"/>
                <w:szCs w:val="21"/>
                <w:highlight w:val="none"/>
                <w:lang w:val="en-US" w:eastAsia="zh-CN"/>
              </w:rPr>
              <w:t>53.16</w:t>
            </w:r>
            <w:r>
              <w:rPr>
                <w:rFonts w:ascii="Times New Roman" w:hAnsi="Times New Roman" w:eastAsia="Times New Roman"/>
                <w:color w:val="000000" w:themeColor="text1"/>
                <w:sz w:val="21"/>
                <w:szCs w:val="21"/>
                <w:highlight w:val="none"/>
              </w:rPr>
              <w:t>"</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eastAsia="Times New Roman"/>
                <w:color w:val="000000" w:themeColor="text1"/>
                <w:sz w:val="21"/>
                <w:szCs w:val="21"/>
                <w:highlight w:val="none"/>
              </w:rPr>
            </w:pPr>
            <w:r>
              <w:rPr>
                <w:rFonts w:ascii="Times New Roman" w:hAnsi="Times New Roman" w:eastAsia="Times New Roman"/>
                <w:color w:val="000000" w:themeColor="text1"/>
                <w:sz w:val="21"/>
                <w:szCs w:val="21"/>
                <w:highlight w:val="none"/>
              </w:rPr>
              <w:t>N</w:t>
            </w:r>
            <w:r>
              <w:rPr>
                <w:rFonts w:hint="eastAsia" w:ascii="Times New Roman" w:hAnsi="Times New Roman"/>
                <w:color w:val="000000" w:themeColor="text1"/>
                <w:sz w:val="21"/>
                <w:szCs w:val="21"/>
                <w:highlight w:val="none"/>
                <w:lang w:val="en-US"/>
              </w:rPr>
              <w:t>4</w:t>
            </w:r>
            <w:r>
              <w:rPr>
                <w:rFonts w:hint="eastAsia"/>
                <w:color w:val="000000" w:themeColor="text1"/>
                <w:sz w:val="21"/>
                <w:szCs w:val="21"/>
                <w:highlight w:val="none"/>
                <w:lang w:val="en-US" w:eastAsia="zh-CN"/>
              </w:rPr>
              <w:t>6</w:t>
            </w:r>
            <w:r>
              <w:rPr>
                <w:rFonts w:ascii="Times New Roman" w:hAnsi="Times New Roman" w:eastAsia="Times New Roman"/>
                <w:color w:val="000000" w:themeColor="text1"/>
                <w:sz w:val="21"/>
                <w:szCs w:val="21"/>
                <w:highlight w:val="none"/>
              </w:rPr>
              <w:t>°</w:t>
            </w:r>
            <w:r>
              <w:rPr>
                <w:rFonts w:hint="eastAsia" w:eastAsia="宋体"/>
                <w:color w:val="000000" w:themeColor="text1"/>
                <w:sz w:val="21"/>
                <w:szCs w:val="21"/>
                <w:highlight w:val="none"/>
                <w:lang w:val="en-US" w:eastAsia="zh-CN"/>
              </w:rPr>
              <w:t>30</w:t>
            </w:r>
            <w:r>
              <w:rPr>
                <w:rFonts w:ascii="Times New Roman" w:hAnsi="Times New Roman" w:eastAsia="Times New Roman"/>
                <w:color w:val="000000" w:themeColor="text1"/>
                <w:sz w:val="21"/>
                <w:szCs w:val="21"/>
                <w:highlight w:val="none"/>
              </w:rPr>
              <w:t>'</w:t>
            </w:r>
            <w:r>
              <w:rPr>
                <w:rFonts w:hint="eastAsia"/>
                <w:color w:val="000000" w:themeColor="text1"/>
                <w:sz w:val="21"/>
                <w:szCs w:val="21"/>
                <w:highlight w:val="none"/>
                <w:lang w:val="en-US" w:eastAsia="zh-CN"/>
              </w:rPr>
              <w:t>37.59</w:t>
            </w:r>
            <w:r>
              <w:rPr>
                <w:rFonts w:ascii="Times New Roman" w:hAnsi="Times New Roman" w:eastAsia="Times New Roman"/>
                <w:color w:val="000000" w:themeColor="text1"/>
                <w:sz w:val="21"/>
                <w:szCs w:val="21"/>
                <w:highlight w:val="none"/>
              </w:rPr>
              <w:t>"</w:t>
            </w:r>
          </w:p>
        </w:tc>
        <w:tc>
          <w:tcPr>
            <w:tcW w:w="412"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ascii="Times New Roman" w:hAnsi="Times New Roman" w:cs="Times New Roman"/>
                <w:color w:val="000000" w:themeColor="text1"/>
                <w:sz w:val="21"/>
                <w:highlight w:val="none"/>
              </w:rPr>
            </w:pPr>
            <w:r>
              <w:rPr>
                <w:rFonts w:hint="eastAsia" w:ascii="Times New Roman" w:hAnsi="Times New Roman" w:eastAsia="宋体" w:cs="Times New Roman"/>
                <w:color w:val="auto"/>
                <w:spacing w:val="-2"/>
                <w:sz w:val="21"/>
                <w:szCs w:val="21"/>
                <w:highlight w:val="none"/>
                <w:lang w:eastAsia="zh-CN"/>
              </w:rPr>
              <w:t>居民</w:t>
            </w:r>
            <w:r>
              <w:rPr>
                <w:rFonts w:hint="default" w:ascii="Times New Roman" w:hAnsi="Times New Roman" w:eastAsia="宋体" w:cs="Times New Roman"/>
                <w:color w:val="auto"/>
                <w:spacing w:val="-2"/>
                <w:sz w:val="21"/>
                <w:szCs w:val="21"/>
                <w:highlight w:val="none"/>
              </w:rPr>
              <w:t>区</w:t>
            </w:r>
          </w:p>
        </w:tc>
        <w:tc>
          <w:tcPr>
            <w:tcW w:w="300"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rPr>
            </w:pPr>
            <w:r>
              <w:rPr>
                <w:rFonts w:hint="default" w:ascii="Times New Roman" w:hAnsi="Times New Roman" w:eastAsia="宋体" w:cs="Times New Roman"/>
                <w:color w:val="auto"/>
                <w:spacing w:val="-2"/>
                <w:sz w:val="21"/>
                <w:szCs w:val="21"/>
                <w:highlight w:val="none"/>
                <w:lang w:eastAsia="zh-CN"/>
              </w:rPr>
              <w:t>居民</w:t>
            </w:r>
          </w:p>
        </w:tc>
        <w:tc>
          <w:tcPr>
            <w:tcW w:w="970" w:type="pct"/>
            <w:vMerge w:val="continue"/>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p>
        </w:tc>
        <w:tc>
          <w:tcPr>
            <w:tcW w:w="78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eastAsia="zh-CN"/>
              </w:rPr>
            </w:pPr>
            <w:r>
              <w:rPr>
                <w:rFonts w:hint="eastAsia" w:cs="Times New Roman"/>
                <w:color w:val="auto"/>
                <w:spacing w:val="-2"/>
                <w:sz w:val="21"/>
                <w:szCs w:val="21"/>
                <w:highlight w:val="none"/>
                <w:lang w:eastAsia="zh-CN"/>
              </w:rPr>
              <w:t>北</w:t>
            </w:r>
          </w:p>
        </w:tc>
        <w:tc>
          <w:tcPr>
            <w:tcW w:w="66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eastAsia="zh-CN"/>
              </w:rPr>
            </w:pPr>
            <w:r>
              <w:rPr>
                <w:rFonts w:hint="eastAsia" w:cs="Times New Roman"/>
                <w:color w:val="auto"/>
                <w:spacing w:val="-2"/>
                <w:sz w:val="21"/>
                <w:szCs w:val="21"/>
                <w:highlight w:val="none"/>
                <w:lang w:val="en-US" w:eastAsia="zh-CN"/>
              </w:rPr>
              <w:t>270</w:t>
            </w:r>
          </w:p>
        </w:tc>
        <w:tc>
          <w:tcPr>
            <w:tcW w:w="398" w:type="pct"/>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cs="Times New Roman"/>
                <w:color w:val="000000" w:themeColor="text1"/>
                <w:sz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7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水环境</w:t>
            </w:r>
          </w:p>
        </w:tc>
        <w:tc>
          <w:tcPr>
            <w:tcW w:w="79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地下水</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lang w:val="en-US"/>
              </w:rPr>
            </w:pPr>
            <w:r>
              <w:rPr>
                <w:rFonts w:hint="eastAsia" w:ascii="Times New Roman" w:hAnsi="Times New Roman" w:cs="Times New Roman"/>
                <w:color w:val="000000" w:themeColor="text1"/>
                <w:sz w:val="21"/>
                <w:highlight w:val="none"/>
                <w:lang w:val="en-US"/>
              </w:rPr>
              <w:t>-</w:t>
            </w:r>
          </w:p>
        </w:tc>
        <w:tc>
          <w:tcPr>
            <w:tcW w:w="41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水质</w:t>
            </w:r>
          </w:p>
        </w:tc>
        <w:tc>
          <w:tcPr>
            <w:tcW w:w="30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w:t>
            </w:r>
          </w:p>
        </w:tc>
        <w:tc>
          <w:tcPr>
            <w:tcW w:w="97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FF"/>
                <w:sz w:val="21"/>
                <w:highlight w:val="none"/>
              </w:rPr>
              <w:t>《地下水质量标准》（GB/T14848-2017</w:t>
            </w:r>
            <w:r>
              <w:rPr>
                <w:rFonts w:hint="eastAsia" w:ascii="Times New Roman" w:hAnsi="Times New Roman" w:cs="Times New Roman"/>
                <w:color w:val="0000FF"/>
                <w:sz w:val="21"/>
                <w:highlight w:val="none"/>
              </w:rPr>
              <w:t>）</w:t>
            </w:r>
            <w:r>
              <w:rPr>
                <w:rFonts w:ascii="Times New Roman" w:hAnsi="Times New Roman" w:cs="Times New Roman"/>
                <w:color w:val="000000" w:themeColor="text1"/>
                <w:sz w:val="21"/>
                <w:highlight w:val="none"/>
              </w:rPr>
              <w:t>Ⅲ类</w:t>
            </w:r>
          </w:p>
        </w:tc>
        <w:tc>
          <w:tcPr>
            <w:tcW w:w="46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厂址区域</w:t>
            </w:r>
          </w:p>
        </w:tc>
        <w:tc>
          <w:tcPr>
            <w:tcW w:w="3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highlight w:val="none"/>
                <w:lang w:val="en-US" w:eastAsia="zh-CN"/>
              </w:rPr>
            </w:pPr>
            <w:r>
              <w:rPr>
                <w:rFonts w:hint="eastAsia" w:ascii="Times New Roman" w:hAnsi="Times New Roman" w:cs="Times New Roman"/>
                <w:color w:val="000000" w:themeColor="text1"/>
                <w:sz w:val="21"/>
                <w:highlight w:val="none"/>
                <w:lang w:val="en-US" w:eastAsia="zh-CN"/>
              </w:rPr>
              <w:t>--</w:t>
            </w:r>
          </w:p>
        </w:tc>
        <w:tc>
          <w:tcPr>
            <w:tcW w:w="3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cs="Times New Roman"/>
                <w:color w:val="000000" w:themeColor="text1"/>
                <w:sz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7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土壤</w:t>
            </w:r>
          </w:p>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环境</w:t>
            </w:r>
          </w:p>
        </w:tc>
        <w:tc>
          <w:tcPr>
            <w:tcW w:w="79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hint="eastAsia" w:cs="Times New Roman"/>
                <w:color w:val="000000" w:themeColor="text1"/>
                <w:sz w:val="21"/>
                <w:highlight w:val="none"/>
                <w:lang w:eastAsia="zh-CN"/>
              </w:rPr>
              <w:t>评价范围内土壤</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lang w:val="en-US"/>
              </w:rPr>
            </w:pPr>
            <w:r>
              <w:rPr>
                <w:rFonts w:hint="eastAsia" w:ascii="Times New Roman" w:hAnsi="Times New Roman" w:cs="Times New Roman"/>
                <w:color w:val="000000" w:themeColor="text1"/>
                <w:sz w:val="21"/>
                <w:highlight w:val="none"/>
                <w:lang w:val="en-US"/>
              </w:rPr>
              <w:t>-</w:t>
            </w:r>
          </w:p>
        </w:tc>
        <w:tc>
          <w:tcPr>
            <w:tcW w:w="41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hint="eastAsia" w:cs="Times New Roman"/>
                <w:color w:val="000000" w:themeColor="text1"/>
                <w:sz w:val="21"/>
                <w:highlight w:val="none"/>
                <w:lang w:eastAsia="zh-CN"/>
              </w:rPr>
              <w:t>评价范围内土壤</w:t>
            </w:r>
          </w:p>
        </w:tc>
        <w:tc>
          <w:tcPr>
            <w:tcW w:w="30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w:t>
            </w:r>
          </w:p>
        </w:tc>
        <w:tc>
          <w:tcPr>
            <w:tcW w:w="97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不受影响</w:t>
            </w:r>
          </w:p>
        </w:tc>
        <w:tc>
          <w:tcPr>
            <w:tcW w:w="46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1"/>
                <w:highlight w:val="none"/>
                <w:lang w:eastAsia="zh-CN"/>
              </w:rPr>
            </w:pPr>
            <w:r>
              <w:rPr>
                <w:rFonts w:hint="eastAsia" w:cs="Times New Roman"/>
                <w:color w:val="000000" w:themeColor="text1"/>
                <w:sz w:val="21"/>
                <w:highlight w:val="none"/>
                <w:lang w:val="en-US" w:eastAsia="zh-CN"/>
              </w:rPr>
              <w:t>-</w:t>
            </w:r>
          </w:p>
        </w:tc>
        <w:tc>
          <w:tcPr>
            <w:tcW w:w="3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highlight w:val="none"/>
                <w:lang w:val="en-US" w:eastAsia="zh-CN"/>
              </w:rPr>
            </w:pPr>
            <w:r>
              <w:rPr>
                <w:rFonts w:hint="eastAsia" w:ascii="Times New Roman" w:hAnsi="Times New Roman" w:cs="Times New Roman"/>
                <w:color w:val="000000" w:themeColor="text1"/>
                <w:sz w:val="21"/>
                <w:highlight w:val="none"/>
                <w:lang w:val="en-US" w:eastAsia="zh-CN"/>
              </w:rPr>
              <w:t>--</w:t>
            </w:r>
          </w:p>
        </w:tc>
        <w:tc>
          <w:tcPr>
            <w:tcW w:w="3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cs="Times New Roman"/>
                <w:color w:val="000000" w:themeColor="text1"/>
                <w:sz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7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环境风险</w:t>
            </w:r>
          </w:p>
        </w:tc>
        <w:tc>
          <w:tcPr>
            <w:tcW w:w="79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hint="eastAsia" w:ascii="Times New Roman" w:hAnsi="Times New Roman" w:cs="Times New Roman"/>
                <w:color w:val="000000" w:themeColor="text1"/>
                <w:sz w:val="21"/>
                <w:highlight w:val="none"/>
              </w:rPr>
              <w:t>项目区域</w:t>
            </w:r>
            <w:r>
              <w:rPr>
                <w:rFonts w:ascii="Times New Roman" w:hAnsi="Times New Roman" w:cs="Times New Roman"/>
                <w:color w:val="000000" w:themeColor="text1"/>
                <w:sz w:val="21"/>
                <w:highlight w:val="none"/>
              </w:rPr>
              <w:t>地下水</w:t>
            </w:r>
          </w:p>
        </w:tc>
        <w:tc>
          <w:tcPr>
            <w:tcW w:w="987"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lang w:val="en-US"/>
              </w:rPr>
            </w:pPr>
            <w:r>
              <w:rPr>
                <w:rFonts w:hint="eastAsia" w:ascii="Times New Roman" w:hAnsi="Times New Roman" w:cs="Times New Roman"/>
                <w:color w:val="000000" w:themeColor="text1"/>
                <w:sz w:val="21"/>
                <w:highlight w:val="none"/>
                <w:lang w:val="en-US"/>
              </w:rPr>
              <w:t>-</w:t>
            </w:r>
          </w:p>
        </w:tc>
        <w:tc>
          <w:tcPr>
            <w:tcW w:w="412"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w:t>
            </w:r>
          </w:p>
        </w:tc>
        <w:tc>
          <w:tcPr>
            <w:tcW w:w="30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w:t>
            </w:r>
          </w:p>
        </w:tc>
        <w:tc>
          <w:tcPr>
            <w:tcW w:w="970"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ascii="Times New Roman" w:hAnsi="Times New Roman" w:cs="Times New Roman"/>
                <w:color w:val="000000" w:themeColor="text1"/>
                <w:sz w:val="21"/>
                <w:highlight w:val="none"/>
              </w:rPr>
              <w:t>不受风险事故影响</w:t>
            </w:r>
          </w:p>
        </w:tc>
        <w:tc>
          <w:tcPr>
            <w:tcW w:w="469"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ascii="Times New Roman" w:hAnsi="Times New Roman" w:cs="Times New Roman"/>
                <w:color w:val="000000" w:themeColor="text1"/>
                <w:sz w:val="21"/>
                <w:highlight w:val="none"/>
              </w:rPr>
            </w:pPr>
            <w:r>
              <w:rPr>
                <w:rFonts w:hint="eastAsia" w:ascii="Times New Roman" w:hAnsi="Times New Roman" w:cs="Times New Roman"/>
                <w:color w:val="000000" w:themeColor="text1"/>
                <w:sz w:val="21"/>
                <w:highlight w:val="none"/>
              </w:rPr>
              <w:t>厂址区域</w:t>
            </w:r>
          </w:p>
        </w:tc>
        <w:tc>
          <w:tcPr>
            <w:tcW w:w="3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highlight w:val="none"/>
                <w:lang w:val="en-US" w:eastAsia="zh-CN"/>
              </w:rPr>
            </w:pPr>
            <w:r>
              <w:rPr>
                <w:rFonts w:hint="eastAsia" w:ascii="Times New Roman" w:hAnsi="Times New Roman" w:cs="Times New Roman"/>
                <w:color w:val="000000" w:themeColor="text1"/>
                <w:sz w:val="21"/>
                <w:highlight w:val="none"/>
                <w:lang w:val="en-US" w:eastAsia="zh-CN"/>
              </w:rPr>
              <w:t>--</w:t>
            </w:r>
          </w:p>
        </w:tc>
        <w:tc>
          <w:tcPr>
            <w:tcW w:w="398" w:type="pct"/>
            <w:vAlign w:val="center"/>
          </w:tcPr>
          <w:p>
            <w:pPr>
              <w:pStyle w:val="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Times New Roman" w:hAnsi="Times New Roman" w:cs="Times New Roman"/>
                <w:color w:val="000000" w:themeColor="text1"/>
                <w:sz w:val="21"/>
                <w:highlight w:val="none"/>
                <w:lang w:val="en-US" w:eastAsia="zh-CN"/>
              </w:rPr>
            </w:pPr>
          </w:p>
        </w:tc>
      </w:tr>
    </w:tbl>
    <w:p>
      <w:pPr>
        <w:pStyle w:val="5"/>
        <w:keepNext w:val="0"/>
        <w:keepLines w:val="0"/>
        <w:pageBreakBefore w:val="0"/>
        <w:widowControl w:val="0"/>
        <w:numPr>
          <w:ilvl w:val="1"/>
          <w:numId w:val="13"/>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86" w:name="_Toc1765"/>
      <w:bookmarkStart w:id="87" w:name="_Toc22254"/>
      <w:r>
        <w:t>评价总体思路及评价重点</w:t>
      </w:r>
      <w:bookmarkEnd w:id="85"/>
      <w:bookmarkEnd w:id="86"/>
      <w:bookmarkEnd w:id="87"/>
    </w:p>
    <w:p>
      <w:pPr>
        <w:pStyle w:val="41"/>
        <w:numPr>
          <w:ilvl w:val="2"/>
          <w:numId w:val="13"/>
        </w:numPr>
        <w:tabs>
          <w:tab w:val="left" w:pos="1241"/>
        </w:tabs>
        <w:spacing w:before="0" w:line="360" w:lineRule="auto"/>
        <w:ind w:left="0" w:firstLine="562" w:firstLineChars="200"/>
        <w:jc w:val="both"/>
        <w:outlineLvl w:val="2"/>
        <w:rPr>
          <w:b/>
          <w:sz w:val="28"/>
        </w:rPr>
      </w:pPr>
      <w:bookmarkStart w:id="88" w:name="2.8.1_评价总体思路"/>
      <w:bookmarkEnd w:id="88"/>
      <w:r>
        <w:rPr>
          <w:b/>
          <w:sz w:val="28"/>
        </w:rPr>
        <w:t>评价总体思路</w:t>
      </w:r>
    </w:p>
    <w:p>
      <w:pPr>
        <w:pStyle w:val="14"/>
        <w:spacing w:line="360" w:lineRule="auto"/>
        <w:ind w:left="0" w:firstLine="480" w:firstLineChars="200"/>
        <w:jc w:val="both"/>
      </w:pPr>
      <w:r>
        <w:t>针对本项目工程特点，本次评价工作的总体思路为：</w:t>
      </w:r>
    </w:p>
    <w:p>
      <w:pPr>
        <w:pStyle w:val="41"/>
        <w:numPr>
          <w:ilvl w:val="0"/>
          <w:numId w:val="14"/>
        </w:numPr>
        <w:tabs>
          <w:tab w:val="left" w:pos="1621"/>
        </w:tabs>
        <w:spacing w:before="0" w:line="360" w:lineRule="auto"/>
        <w:ind w:firstLine="476" w:firstLineChars="200"/>
        <w:jc w:val="both"/>
        <w:rPr>
          <w:sz w:val="24"/>
        </w:rPr>
      </w:pPr>
      <w:r>
        <w:rPr>
          <w:spacing w:val="-1"/>
          <w:sz w:val="24"/>
        </w:rPr>
        <w:t>通过类比同类工程、实测数据和查阅资料的方法对本次工程产污情况</w:t>
      </w:r>
      <w:r>
        <w:rPr>
          <w:spacing w:val="-11"/>
          <w:sz w:val="24"/>
        </w:rPr>
        <w:t>进行分析，确定工程污染物产生源强。分析工程各污染物所采取的治理措施的技</w:t>
      </w:r>
      <w:r>
        <w:rPr>
          <w:spacing w:val="-10"/>
          <w:sz w:val="24"/>
        </w:rPr>
        <w:t>术成熟性、稳定性及可靠性，并根据所采取的污染治理措施的治理效果，对工程</w:t>
      </w:r>
      <w:r>
        <w:rPr>
          <w:sz w:val="24"/>
        </w:rPr>
        <w:t>所排放的各类污染物进行达标分析。</w:t>
      </w:r>
    </w:p>
    <w:p>
      <w:pPr>
        <w:pStyle w:val="41"/>
        <w:numPr>
          <w:ilvl w:val="0"/>
          <w:numId w:val="14"/>
        </w:numPr>
        <w:tabs>
          <w:tab w:val="left" w:pos="1621"/>
        </w:tabs>
        <w:spacing w:before="0" w:line="360" w:lineRule="auto"/>
        <w:ind w:firstLine="476" w:firstLineChars="200"/>
        <w:jc w:val="both"/>
        <w:rPr>
          <w:sz w:val="24"/>
        </w:rPr>
      </w:pPr>
      <w:r>
        <w:rPr>
          <w:spacing w:val="-1"/>
          <w:sz w:val="24"/>
        </w:rPr>
        <w:t>在对项目区域的自然环境进行调研及环境质量现状监测的基础上，评</w:t>
      </w:r>
      <w:r>
        <w:rPr>
          <w:sz w:val="24"/>
        </w:rPr>
        <w:t>价其环境质量现状。</w:t>
      </w:r>
    </w:p>
    <w:p>
      <w:pPr>
        <w:pStyle w:val="41"/>
        <w:numPr>
          <w:ilvl w:val="0"/>
          <w:numId w:val="14"/>
        </w:numPr>
        <w:tabs>
          <w:tab w:val="left" w:pos="1621"/>
        </w:tabs>
        <w:spacing w:before="0" w:line="360" w:lineRule="auto"/>
        <w:ind w:firstLine="476" w:firstLineChars="200"/>
        <w:jc w:val="both"/>
        <w:rPr>
          <w:sz w:val="24"/>
        </w:rPr>
      </w:pPr>
      <w:r>
        <w:rPr>
          <w:spacing w:val="-1"/>
          <w:sz w:val="24"/>
        </w:rPr>
        <w:t>根据工程特点及环境特点，采用合适的预测模式及预测参数，预测分</w:t>
      </w:r>
      <w:r>
        <w:rPr>
          <w:sz w:val="24"/>
        </w:rPr>
        <w:t>析本工程污染物排放对周围环境的影响程度和范围，从而分析环境可接受性。</w:t>
      </w:r>
    </w:p>
    <w:p>
      <w:pPr>
        <w:pStyle w:val="41"/>
        <w:numPr>
          <w:ilvl w:val="0"/>
          <w:numId w:val="14"/>
        </w:numPr>
        <w:tabs>
          <w:tab w:val="left" w:pos="1621"/>
        </w:tabs>
        <w:spacing w:before="0" w:line="360" w:lineRule="auto"/>
        <w:ind w:firstLine="476" w:firstLineChars="200"/>
        <w:jc w:val="both"/>
        <w:rPr>
          <w:sz w:val="24"/>
        </w:rPr>
      </w:pPr>
      <w:r>
        <w:rPr>
          <w:spacing w:val="-1"/>
          <w:sz w:val="24"/>
        </w:rPr>
        <w:t>从经济效益、社会效益、环境效益三个方面分析项目环境影响经济损</w:t>
      </w:r>
      <w:r>
        <w:rPr>
          <w:sz w:val="24"/>
        </w:rPr>
        <w:t>益，从环境经济角度分析项目建设的可行性。</w:t>
      </w:r>
    </w:p>
    <w:p>
      <w:pPr>
        <w:pStyle w:val="41"/>
        <w:numPr>
          <w:ilvl w:val="0"/>
          <w:numId w:val="14"/>
        </w:numPr>
        <w:tabs>
          <w:tab w:val="left" w:pos="1621"/>
        </w:tabs>
        <w:spacing w:before="0" w:line="360" w:lineRule="auto"/>
        <w:ind w:firstLine="476" w:firstLineChars="200"/>
        <w:jc w:val="both"/>
        <w:rPr>
          <w:sz w:val="24"/>
        </w:rPr>
      </w:pPr>
      <w:r>
        <w:rPr>
          <w:spacing w:val="-1"/>
          <w:sz w:val="24"/>
        </w:rPr>
        <w:t>根据工程产污特征，提出运行环境管理要求，并制订相应的环境监测</w:t>
      </w:r>
      <w:r>
        <w:rPr>
          <w:sz w:val="24"/>
        </w:rPr>
        <w:t>计划，为环境管理和环保主管部门决策提供科学依据。</w:t>
      </w:r>
    </w:p>
    <w:p>
      <w:pPr>
        <w:pStyle w:val="41"/>
        <w:numPr>
          <w:ilvl w:val="0"/>
          <w:numId w:val="14"/>
        </w:numPr>
        <w:tabs>
          <w:tab w:val="left" w:pos="1621"/>
        </w:tabs>
        <w:spacing w:before="0" w:line="360" w:lineRule="auto"/>
        <w:ind w:firstLine="480" w:firstLineChars="200"/>
        <w:jc w:val="both"/>
        <w:rPr>
          <w:sz w:val="24"/>
        </w:rPr>
      </w:pPr>
      <w:r>
        <w:rPr>
          <w:sz w:val="24"/>
        </w:rPr>
        <w:t>从环保角度对工程的环境可行性做出明确的结论。</w:t>
      </w:r>
    </w:p>
    <w:p>
      <w:pPr>
        <w:pStyle w:val="6"/>
        <w:numPr>
          <w:ilvl w:val="2"/>
          <w:numId w:val="13"/>
        </w:numPr>
        <w:tabs>
          <w:tab w:val="left" w:pos="1241"/>
        </w:tabs>
        <w:spacing w:line="360" w:lineRule="auto"/>
        <w:ind w:left="0" w:firstLine="562" w:firstLineChars="200"/>
        <w:jc w:val="both"/>
      </w:pPr>
      <w:bookmarkStart w:id="89" w:name="2.8.2_评价重点"/>
      <w:bookmarkEnd w:id="89"/>
      <w:r>
        <w:t>评价重点</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52" w:firstLineChars="200"/>
        <w:jc w:val="both"/>
        <w:textAlignment w:val="auto"/>
        <w:rPr>
          <w:sz w:val="24"/>
        </w:rPr>
      </w:pPr>
      <w:r>
        <w:rPr>
          <w:spacing w:val="-7"/>
        </w:rPr>
        <w:t>根据项目所在区域环境质量现状，针对本项目的特点和排污特征，确定本次</w:t>
      </w:r>
      <w:r>
        <w:t>评价的重点</w:t>
      </w:r>
      <w:r>
        <w:rPr>
          <w:rFonts w:hint="eastAsia"/>
          <w:lang w:eastAsia="zh-CN"/>
        </w:rPr>
        <w:t>为</w:t>
      </w:r>
      <w:r>
        <w:rPr>
          <w:rFonts w:hint="eastAsia" w:ascii="宋体" w:hAnsi="宋体" w:eastAsia="宋体" w:cs="宋体"/>
          <w:color w:val="000000"/>
          <w:kern w:val="0"/>
          <w:sz w:val="24"/>
          <w:szCs w:val="24"/>
          <w:lang w:val="en-US" w:eastAsia="zh-CN" w:bidi="ar"/>
        </w:rPr>
        <w:t>本项目关注的主要环境问题为本项目建成后产生的燃烧烟气采取措施后能否达标排放。</w:t>
      </w:r>
    </w:p>
    <w:p>
      <w:pPr>
        <w:pStyle w:val="41"/>
        <w:numPr>
          <w:ilvl w:val="0"/>
          <w:numId w:val="0"/>
        </w:numPr>
        <w:tabs>
          <w:tab w:val="left" w:pos="1621"/>
        </w:tabs>
        <w:spacing w:before="0" w:line="360" w:lineRule="auto"/>
        <w:ind w:leftChars="200"/>
        <w:jc w:val="both"/>
        <w:rPr>
          <w:sz w:val="24"/>
        </w:rPr>
      </w:pPr>
    </w:p>
    <w:p>
      <w:pPr>
        <w:spacing w:line="364" w:lineRule="auto"/>
        <w:rPr>
          <w:sz w:val="24"/>
        </w:rPr>
        <w:sectPr>
          <w:footerReference r:id="rId13" w:type="default"/>
          <w:footerReference r:id="rId14" w:type="even"/>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pStyle w:val="4"/>
        <w:tabs>
          <w:tab w:val="left" w:pos="1442"/>
        </w:tabs>
        <w:spacing w:before="0" w:line="360" w:lineRule="auto"/>
        <w:ind w:right="0" w:firstLine="723" w:firstLineChars="200"/>
        <w:jc w:val="both"/>
        <w:rPr>
          <w:highlight w:val="none"/>
        </w:rPr>
      </w:pPr>
      <w:bookmarkStart w:id="90" w:name="_Toc6102"/>
      <w:bookmarkStart w:id="91" w:name="_Toc10610"/>
      <w:bookmarkStart w:id="92" w:name="_Toc10760"/>
      <w:r>
        <w:rPr>
          <w:highlight w:val="none"/>
        </w:rPr>
        <w:t>第三章</w:t>
      </w:r>
      <w:bookmarkStart w:id="93" w:name="第三章_建设项目工程概况和工程分析"/>
      <w:bookmarkEnd w:id="93"/>
      <w:r>
        <w:rPr>
          <w:rFonts w:hint="eastAsia"/>
          <w:highlight w:val="none"/>
          <w:lang w:val="en-US"/>
        </w:rPr>
        <w:t xml:space="preserve">  </w:t>
      </w:r>
      <w:r>
        <w:rPr>
          <w:highlight w:val="none"/>
        </w:rPr>
        <w:t>建设项目工程概况和工程分析</w:t>
      </w:r>
      <w:bookmarkEnd w:id="90"/>
      <w:bookmarkEnd w:id="91"/>
      <w:bookmarkEnd w:id="92"/>
    </w:p>
    <w:p>
      <w:pPr>
        <w:pStyle w:val="5"/>
        <w:keepNext w:val="0"/>
        <w:keepLines w:val="0"/>
        <w:pageBreakBefore w:val="0"/>
        <w:widowControl w:val="0"/>
        <w:numPr>
          <w:ilvl w:val="1"/>
          <w:numId w:val="15"/>
        </w:numPr>
        <w:kinsoku/>
        <w:wordWrap/>
        <w:overflowPunct/>
        <w:topLinePunct w:val="0"/>
        <w:autoSpaceDE w:val="0"/>
        <w:autoSpaceDN w:val="0"/>
        <w:bidi w:val="0"/>
        <w:adjustRightInd w:val="0"/>
        <w:snapToGrid w:val="0"/>
        <w:ind w:left="0"/>
        <w:textAlignment w:val="auto"/>
      </w:pPr>
      <w:bookmarkStart w:id="94" w:name="_bookmark15"/>
      <w:bookmarkEnd w:id="94"/>
      <w:bookmarkStart w:id="95" w:name="3.1_工程概况"/>
      <w:bookmarkEnd w:id="95"/>
      <w:bookmarkStart w:id="96" w:name="_Toc11336"/>
      <w:bookmarkStart w:id="97" w:name="_Toc18029"/>
      <w:bookmarkStart w:id="98" w:name="_Toc751"/>
      <w:r>
        <w:rPr>
          <w:rFonts w:hint="eastAsia"/>
          <w:lang w:eastAsia="zh-CN"/>
        </w:rPr>
        <w:t>现有工程回顾性调查及评价</w:t>
      </w:r>
      <w:bookmarkEnd w:id="96"/>
    </w:p>
    <w:p>
      <w:pPr>
        <w:pStyle w:val="6"/>
        <w:keepNext w:val="0"/>
        <w:keepLines w:val="0"/>
        <w:pageBreakBefore w:val="0"/>
        <w:widowControl w:val="0"/>
        <w:numPr>
          <w:ilvl w:val="0"/>
          <w:numId w:val="0"/>
        </w:numPr>
        <w:kinsoku/>
        <w:wordWrap/>
        <w:overflowPunct/>
        <w:topLinePunct w:val="0"/>
        <w:autoSpaceDE w:val="0"/>
        <w:autoSpaceDN w:val="0"/>
        <w:bidi w:val="0"/>
        <w:adjustRightInd w:val="0"/>
        <w:snapToGrid w:val="0"/>
        <w:ind w:leftChars="0" w:firstLine="562" w:firstLineChars="200"/>
        <w:textAlignment w:val="auto"/>
        <w:outlineLvl w:val="2"/>
        <w:rPr>
          <w:rFonts w:hint="default" w:ascii="Times New Roman" w:hAnsi="Times New Roman" w:eastAsia="宋体" w:cs="Times New Roman"/>
          <w:b/>
          <w:bCs/>
          <w:sz w:val="28"/>
          <w:szCs w:val="28"/>
          <w:lang w:val="en-US" w:eastAsia="zh-CN" w:bidi="zh-CN"/>
        </w:rPr>
      </w:pPr>
      <w:r>
        <w:rPr>
          <w:rFonts w:hint="default" w:ascii="Times New Roman" w:hAnsi="Times New Roman" w:eastAsia="宋体" w:cs="Times New Roman"/>
          <w:b/>
          <w:bCs/>
          <w:sz w:val="28"/>
          <w:szCs w:val="28"/>
          <w:lang w:val="en-US" w:eastAsia="zh-CN" w:bidi="zh-CN"/>
        </w:rPr>
        <w:t>3.1.1</w:t>
      </w:r>
      <w:r>
        <w:rPr>
          <w:rFonts w:hint="eastAsia" w:ascii="Times New Roman" w:hAnsi="Times New Roman" w:cs="Times New Roman"/>
          <w:b/>
          <w:bCs/>
          <w:sz w:val="28"/>
          <w:szCs w:val="28"/>
          <w:lang w:val="en-US" w:eastAsia="zh-CN" w:bidi="zh-CN"/>
        </w:rPr>
        <w:t>环保手续履行情况</w:t>
      </w:r>
    </w:p>
    <w:p>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imes New Roman" w:eastAsia="宋体" w:cs="Times New Roman"/>
          <w:szCs w:val="24"/>
          <w:lang w:eastAsia="zh-CN"/>
        </w:rPr>
      </w:pPr>
      <w:r>
        <w:rPr>
          <w:rFonts w:hint="default"/>
        </w:rPr>
        <w:t>中粮糖业控股股份有限公司额敏糖业分公司是一家以甜菜为原料的食糖生产加工企业，2002年8月27日在新疆维吾尔自治区额敏县工商局注册成立，公司主导产品为白砂糖</w:t>
      </w:r>
      <w:r>
        <w:rPr>
          <w:rFonts w:hint="eastAsia"/>
          <w:lang w:eastAsia="zh-CN"/>
        </w:rPr>
        <w:t>，</w:t>
      </w:r>
      <w:r>
        <w:rPr>
          <w:rFonts w:hint="default"/>
        </w:rPr>
        <w:t>额敏糖业分公司前身为塔城地区额敏糖厂，始建于1984年，于1986年建成投产，于2000年5月8日依法破产，2000年9月由屯河集团开始托管，2001年2月26日正式由新疆屯河投资股份有限公司收购，2005年加入中粮集团</w:t>
      </w:r>
      <w:r>
        <w:rPr>
          <w:rFonts w:hint="eastAsia"/>
          <w:lang w:eastAsia="zh-CN"/>
        </w:rPr>
        <w:t>，</w:t>
      </w:r>
      <w:r>
        <w:rPr>
          <w:highlight w:val="none"/>
        </w:rPr>
        <w:t>现有工程</w:t>
      </w:r>
      <w:r>
        <w:rPr>
          <w:rFonts w:hint="default" w:ascii="Times New Roman" w:hAnsi="Times New Roman" w:cs="Times New Roman"/>
          <w:highlight w:val="none"/>
        </w:rPr>
        <w:t>于2017年</w:t>
      </w:r>
      <w:r>
        <w:rPr>
          <w:rFonts w:hint="default" w:ascii="Times New Roman" w:hAnsi="Times New Roman" w:cs="Times New Roman"/>
          <w:highlight w:val="none"/>
          <w:lang w:val="en-US" w:eastAsia="zh-CN"/>
        </w:rPr>
        <w:t>6</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30日</w:t>
      </w:r>
      <w:r>
        <w:rPr>
          <w:rFonts w:hint="default" w:ascii="Times New Roman" w:hAnsi="Times New Roman" w:cs="Times New Roman"/>
          <w:highlight w:val="none"/>
        </w:rPr>
        <w:t>领取了排污许可证，编号</w:t>
      </w:r>
      <w:r>
        <w:rPr>
          <w:rFonts w:hint="default" w:ascii="Times New Roman" w:hAnsi="Times New Roman" w:eastAsia="宋体" w:cs="Times New Roman"/>
          <w:sz w:val="24"/>
          <w:szCs w:val="24"/>
          <w:highlight w:val="none"/>
        </w:rPr>
        <w:t>9165422172696882XB001P</w:t>
      </w:r>
      <w:r>
        <w:rPr>
          <w:rFonts w:hint="default" w:ascii="Times New Roman" w:hAnsi="Times New Roman" w:cs="Times New Roman"/>
          <w:highlight w:val="none"/>
        </w:rPr>
        <w:t>。</w:t>
      </w:r>
      <w:r>
        <w:rPr>
          <w:color w:val="0000FF"/>
        </w:rPr>
        <w:t>现有工程环保手续</w:t>
      </w:r>
      <w:r>
        <w:rPr>
          <w:rFonts w:hint="eastAsia"/>
          <w:color w:val="0000FF"/>
          <w:lang w:eastAsia="zh-CN"/>
        </w:rPr>
        <w:t>（相关环评及验收批复见附件）</w:t>
      </w:r>
      <w:r>
        <w:t>落实情况，见表3.1-1。</w:t>
      </w:r>
    </w:p>
    <w:p>
      <w:pPr>
        <w:spacing w:before="136" w:line="219" w:lineRule="auto"/>
        <w:ind w:left="2864"/>
        <w:rPr>
          <w:rFonts w:hint="default" w:ascii="Times New Roman" w:hAnsi="Times New Roman" w:eastAsia="宋体" w:cs="Times New Roman"/>
          <w:b/>
          <w:bCs/>
          <w:sz w:val="24"/>
          <w:szCs w:val="24"/>
        </w:rPr>
      </w:pPr>
      <w:r>
        <w:rPr>
          <w:rFonts w:hint="default" w:ascii="Times New Roman" w:hAnsi="Times New Roman" w:eastAsia="宋体" w:cs="Times New Roman"/>
          <w:b/>
          <w:bCs/>
          <w:spacing w:val="-1"/>
          <w:sz w:val="24"/>
          <w:szCs w:val="24"/>
        </w:rPr>
        <w:t>表3.1-1</w:t>
      </w:r>
      <w:r>
        <w:rPr>
          <w:rFonts w:hint="eastAsia" w:ascii="Times New Roman" w:hAnsi="Times New Roman" w:eastAsia="宋体" w:cs="Times New Roman"/>
          <w:b/>
          <w:bCs/>
          <w:spacing w:val="-1"/>
          <w:sz w:val="24"/>
          <w:szCs w:val="24"/>
          <w:lang w:val="en-US" w:eastAsia="zh-CN"/>
        </w:rPr>
        <w:t xml:space="preserve">  </w:t>
      </w:r>
      <w:r>
        <w:rPr>
          <w:rFonts w:hint="default" w:ascii="Times New Roman" w:hAnsi="Times New Roman" w:eastAsia="宋体" w:cs="Times New Roman"/>
          <w:b/>
          <w:bCs/>
          <w:spacing w:val="-1"/>
          <w:sz w:val="24"/>
          <w:szCs w:val="24"/>
        </w:rPr>
        <w:t>环保手续落实一览表</w:t>
      </w:r>
    </w:p>
    <w:tbl>
      <w:tblPr>
        <w:tblStyle w:val="40"/>
        <w:tblW w:w="85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4257"/>
        <w:gridCol w:w="1529"/>
        <w:gridCol w:w="20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98" w:type="dxa"/>
            <w:tcBorders>
              <w:top w:val="single" w:color="000000" w:sz="10" w:space="0"/>
              <w:lef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FF"/>
                <w:spacing w:val="0"/>
                <w:sz w:val="21"/>
                <w:szCs w:val="21"/>
              </w:rPr>
            </w:pPr>
            <w:r>
              <w:rPr>
                <w:rFonts w:hint="default" w:ascii="Times New Roman" w:hAnsi="Times New Roman" w:eastAsia="宋体" w:cs="Times New Roman"/>
                <w:color w:val="0000FF"/>
                <w:spacing w:val="0"/>
                <w:sz w:val="21"/>
                <w:szCs w:val="21"/>
              </w:rPr>
              <w:t>序号</w:t>
            </w:r>
          </w:p>
        </w:tc>
        <w:tc>
          <w:tcPr>
            <w:tcW w:w="4257" w:type="dxa"/>
            <w:tcBorders>
              <w:top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FF"/>
                <w:spacing w:val="0"/>
                <w:sz w:val="21"/>
                <w:szCs w:val="21"/>
              </w:rPr>
            </w:pPr>
            <w:r>
              <w:rPr>
                <w:rFonts w:hint="default" w:ascii="Times New Roman" w:hAnsi="Times New Roman" w:eastAsia="宋体" w:cs="Times New Roman"/>
                <w:color w:val="0000FF"/>
                <w:spacing w:val="0"/>
                <w:sz w:val="21"/>
                <w:szCs w:val="21"/>
              </w:rPr>
              <w:t>项目名称</w:t>
            </w:r>
          </w:p>
        </w:tc>
        <w:tc>
          <w:tcPr>
            <w:tcW w:w="1529" w:type="dxa"/>
            <w:tcBorders>
              <w:top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0000FF"/>
                <w:spacing w:val="0"/>
                <w:sz w:val="21"/>
                <w:szCs w:val="21"/>
                <w:lang w:eastAsia="zh-CN"/>
              </w:rPr>
            </w:pPr>
            <w:r>
              <w:rPr>
                <w:rFonts w:hint="default" w:ascii="Times New Roman" w:hAnsi="Times New Roman" w:eastAsia="宋体" w:cs="Times New Roman"/>
                <w:color w:val="0000FF"/>
                <w:spacing w:val="0"/>
                <w:sz w:val="21"/>
                <w:szCs w:val="21"/>
              </w:rPr>
              <w:t>环评</w:t>
            </w:r>
            <w:r>
              <w:rPr>
                <w:rFonts w:hint="eastAsia" w:ascii="Times New Roman" w:hAnsi="Times New Roman" w:cs="Times New Roman"/>
                <w:color w:val="0000FF"/>
                <w:spacing w:val="0"/>
                <w:sz w:val="21"/>
                <w:szCs w:val="21"/>
                <w:lang w:eastAsia="zh-CN"/>
              </w:rPr>
              <w:t>情况</w:t>
            </w:r>
          </w:p>
        </w:tc>
        <w:tc>
          <w:tcPr>
            <w:tcW w:w="2040" w:type="dxa"/>
            <w:tcBorders>
              <w:top w:val="single" w:color="000000" w:sz="10" w:space="0"/>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FF"/>
                <w:spacing w:val="0"/>
                <w:sz w:val="21"/>
                <w:szCs w:val="21"/>
              </w:rPr>
            </w:pPr>
            <w:r>
              <w:rPr>
                <w:rFonts w:hint="default" w:ascii="Times New Roman" w:hAnsi="Times New Roman" w:eastAsia="宋体" w:cs="Times New Roman"/>
                <w:color w:val="0000FF"/>
                <w:spacing w:val="0"/>
                <w:sz w:val="21"/>
                <w:szCs w:val="21"/>
              </w:rPr>
              <w:t>竣工验收情况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98" w:type="dxa"/>
            <w:tcBorders>
              <w:left w:val="single" w:color="000000" w:sz="10"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1</w:t>
            </w:r>
          </w:p>
        </w:tc>
        <w:tc>
          <w:tcPr>
            <w:tcW w:w="4257"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spacing w:val="0"/>
                <w:sz w:val="21"/>
                <w:szCs w:val="21"/>
                <w:lang w:eastAsia="zh-CN"/>
              </w:rPr>
            </w:pPr>
            <w:r>
              <w:rPr>
                <w:rFonts w:hint="eastAsia" w:ascii="Times New Roman" w:hAnsi="Times New Roman" w:eastAsia="宋体" w:cs="Times New Roman"/>
                <w:spacing w:val="0"/>
                <w:sz w:val="21"/>
                <w:szCs w:val="21"/>
                <w:lang w:eastAsia="zh-CN"/>
              </w:rPr>
              <w:t>中粮新疆屯河股份有限公司生产废水、废气综合处理工程建设项目环境影响报告表</w:t>
            </w:r>
          </w:p>
        </w:tc>
        <w:tc>
          <w:tcPr>
            <w:tcW w:w="1529"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eastAsia="zh-CN"/>
              </w:rPr>
              <w:t>塔地环字</w:t>
            </w:r>
            <w:r>
              <w:rPr>
                <w:rFonts w:hint="eastAsia" w:ascii="Times New Roman" w:hAnsi="Times New Roman" w:eastAsia="宋体" w:cs="Times New Roman"/>
                <w:spacing w:val="0"/>
                <w:sz w:val="21"/>
                <w:szCs w:val="21"/>
                <w:lang w:val="en-US" w:eastAsia="zh-CN"/>
              </w:rPr>
              <w:t>[2009]78号</w:t>
            </w:r>
          </w:p>
        </w:tc>
        <w:tc>
          <w:tcPr>
            <w:tcW w:w="2040"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highlight w:val="none"/>
                <w:lang w:val="en-US" w:eastAsia="zh-CN"/>
              </w:rPr>
            </w:pPr>
            <w:r>
              <w:rPr>
                <w:rFonts w:hint="eastAsia" w:ascii="Times New Roman" w:hAnsi="Times New Roman" w:cs="Times New Roman"/>
                <w:color w:val="0000FF"/>
                <w:spacing w:val="0"/>
                <w:sz w:val="21"/>
                <w:szCs w:val="21"/>
                <w:highlight w:val="none"/>
                <w:lang w:val="en-US" w:eastAsia="zh-CN"/>
              </w:rPr>
              <w:t>2009.12.4通过验收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98" w:type="dxa"/>
            <w:tcBorders>
              <w:left w:val="single" w:color="000000" w:sz="10"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w:t>
            </w:r>
          </w:p>
        </w:tc>
        <w:tc>
          <w:tcPr>
            <w:tcW w:w="4257"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eastAsia="zh-CN"/>
              </w:rPr>
              <w:t>中粮屯河股份有限公司额敏糖业分公司</w:t>
            </w:r>
            <w:r>
              <w:rPr>
                <w:rFonts w:hint="eastAsia" w:ascii="Times New Roman" w:hAnsi="Times New Roman" w:eastAsia="宋体" w:cs="Times New Roman"/>
                <w:spacing w:val="0"/>
                <w:sz w:val="21"/>
                <w:szCs w:val="21"/>
                <w:lang w:val="en-US" w:eastAsia="zh-CN"/>
              </w:rPr>
              <w:t>3#锅炉除尘器技改工程环境影响报告表</w:t>
            </w:r>
          </w:p>
        </w:tc>
        <w:tc>
          <w:tcPr>
            <w:tcW w:w="1529"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eastAsia="zh-CN"/>
              </w:rPr>
              <w:t>额环字</w:t>
            </w:r>
            <w:r>
              <w:rPr>
                <w:rFonts w:hint="eastAsia" w:ascii="Times New Roman" w:hAnsi="Times New Roman" w:eastAsia="宋体" w:cs="Times New Roman"/>
                <w:spacing w:val="0"/>
                <w:sz w:val="21"/>
                <w:szCs w:val="21"/>
                <w:lang w:val="en-US" w:eastAsia="zh-CN"/>
              </w:rPr>
              <w:t>[2014]99号</w:t>
            </w:r>
          </w:p>
        </w:tc>
        <w:tc>
          <w:tcPr>
            <w:tcW w:w="2040"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highlight w:val="none"/>
              </w:rPr>
            </w:pPr>
            <w:r>
              <w:rPr>
                <w:rFonts w:hint="eastAsia" w:ascii="Times New Roman" w:hAnsi="Times New Roman" w:eastAsia="宋体" w:cs="Times New Roman"/>
                <w:spacing w:val="0"/>
                <w:sz w:val="21"/>
                <w:szCs w:val="21"/>
                <w:highlight w:val="none"/>
                <w:lang w:eastAsia="zh-CN"/>
              </w:rPr>
              <w:t>额环字</w:t>
            </w:r>
            <w:r>
              <w:rPr>
                <w:rFonts w:hint="eastAsia" w:ascii="Times New Roman" w:hAnsi="Times New Roman" w:eastAsia="宋体" w:cs="Times New Roman"/>
                <w:spacing w:val="0"/>
                <w:sz w:val="21"/>
                <w:szCs w:val="21"/>
                <w:highlight w:val="none"/>
                <w:lang w:val="en-US" w:eastAsia="zh-CN"/>
              </w:rPr>
              <w:t>[201</w:t>
            </w:r>
            <w:r>
              <w:rPr>
                <w:rFonts w:hint="eastAsia" w:ascii="Times New Roman" w:hAnsi="Times New Roman" w:cs="Times New Roman"/>
                <w:spacing w:val="0"/>
                <w:sz w:val="21"/>
                <w:szCs w:val="21"/>
                <w:highlight w:val="none"/>
                <w:lang w:val="en-US" w:eastAsia="zh-CN"/>
              </w:rPr>
              <w:t>4</w:t>
            </w:r>
            <w:r>
              <w:rPr>
                <w:rFonts w:hint="eastAsia" w:ascii="Times New Roman" w:hAnsi="Times New Roman" w:eastAsia="宋体" w:cs="Times New Roman"/>
                <w:spacing w:val="0"/>
                <w:sz w:val="21"/>
                <w:szCs w:val="21"/>
                <w:highlight w:val="none"/>
                <w:lang w:val="en-US" w:eastAsia="zh-CN"/>
              </w:rPr>
              <w:t>]</w:t>
            </w:r>
            <w:r>
              <w:rPr>
                <w:rFonts w:hint="eastAsia" w:ascii="Times New Roman" w:hAnsi="Times New Roman" w:cs="Times New Roman"/>
                <w:spacing w:val="0"/>
                <w:sz w:val="21"/>
                <w:szCs w:val="21"/>
                <w:highlight w:val="none"/>
                <w:lang w:val="en-US" w:eastAsia="zh-CN"/>
              </w:rPr>
              <w:t>245</w:t>
            </w:r>
            <w:r>
              <w:rPr>
                <w:rFonts w:hint="eastAsia" w:ascii="Times New Roman" w:hAnsi="Times New Roman" w:eastAsia="宋体" w:cs="Times New Roman"/>
                <w:spacing w:val="0"/>
                <w:sz w:val="21"/>
                <w:szCs w:val="21"/>
                <w:highlight w:val="none"/>
                <w:lang w:val="en-US" w:eastAsia="zh-CN"/>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98" w:type="dxa"/>
            <w:tcBorders>
              <w:left w:val="single" w:color="000000" w:sz="10"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3</w:t>
            </w:r>
          </w:p>
        </w:tc>
        <w:tc>
          <w:tcPr>
            <w:tcW w:w="4257"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eastAsia="zh-CN"/>
              </w:rPr>
              <w:t>中粮屯河股份有限公司额敏糖业分公司</w:t>
            </w:r>
            <w:r>
              <w:rPr>
                <w:rFonts w:hint="eastAsia" w:ascii="Times New Roman" w:hAnsi="Times New Roman" w:eastAsia="宋体" w:cs="Times New Roman"/>
                <w:spacing w:val="0"/>
                <w:sz w:val="21"/>
                <w:szCs w:val="21"/>
                <w:lang w:val="en-US" w:eastAsia="zh-CN"/>
              </w:rPr>
              <w:t>1#锅炉布袋除尘器技改项目环境影响报告表</w:t>
            </w:r>
          </w:p>
        </w:tc>
        <w:tc>
          <w:tcPr>
            <w:tcW w:w="1529"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eastAsia="zh-CN"/>
              </w:rPr>
              <w:t>塔地环函</w:t>
            </w:r>
            <w:r>
              <w:rPr>
                <w:rFonts w:hint="eastAsia" w:ascii="Times New Roman" w:hAnsi="Times New Roman" w:eastAsia="宋体" w:cs="Times New Roman"/>
                <w:spacing w:val="0"/>
                <w:sz w:val="21"/>
                <w:szCs w:val="21"/>
                <w:lang w:val="en-US" w:eastAsia="zh-CN"/>
              </w:rPr>
              <w:t>[2015]107号</w:t>
            </w:r>
          </w:p>
        </w:tc>
        <w:tc>
          <w:tcPr>
            <w:tcW w:w="2040"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spacing w:val="0"/>
                <w:sz w:val="21"/>
                <w:szCs w:val="21"/>
                <w:highlight w:val="none"/>
                <w:lang w:eastAsia="zh-CN"/>
              </w:rPr>
              <w:t>额环字</w:t>
            </w:r>
            <w:r>
              <w:rPr>
                <w:rFonts w:hint="eastAsia" w:ascii="Times New Roman" w:hAnsi="Times New Roman" w:eastAsia="宋体" w:cs="Times New Roman"/>
                <w:spacing w:val="0"/>
                <w:sz w:val="21"/>
                <w:szCs w:val="21"/>
                <w:highlight w:val="none"/>
                <w:lang w:val="en-US" w:eastAsia="zh-CN"/>
              </w:rPr>
              <w:t>[2016]02号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98" w:type="dxa"/>
            <w:tcBorders>
              <w:left w:val="single" w:color="000000" w:sz="10"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4</w:t>
            </w:r>
          </w:p>
        </w:tc>
        <w:tc>
          <w:tcPr>
            <w:tcW w:w="4257"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spacing w:val="0"/>
                <w:sz w:val="21"/>
                <w:szCs w:val="21"/>
                <w:lang w:eastAsia="zh-CN"/>
              </w:rPr>
            </w:pPr>
            <w:r>
              <w:rPr>
                <w:rFonts w:hint="eastAsia" w:ascii="Times New Roman" w:hAnsi="Times New Roman" w:eastAsia="宋体" w:cs="Times New Roman"/>
                <w:spacing w:val="0"/>
                <w:sz w:val="21"/>
                <w:szCs w:val="21"/>
                <w:lang w:eastAsia="zh-CN"/>
              </w:rPr>
              <w:t>中粮屯河股份有限公司额敏糖业分公司锅炉烟气脱硝工程环境影响报告表</w:t>
            </w:r>
          </w:p>
        </w:tc>
        <w:tc>
          <w:tcPr>
            <w:tcW w:w="1529"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额环字[2016]330号</w:t>
            </w:r>
          </w:p>
        </w:tc>
        <w:tc>
          <w:tcPr>
            <w:tcW w:w="2040" w:type="dxa"/>
            <w:tcBorders>
              <w:right w:val="single" w:color="000000" w:sz="10"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highlight w:val="none"/>
              </w:rPr>
            </w:pPr>
            <w:r>
              <w:rPr>
                <w:rFonts w:hint="default" w:ascii="Times New Roman" w:hAnsi="Times New Roman" w:eastAsia="宋体" w:cs="Times New Roman"/>
                <w:spacing w:val="0"/>
                <w:sz w:val="21"/>
                <w:szCs w:val="21"/>
                <w:highlight w:val="none"/>
              </w:rPr>
              <w:t>201</w:t>
            </w:r>
            <w:r>
              <w:rPr>
                <w:rFonts w:hint="eastAsia" w:eastAsia="宋体" w:cs="Times New Roman"/>
                <w:spacing w:val="0"/>
                <w:sz w:val="21"/>
                <w:szCs w:val="21"/>
                <w:highlight w:val="none"/>
                <w:lang w:val="en-US" w:eastAsia="zh-CN"/>
              </w:rPr>
              <w:t>7</w:t>
            </w:r>
            <w:r>
              <w:rPr>
                <w:rFonts w:hint="default" w:ascii="Times New Roman" w:hAnsi="Times New Roman" w:eastAsia="宋体" w:cs="Times New Roman"/>
                <w:spacing w:val="0"/>
                <w:sz w:val="21"/>
                <w:szCs w:val="21"/>
                <w:highlight w:val="none"/>
              </w:rPr>
              <w:t xml:space="preserve"> 年</w:t>
            </w:r>
            <w:r>
              <w:rPr>
                <w:rFonts w:hint="eastAsia" w:eastAsia="宋体" w:cs="Times New Roman"/>
                <w:spacing w:val="0"/>
                <w:sz w:val="21"/>
                <w:szCs w:val="21"/>
                <w:highlight w:val="none"/>
                <w:lang w:val="en-US" w:eastAsia="zh-CN"/>
              </w:rPr>
              <w:t>11</w:t>
            </w:r>
            <w:r>
              <w:rPr>
                <w:rFonts w:hint="default" w:ascii="Times New Roman" w:hAnsi="Times New Roman" w:eastAsia="宋体" w:cs="Times New Roman"/>
                <w:spacing w:val="0"/>
                <w:sz w:val="21"/>
                <w:szCs w:val="21"/>
                <w:highlight w:val="none"/>
              </w:rPr>
              <w:t>月完成自 主环保验收工作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698" w:type="dxa"/>
            <w:tcBorders>
              <w:left w:val="single" w:color="000000" w:sz="10"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5</w:t>
            </w:r>
          </w:p>
        </w:tc>
        <w:tc>
          <w:tcPr>
            <w:tcW w:w="4257"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spacing w:val="0"/>
                <w:sz w:val="21"/>
                <w:szCs w:val="21"/>
                <w:lang w:eastAsia="zh-CN"/>
              </w:rPr>
            </w:pPr>
            <w:r>
              <w:rPr>
                <w:rFonts w:hint="eastAsia" w:ascii="Times New Roman" w:hAnsi="Times New Roman" w:eastAsia="宋体" w:cs="Times New Roman"/>
                <w:spacing w:val="0"/>
                <w:sz w:val="21"/>
                <w:szCs w:val="21"/>
                <w:lang w:eastAsia="zh-CN"/>
              </w:rPr>
              <w:t>中粮新疆屯河股份有限公司废气处理工程改建项目</w:t>
            </w:r>
          </w:p>
        </w:tc>
        <w:tc>
          <w:tcPr>
            <w:tcW w:w="1529"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spacing w:val="0"/>
                <w:sz w:val="21"/>
                <w:szCs w:val="21"/>
                <w:lang w:eastAsia="zh-CN"/>
              </w:rPr>
            </w:pPr>
            <w:r>
              <w:rPr>
                <w:rFonts w:hint="eastAsia" w:ascii="Times New Roman" w:hAnsi="Times New Roman" w:eastAsia="宋体" w:cs="Times New Roman"/>
                <w:spacing w:val="0"/>
                <w:sz w:val="21"/>
                <w:szCs w:val="21"/>
                <w:lang w:eastAsia="zh-CN"/>
              </w:rPr>
              <w:t>登记表</w:t>
            </w:r>
          </w:p>
        </w:tc>
        <w:tc>
          <w:tcPr>
            <w:tcW w:w="2040"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spacing w:val="0"/>
                <w:sz w:val="21"/>
                <w:szCs w:val="21"/>
                <w:highlight w:val="none"/>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hint="eastAsia" w:ascii="Times New Roman" w:cs="Times New Roman"/>
          <w:sz w:val="24"/>
          <w:szCs w:val="24"/>
          <w:lang w:eastAsia="zh-CN"/>
        </w:rPr>
      </w:pPr>
      <w:r>
        <w:rPr>
          <w:rFonts w:ascii="宋体" w:hAnsi="宋体" w:eastAsia="宋体" w:cs="宋体"/>
          <w:spacing w:val="0"/>
          <w:sz w:val="24"/>
          <w:szCs w:val="24"/>
        </w:rPr>
        <w:t>本次环评结合以上环评文件、环保部门发布的环评批复内容、排污许可证及其执行报告、在线监测数据和项目《竣工环境保护验收监测报告》以及建设单位提供的材料，对</w:t>
      </w:r>
      <w:r>
        <w:rPr>
          <w:rFonts w:hint="eastAsia" w:ascii="宋体" w:hAnsi="宋体" w:eastAsia="宋体" w:cs="宋体"/>
          <w:spacing w:val="0"/>
          <w:sz w:val="24"/>
          <w:szCs w:val="24"/>
          <w:lang w:eastAsia="zh-CN"/>
        </w:rPr>
        <w:t>中粮糖业控股股份有限公司额敏糖业分公司</w:t>
      </w:r>
      <w:r>
        <w:rPr>
          <w:rFonts w:ascii="宋体" w:hAnsi="宋体" w:eastAsia="宋体" w:cs="宋体"/>
          <w:spacing w:val="0"/>
          <w:sz w:val="24"/>
          <w:szCs w:val="24"/>
        </w:rPr>
        <w:t>现有项目组成和污染情况统一进行调查、分析</w:t>
      </w:r>
      <w:r>
        <w:rPr>
          <w:rFonts w:hint="eastAsia" w:ascii="宋体" w:hAnsi="宋体" w:eastAsia="宋体" w:cs="宋体"/>
          <w:spacing w:val="0"/>
          <w:sz w:val="24"/>
          <w:szCs w:val="24"/>
          <w:lang w:eastAsia="zh-CN"/>
        </w:rPr>
        <w:t>，</w:t>
      </w:r>
      <w:r>
        <w:rPr>
          <w:rFonts w:ascii="宋体" w:hAnsi="宋体" w:eastAsia="宋体" w:cs="宋体"/>
          <w:spacing w:val="0"/>
          <w:sz w:val="24"/>
          <w:szCs w:val="24"/>
        </w:rPr>
        <w:t>现有工程基本情况如下。</w:t>
      </w:r>
    </w:p>
    <w:p>
      <w:pPr>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outlineLvl w:val="2"/>
      </w:pPr>
      <w:r>
        <w:rPr>
          <w:rFonts w:hint="default" w:ascii="Times New Roman" w:hAnsi="Times New Roman" w:eastAsia="宋体" w:cs="Times New Roman"/>
          <w:b/>
          <w:bCs/>
          <w:sz w:val="28"/>
          <w:szCs w:val="28"/>
          <w:lang w:val="en-US" w:eastAsia="zh-CN" w:bidi="zh-CN"/>
        </w:rPr>
        <w:t>3.1.</w:t>
      </w:r>
      <w:r>
        <w:rPr>
          <w:rFonts w:hint="eastAsia" w:cs="Times New Roman"/>
          <w:b/>
          <w:bCs/>
          <w:sz w:val="28"/>
          <w:szCs w:val="28"/>
          <w:lang w:val="en-US" w:eastAsia="zh-CN" w:bidi="zh-CN"/>
        </w:rPr>
        <w:t>2</w:t>
      </w:r>
      <w:r>
        <w:rPr>
          <w:rFonts w:hint="eastAsia" w:ascii="Times New Roman" w:hAnsi="Times New Roman" w:cs="Times New Roman"/>
          <w:b/>
          <w:bCs/>
          <w:sz w:val="28"/>
          <w:szCs w:val="28"/>
          <w:lang w:val="en-US" w:eastAsia="zh-CN" w:bidi="zh-CN"/>
        </w:rPr>
        <w:t xml:space="preserve"> </w:t>
      </w:r>
      <w:r>
        <w:rPr>
          <w:rFonts w:hint="eastAsia" w:cs="Times New Roman"/>
          <w:b/>
          <w:bCs/>
          <w:sz w:val="28"/>
          <w:szCs w:val="28"/>
          <w:lang w:val="en-US" w:eastAsia="zh-CN" w:bidi="zh-CN"/>
        </w:rPr>
        <w:t>现有工程概况</w:t>
      </w:r>
    </w:p>
    <w:p>
      <w:pPr>
        <w:bidi w:val="0"/>
        <w:rPr>
          <w:rFonts w:hint="eastAsia"/>
          <w:b/>
          <w:bCs/>
          <w:lang w:eastAsia="zh-CN"/>
        </w:rPr>
      </w:pPr>
      <w:r>
        <w:rPr>
          <w:rFonts w:hint="eastAsia"/>
          <w:b/>
          <w:bCs/>
          <w:lang w:val="en-US" w:eastAsia="zh-CN"/>
        </w:rPr>
        <w:t xml:space="preserve">3.1.2.1 </w:t>
      </w:r>
      <w:r>
        <w:rPr>
          <w:rFonts w:hint="eastAsia"/>
          <w:b/>
          <w:bCs/>
          <w:lang w:eastAsia="zh-CN"/>
        </w:rPr>
        <w:t>现有工程概况</w:t>
      </w:r>
    </w:p>
    <w:p>
      <w:pPr>
        <w:bidi w:val="0"/>
        <w:rPr>
          <w:rFonts w:hint="eastAsia"/>
          <w:lang w:val="en-US" w:eastAsia="zh-CN"/>
        </w:rPr>
      </w:pPr>
      <w:r>
        <w:rPr>
          <w:rFonts w:hint="eastAsia"/>
          <w:lang w:eastAsia="zh-CN"/>
        </w:rPr>
        <w:t>中粮糖业控股股份有限公司额敏糖业分公司位于塔城地区额敏县桥南中粮路</w:t>
      </w:r>
      <w:r>
        <w:rPr>
          <w:rFonts w:hint="eastAsia"/>
          <w:lang w:val="en-US" w:eastAsia="zh-CN"/>
        </w:rPr>
        <w:t>21号，日产糖400吨左右，现有工程内容见表3.1-2。</w:t>
      </w:r>
    </w:p>
    <w:p>
      <w:pPr>
        <w:spacing w:before="78" w:line="219" w:lineRule="auto"/>
        <w:ind w:left="3035"/>
        <w:rPr>
          <w:rFonts w:ascii="宋体" w:hAnsi="宋体" w:eastAsia="宋体" w:cs="宋体"/>
          <w:sz w:val="24"/>
          <w:szCs w:val="24"/>
        </w:rPr>
      </w:pPr>
      <w:r>
        <w:rPr>
          <w:rFonts w:hint="default" w:ascii="Times New Roman" w:hAnsi="Times New Roman" w:eastAsia="宋体" w:cs="Times New Roman"/>
          <w:b/>
          <w:bCs/>
          <w:spacing w:val="-1"/>
          <w:sz w:val="21"/>
          <w:szCs w:val="21"/>
        </w:rPr>
        <w:t>表</w:t>
      </w:r>
      <w:r>
        <w:rPr>
          <w:rFonts w:hint="default" w:ascii="Times New Roman" w:hAnsi="Times New Roman" w:eastAsia="宋体" w:cs="Times New Roman"/>
          <w:b/>
          <w:bCs/>
          <w:spacing w:val="-45"/>
          <w:sz w:val="21"/>
          <w:szCs w:val="21"/>
        </w:rPr>
        <w:t xml:space="preserve"> </w:t>
      </w:r>
      <w:r>
        <w:rPr>
          <w:rFonts w:hint="default" w:ascii="Times New Roman" w:hAnsi="Times New Roman" w:eastAsia="宋体" w:cs="Times New Roman"/>
          <w:b/>
          <w:bCs/>
          <w:spacing w:val="-1"/>
          <w:sz w:val="21"/>
          <w:szCs w:val="21"/>
        </w:rPr>
        <w:t>3.1-2    现有项目基本组成</w:t>
      </w:r>
    </w:p>
    <w:p>
      <w:pPr>
        <w:spacing w:line="18" w:lineRule="auto"/>
        <w:rPr>
          <w:rFonts w:ascii="Arial"/>
          <w:sz w:val="2"/>
        </w:rPr>
      </w:pPr>
    </w:p>
    <w:tbl>
      <w:tblPr>
        <w:tblStyle w:val="40"/>
        <w:tblW w:w="85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9"/>
        <w:gridCol w:w="653"/>
        <w:gridCol w:w="1913"/>
        <w:gridCol w:w="51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 w:hRule="atLeast"/>
        </w:trPr>
        <w:tc>
          <w:tcPr>
            <w:tcW w:w="3355" w:type="dxa"/>
            <w:gridSpan w:val="3"/>
            <w:tcBorders>
              <w:top w:val="single" w:color="000000" w:sz="2" w:space="0"/>
              <w:left w:val="single" w:color="000000" w:sz="2"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b/>
                <w:bCs/>
                <w:spacing w:val="0"/>
                <w:sz w:val="21"/>
                <w:szCs w:val="21"/>
                <w:lang w:eastAsia="zh-CN"/>
              </w:rPr>
            </w:pPr>
            <w:r>
              <w:rPr>
                <w:rFonts w:hint="eastAsia"/>
                <w:b/>
                <w:bCs/>
                <w:spacing w:val="0"/>
                <w:sz w:val="21"/>
                <w:szCs w:val="21"/>
                <w:lang w:eastAsia="zh-CN"/>
              </w:rPr>
              <w:t>项目</w:t>
            </w:r>
          </w:p>
        </w:tc>
        <w:tc>
          <w:tcPr>
            <w:tcW w:w="5152" w:type="dxa"/>
            <w:tcBorders>
              <w:top w:val="single" w:color="000000" w:sz="10" w:space="0"/>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b/>
                <w:bCs/>
                <w:spacing w:val="0"/>
                <w:sz w:val="21"/>
                <w:szCs w:val="21"/>
                <w:lang w:eastAsia="zh-CN"/>
              </w:rPr>
            </w:pPr>
            <w:r>
              <w:rPr>
                <w:rFonts w:hint="eastAsia"/>
                <w:b/>
                <w:bCs/>
                <w:spacing w:val="0"/>
                <w:sz w:val="21"/>
                <w:szCs w:val="21"/>
                <w:lang w:eastAsia="zh-CN"/>
              </w:rPr>
              <w:t>建设内容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 w:hRule="atLeast"/>
        </w:trPr>
        <w:tc>
          <w:tcPr>
            <w:tcW w:w="789" w:type="dxa"/>
            <w:tcBorders>
              <w:top w:val="single" w:color="000000" w:sz="2" w:space="0"/>
              <w:left w:val="single" w:color="000000" w:sz="2"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position w:val="0"/>
                <w:sz w:val="21"/>
                <w:szCs w:val="21"/>
              </w:rPr>
              <w:t>主体工程</w:t>
            </w:r>
          </w:p>
        </w:tc>
        <w:tc>
          <w:tcPr>
            <w:tcW w:w="2566" w:type="dxa"/>
            <w:gridSpan w:val="2"/>
            <w:tcBorders>
              <w:top w:val="single" w:color="000000" w:sz="2"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cs="Times New Roman"/>
                <w:spacing w:val="0"/>
                <w:sz w:val="21"/>
                <w:szCs w:val="21"/>
                <w:lang w:val="en-US" w:eastAsia="zh-CN"/>
              </w:rPr>
              <w:t>制糖生产线</w:t>
            </w:r>
          </w:p>
        </w:tc>
        <w:tc>
          <w:tcPr>
            <w:tcW w:w="5152" w:type="dxa"/>
            <w:tcBorders>
              <w:top w:val="single" w:color="000000" w:sz="10" w:space="0"/>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cs="Times New Roman"/>
                <w:spacing w:val="0"/>
                <w:sz w:val="21"/>
                <w:szCs w:val="21"/>
                <w:lang w:eastAsia="zh-CN"/>
              </w:rPr>
              <w:t>年产糖</w:t>
            </w:r>
            <w:r>
              <w:rPr>
                <w:rFonts w:hint="default" w:ascii="Times New Roman" w:hAnsi="Times New Roman" w:cs="Times New Roman"/>
                <w:spacing w:val="0"/>
                <w:sz w:val="21"/>
                <w:szCs w:val="21"/>
                <w:lang w:val="en-US" w:eastAsia="zh-CN"/>
              </w:rPr>
              <w:t>4万吨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9" w:type="dxa"/>
            <w:tcBorders>
              <w:top w:val="single" w:color="000000" w:sz="2" w:space="0"/>
              <w:left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position w:val="0"/>
                <w:sz w:val="21"/>
                <w:szCs w:val="21"/>
              </w:rPr>
            </w:pPr>
            <w:r>
              <w:rPr>
                <w:spacing w:val="0"/>
                <w:position w:val="0"/>
                <w:sz w:val="21"/>
                <w:szCs w:val="21"/>
              </w:rPr>
              <w:t>辅助工程</w:t>
            </w:r>
          </w:p>
        </w:tc>
        <w:tc>
          <w:tcPr>
            <w:tcW w:w="2566" w:type="dxa"/>
            <w:gridSpan w:val="2"/>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rFonts w:hint="eastAsia"/>
                <w:spacing w:val="0"/>
                <w:sz w:val="21"/>
                <w:szCs w:val="21"/>
                <w:lang w:eastAsia="zh-CN"/>
              </w:rPr>
              <w:t>动力</w:t>
            </w:r>
            <w:r>
              <w:rPr>
                <w:spacing w:val="0"/>
                <w:sz w:val="21"/>
                <w:szCs w:val="21"/>
              </w:rPr>
              <w:t>系统</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spacing w:val="0"/>
                <w:sz w:val="21"/>
                <w:szCs w:val="21"/>
                <w:lang w:val="en-US" w:eastAsia="zh-CN"/>
              </w:rPr>
            </w:pPr>
            <w:r>
              <w:rPr>
                <w:rFonts w:hint="eastAsia"/>
                <w:color w:val="0000FF"/>
                <w:spacing w:val="0"/>
                <w:sz w:val="21"/>
                <w:szCs w:val="21"/>
                <w:lang w:val="en-US" w:eastAsia="zh-CN"/>
              </w:rPr>
              <w:t>3台锅炉：</w:t>
            </w:r>
            <w:r>
              <w:rPr>
                <w:rFonts w:hint="eastAsia" w:ascii="Times New Roman" w:hAnsi="Times New Roman" w:cs="Times New Roman"/>
                <w:color w:val="0000FF"/>
                <w:spacing w:val="0"/>
                <w:sz w:val="21"/>
                <w:szCs w:val="21"/>
                <w:lang w:val="en-US" w:eastAsia="zh-CN"/>
              </w:rPr>
              <w:t>2</w:t>
            </w:r>
            <w:r>
              <w:rPr>
                <w:rFonts w:hint="default" w:ascii="Times New Roman" w:hAnsi="Times New Roman" w:cs="Times New Roman"/>
                <w:color w:val="0000FF"/>
                <w:spacing w:val="0"/>
                <w:sz w:val="21"/>
                <w:szCs w:val="21"/>
                <w:lang w:val="en-US" w:eastAsia="zh-CN"/>
              </w:rPr>
              <w:t>台35t/h</w:t>
            </w:r>
            <w:r>
              <w:rPr>
                <w:rFonts w:hint="default" w:ascii="Times New Roman" w:hAnsi="Times New Roman" w:cs="Times New Roman"/>
                <w:color w:val="0000FF"/>
                <w:sz w:val="21"/>
                <w:szCs w:val="21"/>
              </w:rPr>
              <w:t>中温</w:t>
            </w:r>
            <w:r>
              <w:rPr>
                <w:rFonts w:hint="eastAsia" w:ascii="Times New Roman" w:hAnsi="Times New Roman" w:cs="Times New Roman"/>
                <w:color w:val="0000FF"/>
                <w:sz w:val="21"/>
                <w:szCs w:val="21"/>
                <w:lang w:eastAsia="zh-CN"/>
              </w:rPr>
              <w:t>循环流化床锅炉</w:t>
            </w:r>
            <w:r>
              <w:rPr>
                <w:rFonts w:hint="default" w:ascii="Times New Roman" w:hAnsi="Times New Roman" w:cs="Times New Roman"/>
                <w:color w:val="0000FF"/>
                <w:sz w:val="21"/>
                <w:szCs w:val="21"/>
              </w:rPr>
              <w:t>蒸汽锅炉</w:t>
            </w:r>
            <w:r>
              <w:rPr>
                <w:rFonts w:hint="eastAsia" w:ascii="Times New Roman" w:hAnsi="Times New Roman" w:cs="Times New Roman"/>
                <w:color w:val="0000FF"/>
                <w:sz w:val="21"/>
                <w:szCs w:val="21"/>
                <w:lang w:eastAsia="zh-CN"/>
              </w:rPr>
              <w:t>、</w:t>
            </w:r>
            <w:r>
              <w:rPr>
                <w:rFonts w:hint="default" w:ascii="Times New Roman" w:hAnsi="Times New Roman" w:cs="Times New Roman"/>
                <w:color w:val="0000FF"/>
                <w:sz w:val="21"/>
                <w:szCs w:val="21"/>
              </w:rPr>
              <w:t>1</w:t>
            </w:r>
            <w:r>
              <w:rPr>
                <w:rFonts w:hint="default" w:ascii="Times New Roman" w:hAnsi="Times New Roman" w:cs="Times New Roman"/>
                <w:color w:val="0000FF"/>
                <w:sz w:val="21"/>
                <w:szCs w:val="21"/>
                <w:lang w:eastAsia="zh-CN"/>
              </w:rPr>
              <w:t>台</w:t>
            </w:r>
            <w:r>
              <w:rPr>
                <w:rFonts w:hint="default" w:ascii="Times New Roman" w:hAnsi="Times New Roman" w:cs="Times New Roman"/>
                <w:color w:val="0000FF"/>
                <w:sz w:val="21"/>
                <w:szCs w:val="21"/>
              </w:rPr>
              <w:t>20t/h中温低压蒸汽链条锅炉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9" w:type="dxa"/>
            <w:vMerge w:val="restart"/>
            <w:tcBorders>
              <w:left w:val="single" w:color="000000" w:sz="2"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position w:val="0"/>
                <w:sz w:val="21"/>
                <w:szCs w:val="21"/>
              </w:rPr>
            </w:pPr>
            <w:r>
              <w:rPr>
                <w:spacing w:val="0"/>
                <w:position w:val="0"/>
                <w:sz w:val="21"/>
                <w:szCs w:val="21"/>
              </w:rPr>
              <w:t>贮运工程</w:t>
            </w:r>
          </w:p>
        </w:tc>
        <w:tc>
          <w:tcPr>
            <w:tcW w:w="2566" w:type="dxa"/>
            <w:gridSpan w:val="2"/>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spacing w:val="0"/>
                <w:sz w:val="21"/>
                <w:szCs w:val="21"/>
                <w:lang w:eastAsia="zh-CN"/>
              </w:rPr>
            </w:pPr>
            <w:r>
              <w:rPr>
                <w:rFonts w:hint="eastAsia"/>
                <w:spacing w:val="0"/>
                <w:sz w:val="21"/>
                <w:szCs w:val="21"/>
                <w:lang w:eastAsia="zh-CN"/>
              </w:rPr>
              <w:t>煤场</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spacing w:val="0"/>
                <w:sz w:val="21"/>
                <w:szCs w:val="21"/>
                <w:lang w:eastAsia="zh-CN"/>
              </w:rPr>
            </w:pPr>
            <w:r>
              <w:rPr>
                <w:rFonts w:hint="eastAsia"/>
                <w:spacing w:val="0"/>
                <w:sz w:val="21"/>
                <w:szCs w:val="21"/>
                <w:lang w:eastAsia="zh-CN"/>
              </w:rPr>
              <w:t>露天煤场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9" w:type="dxa"/>
            <w:vMerge w:val="continue"/>
            <w:tcBorders>
              <w:top w:val="single" w:color="000000" w:sz="2" w:space="0"/>
              <w:left w:val="single" w:color="000000" w:sz="2"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position w:val="0"/>
                <w:sz w:val="21"/>
                <w:szCs w:val="21"/>
              </w:rPr>
            </w:pPr>
          </w:p>
        </w:tc>
        <w:tc>
          <w:tcPr>
            <w:tcW w:w="2566" w:type="dxa"/>
            <w:gridSpan w:val="2"/>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spacing w:val="0"/>
                <w:sz w:val="21"/>
                <w:szCs w:val="21"/>
                <w:lang w:eastAsia="zh-CN"/>
              </w:rPr>
            </w:pPr>
            <w:r>
              <w:rPr>
                <w:rFonts w:hint="eastAsia"/>
                <w:spacing w:val="0"/>
                <w:sz w:val="21"/>
                <w:szCs w:val="21"/>
                <w:lang w:eastAsia="zh-CN"/>
              </w:rPr>
              <w:t>渣场</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spacing w:val="0"/>
                <w:sz w:val="21"/>
                <w:szCs w:val="21"/>
                <w:lang w:eastAsia="zh-CN"/>
              </w:rPr>
            </w:pPr>
            <w:r>
              <w:rPr>
                <w:rFonts w:hint="eastAsia"/>
                <w:spacing w:val="0"/>
                <w:sz w:val="21"/>
                <w:szCs w:val="21"/>
                <w:lang w:eastAsia="zh-CN"/>
              </w:rPr>
              <w:t>露天渣场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9" w:type="dxa"/>
            <w:vMerge w:val="continue"/>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2566" w:type="dxa"/>
            <w:gridSpan w:val="2"/>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原料运输</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spacing w:val="0"/>
                <w:sz w:val="21"/>
                <w:szCs w:val="21"/>
                <w:lang w:eastAsia="zh-CN"/>
              </w:rPr>
            </w:pPr>
            <w:r>
              <w:rPr>
                <w:rFonts w:hint="eastAsia"/>
                <w:spacing w:val="0"/>
                <w:sz w:val="21"/>
                <w:szCs w:val="21"/>
                <w:lang w:eastAsia="zh-CN"/>
              </w:rPr>
              <w:t>输送系统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9" w:type="dxa"/>
            <w:vMerge w:val="restart"/>
            <w:tcBorders>
              <w:top w:val="single" w:color="000000" w:sz="2" w:space="0"/>
              <w:left w:val="single" w:color="000000" w:sz="2"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position w:val="0"/>
                <w:sz w:val="21"/>
                <w:szCs w:val="21"/>
              </w:rPr>
            </w:pPr>
            <w:r>
              <w:rPr>
                <w:spacing w:val="0"/>
                <w:position w:val="0"/>
                <w:sz w:val="21"/>
                <w:szCs w:val="21"/>
              </w:rPr>
              <w:t>环保工程</w:t>
            </w:r>
          </w:p>
        </w:tc>
        <w:tc>
          <w:tcPr>
            <w:tcW w:w="653" w:type="dxa"/>
            <w:vMerge w:val="restart"/>
            <w:tcBorders>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position w:val="0"/>
                <w:sz w:val="21"/>
                <w:szCs w:val="21"/>
              </w:rPr>
            </w:pPr>
            <w:r>
              <w:rPr>
                <w:spacing w:val="0"/>
                <w:position w:val="0"/>
                <w:sz w:val="21"/>
                <w:szCs w:val="21"/>
              </w:rPr>
              <w:t>废气治理</w:t>
            </w: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eastAsia="宋体"/>
                <w:spacing w:val="0"/>
                <w:sz w:val="21"/>
                <w:szCs w:val="21"/>
                <w:lang w:val="en-US" w:eastAsia="zh-CN"/>
              </w:rPr>
            </w:pPr>
            <w:r>
              <w:rPr>
                <w:rFonts w:hint="eastAsia"/>
                <w:spacing w:val="0"/>
                <w:sz w:val="21"/>
                <w:szCs w:val="21"/>
                <w:lang w:val="en-US" w:eastAsia="zh-CN"/>
              </w:rPr>
              <w:t>1#锅炉烟气治理</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布袋除尘</w:t>
            </w:r>
            <w:r>
              <w:rPr>
                <w:rFonts w:ascii="Times New Roman" w:hAnsi="Times New Roman" w:eastAsia="Times New Roman" w:cs="Times New Roman"/>
                <w:spacing w:val="0"/>
                <w:sz w:val="21"/>
                <w:szCs w:val="21"/>
              </w:rPr>
              <w:t>+</w:t>
            </w:r>
            <w:r>
              <w:rPr>
                <w:rFonts w:hint="eastAsia" w:eastAsia="宋体"/>
                <w:spacing w:val="0"/>
                <w:sz w:val="21"/>
                <w:szCs w:val="21"/>
                <w:lang w:eastAsia="zh-CN"/>
              </w:rPr>
              <w:t>双碱法</w:t>
            </w:r>
            <w:r>
              <w:rPr>
                <w:rFonts w:hint="eastAsia"/>
                <w:spacing w:val="0"/>
                <w:sz w:val="21"/>
                <w:szCs w:val="21"/>
                <w:lang w:eastAsia="zh-CN"/>
              </w:rPr>
              <w:t>脱硫</w:t>
            </w:r>
            <w:r>
              <w:rPr>
                <w:rFonts w:ascii="Times New Roman" w:hAnsi="Times New Roman" w:eastAsia="Times New Roman" w:cs="Times New Roman"/>
                <w:spacing w:val="0"/>
                <w:sz w:val="21"/>
                <w:szCs w:val="21"/>
              </w:rPr>
              <w:t>+</w:t>
            </w:r>
            <w:r>
              <w:rPr>
                <w:rFonts w:hint="eastAsia" w:ascii="Times New Roman" w:hAnsi="Times New Roman" w:eastAsia="宋体" w:cs="Times New Roman"/>
                <w:spacing w:val="0"/>
                <w:sz w:val="21"/>
                <w:szCs w:val="21"/>
                <w:lang w:val="en-US" w:eastAsia="zh-CN"/>
              </w:rPr>
              <w:t>S</w:t>
            </w:r>
            <w:r>
              <w:rPr>
                <w:rFonts w:ascii="Times New Roman" w:hAnsi="Times New Roman" w:eastAsia="Times New Roman" w:cs="Times New Roman"/>
                <w:spacing w:val="0"/>
                <w:sz w:val="21"/>
                <w:szCs w:val="21"/>
              </w:rPr>
              <w:t>NCR</w:t>
            </w:r>
            <w:r>
              <w:rPr>
                <w:spacing w:val="0"/>
                <w:sz w:val="21"/>
                <w:szCs w:val="21"/>
              </w:rPr>
              <w:t>脱硝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 w:hRule="atLeast"/>
        </w:trPr>
        <w:tc>
          <w:tcPr>
            <w:tcW w:w="789" w:type="dxa"/>
            <w:vMerge w:val="continue"/>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653" w:type="dxa"/>
            <w:vMerge w:val="continue"/>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rFonts w:hint="eastAsia"/>
                <w:spacing w:val="0"/>
                <w:sz w:val="21"/>
                <w:szCs w:val="21"/>
                <w:lang w:val="en-US" w:eastAsia="zh-CN"/>
              </w:rPr>
              <w:t>2#</w:t>
            </w:r>
            <w:r>
              <w:rPr>
                <w:spacing w:val="0"/>
                <w:sz w:val="21"/>
                <w:szCs w:val="21"/>
              </w:rPr>
              <w:t>锅炉烟气治理</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布袋除尘</w:t>
            </w:r>
            <w:r>
              <w:rPr>
                <w:rFonts w:ascii="Times New Roman" w:hAnsi="Times New Roman" w:eastAsia="Times New Roman" w:cs="Times New Roman"/>
                <w:spacing w:val="0"/>
                <w:sz w:val="21"/>
                <w:szCs w:val="21"/>
              </w:rPr>
              <w:t>+</w:t>
            </w:r>
            <w:r>
              <w:rPr>
                <w:rFonts w:hint="eastAsia" w:eastAsia="宋体"/>
                <w:spacing w:val="0"/>
                <w:sz w:val="21"/>
                <w:szCs w:val="21"/>
                <w:lang w:eastAsia="zh-CN"/>
              </w:rPr>
              <w:t>双碱法</w:t>
            </w:r>
            <w:r>
              <w:rPr>
                <w:rFonts w:hint="eastAsia"/>
                <w:spacing w:val="0"/>
                <w:sz w:val="21"/>
                <w:szCs w:val="21"/>
                <w:lang w:eastAsia="zh-CN"/>
              </w:rPr>
              <w:t>脱硫</w:t>
            </w:r>
            <w:r>
              <w:rPr>
                <w:rFonts w:ascii="Times New Roman" w:hAnsi="Times New Roman" w:eastAsia="Times New Roman" w:cs="Times New Roman"/>
                <w:spacing w:val="0"/>
                <w:sz w:val="21"/>
                <w:szCs w:val="21"/>
              </w:rPr>
              <w:t>+</w:t>
            </w:r>
            <w:r>
              <w:rPr>
                <w:rFonts w:hint="eastAsia" w:ascii="Times New Roman" w:hAnsi="Times New Roman" w:eastAsia="宋体" w:cs="Times New Roman"/>
                <w:spacing w:val="0"/>
                <w:sz w:val="21"/>
                <w:szCs w:val="21"/>
                <w:lang w:val="en-US" w:eastAsia="zh-CN"/>
              </w:rPr>
              <w:t>S</w:t>
            </w:r>
            <w:r>
              <w:rPr>
                <w:rFonts w:ascii="Times New Roman" w:hAnsi="Times New Roman" w:eastAsia="Times New Roman" w:cs="Times New Roman"/>
                <w:spacing w:val="0"/>
                <w:sz w:val="21"/>
                <w:szCs w:val="21"/>
              </w:rPr>
              <w:t>NCR</w:t>
            </w:r>
            <w:r>
              <w:rPr>
                <w:spacing w:val="0"/>
                <w:sz w:val="21"/>
                <w:szCs w:val="21"/>
              </w:rPr>
              <w:t>脱硝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9" w:type="dxa"/>
            <w:vMerge w:val="continue"/>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653" w:type="dxa"/>
            <w:vMerge w:val="continue"/>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rFonts w:hint="eastAsia"/>
                <w:spacing w:val="0"/>
                <w:sz w:val="21"/>
                <w:szCs w:val="21"/>
                <w:lang w:val="en-US" w:eastAsia="zh-CN"/>
              </w:rPr>
              <w:t>3#</w:t>
            </w:r>
            <w:r>
              <w:rPr>
                <w:spacing w:val="0"/>
                <w:sz w:val="21"/>
                <w:szCs w:val="21"/>
              </w:rPr>
              <w:t>锅炉烟气治理</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布袋除尘</w:t>
            </w:r>
            <w:r>
              <w:rPr>
                <w:rFonts w:ascii="Times New Roman" w:hAnsi="Times New Roman" w:eastAsia="Times New Roman" w:cs="Times New Roman"/>
                <w:spacing w:val="0"/>
                <w:sz w:val="21"/>
                <w:szCs w:val="21"/>
              </w:rPr>
              <w:t>+</w:t>
            </w:r>
            <w:r>
              <w:rPr>
                <w:rFonts w:hint="eastAsia" w:eastAsia="宋体"/>
                <w:spacing w:val="0"/>
                <w:sz w:val="21"/>
                <w:szCs w:val="21"/>
                <w:lang w:eastAsia="zh-CN"/>
              </w:rPr>
              <w:t>双碱法</w:t>
            </w:r>
            <w:r>
              <w:rPr>
                <w:rFonts w:hint="eastAsia"/>
                <w:spacing w:val="0"/>
                <w:sz w:val="21"/>
                <w:szCs w:val="21"/>
                <w:lang w:eastAsia="zh-CN"/>
              </w:rPr>
              <w:t>脱硫</w:t>
            </w:r>
            <w:r>
              <w:rPr>
                <w:rFonts w:ascii="Times New Roman" w:hAnsi="Times New Roman" w:eastAsia="Times New Roman" w:cs="Times New Roman"/>
                <w:spacing w:val="0"/>
                <w:sz w:val="21"/>
                <w:szCs w:val="21"/>
              </w:rPr>
              <w:t>+</w:t>
            </w:r>
            <w:r>
              <w:rPr>
                <w:rFonts w:hint="eastAsia" w:ascii="Times New Roman" w:hAnsi="Times New Roman" w:eastAsia="宋体" w:cs="Times New Roman"/>
                <w:spacing w:val="0"/>
                <w:sz w:val="21"/>
                <w:szCs w:val="21"/>
                <w:lang w:val="en-US" w:eastAsia="zh-CN"/>
              </w:rPr>
              <w:t>S</w:t>
            </w:r>
            <w:r>
              <w:rPr>
                <w:rFonts w:ascii="Times New Roman" w:hAnsi="Times New Roman" w:eastAsia="Times New Roman" w:cs="Times New Roman"/>
                <w:spacing w:val="0"/>
                <w:sz w:val="21"/>
                <w:szCs w:val="21"/>
              </w:rPr>
              <w:t>NCR</w:t>
            </w:r>
            <w:r>
              <w:rPr>
                <w:spacing w:val="0"/>
                <w:sz w:val="21"/>
                <w:szCs w:val="21"/>
              </w:rPr>
              <w:t>脱硝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9" w:type="dxa"/>
            <w:vMerge w:val="continue"/>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653" w:type="dxa"/>
            <w:vMerge w:val="restart"/>
            <w:tcBorders>
              <w:top w:val="single" w:color="000000" w:sz="2"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position w:val="0"/>
                <w:sz w:val="21"/>
                <w:szCs w:val="21"/>
              </w:rPr>
            </w:pPr>
            <w:r>
              <w:rPr>
                <w:spacing w:val="0"/>
                <w:position w:val="0"/>
                <w:sz w:val="21"/>
                <w:szCs w:val="21"/>
              </w:rPr>
              <w:t>废水治理</w:t>
            </w: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ascii="宋体" w:hAnsi="宋体" w:eastAsia="宋体" w:cs="宋体"/>
                <w:spacing w:val="0"/>
                <w:sz w:val="21"/>
                <w:szCs w:val="21"/>
                <w:lang w:val="en-US" w:eastAsia="en-US" w:bidi="ar-SA"/>
              </w:rPr>
            </w:pPr>
            <w:r>
              <w:rPr>
                <w:spacing w:val="0"/>
                <w:sz w:val="21"/>
                <w:szCs w:val="21"/>
              </w:rPr>
              <w:t>循环水利用系统</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宋体" w:hAnsi="宋体" w:eastAsia="宋体" w:cs="宋体"/>
                <w:spacing w:val="0"/>
                <w:sz w:val="21"/>
                <w:szCs w:val="21"/>
                <w:lang w:val="en-US" w:eastAsia="zh-CN" w:bidi="ar-SA"/>
              </w:rPr>
            </w:pPr>
            <w:r>
              <w:rPr>
                <w:rFonts w:hint="eastAsia"/>
                <w:spacing w:val="0"/>
                <w:sz w:val="21"/>
                <w:szCs w:val="21"/>
                <w:lang w:eastAsia="zh-CN"/>
              </w:rPr>
              <w:t>脱硫废水循环使用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89" w:type="dxa"/>
            <w:vMerge w:val="continue"/>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653" w:type="dxa"/>
            <w:vMerge w:val="continue"/>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ascii="宋体" w:hAnsi="宋体" w:eastAsia="宋体" w:cs="宋体"/>
                <w:spacing w:val="0"/>
                <w:sz w:val="21"/>
                <w:szCs w:val="21"/>
                <w:lang w:val="en-US" w:eastAsia="en-US" w:bidi="ar-SA"/>
              </w:rPr>
            </w:pPr>
            <w:r>
              <w:rPr>
                <w:spacing w:val="0"/>
                <w:sz w:val="21"/>
                <w:szCs w:val="21"/>
              </w:rPr>
              <w:t>生活污水</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ascii="宋体" w:hAnsi="宋体" w:eastAsia="宋体" w:cs="宋体"/>
                <w:spacing w:val="0"/>
                <w:sz w:val="21"/>
                <w:szCs w:val="21"/>
                <w:lang w:val="en-US" w:eastAsia="en-US" w:bidi="ar-SA"/>
              </w:rPr>
            </w:pPr>
            <w:r>
              <w:rPr>
                <w:spacing w:val="0"/>
                <w:sz w:val="21"/>
                <w:szCs w:val="21"/>
              </w:rPr>
              <w:t>排入</w:t>
            </w:r>
            <w:r>
              <w:rPr>
                <w:rFonts w:hint="eastAsia"/>
                <w:spacing w:val="0"/>
                <w:sz w:val="21"/>
                <w:szCs w:val="21"/>
                <w:lang w:eastAsia="zh-CN"/>
              </w:rPr>
              <w:t>市政排水管网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89" w:type="dxa"/>
            <w:vMerge w:val="continue"/>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653" w:type="dxa"/>
            <w:vMerge w:val="restart"/>
            <w:tcBorders>
              <w:top w:val="single" w:color="000000" w:sz="2"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position w:val="0"/>
                <w:sz w:val="21"/>
                <w:szCs w:val="21"/>
              </w:rPr>
            </w:pPr>
            <w:r>
              <w:rPr>
                <w:spacing w:val="0"/>
                <w:position w:val="0"/>
                <w:sz w:val="21"/>
                <w:szCs w:val="21"/>
              </w:rPr>
              <w:t>固废处理系统</w:t>
            </w: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宋体"/>
                <w:spacing w:val="0"/>
                <w:sz w:val="21"/>
                <w:szCs w:val="21"/>
                <w:lang w:eastAsia="zh-CN"/>
              </w:rPr>
            </w:pPr>
            <w:r>
              <w:rPr>
                <w:rFonts w:hint="eastAsia"/>
                <w:spacing w:val="0"/>
                <w:sz w:val="21"/>
                <w:szCs w:val="21"/>
                <w:lang w:eastAsia="zh-CN"/>
              </w:rPr>
              <w:t>锅炉灰渣</w:t>
            </w:r>
          </w:p>
        </w:tc>
        <w:tc>
          <w:tcPr>
            <w:tcW w:w="5152" w:type="dxa"/>
            <w:vMerge w:val="restart"/>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rFonts w:hint="eastAsia" w:cs="Times New Roman"/>
                <w:color w:val="0000FF"/>
                <w:sz w:val="21"/>
                <w:szCs w:val="21"/>
                <w:highlight w:val="none"/>
                <w:lang w:eastAsia="zh-CN"/>
              </w:rPr>
              <w:t>由附近农户拉走用于院落和道路铺设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89" w:type="dxa"/>
            <w:vMerge w:val="continue"/>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653" w:type="dxa"/>
            <w:vMerge w:val="continue"/>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sz w:val="21"/>
                <w:szCs w:val="21"/>
              </w:rPr>
            </w:pP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spacing w:val="0"/>
                <w:sz w:val="21"/>
                <w:szCs w:val="21"/>
                <w:lang w:eastAsia="zh-CN"/>
              </w:rPr>
            </w:pPr>
            <w:r>
              <w:rPr>
                <w:rFonts w:hint="eastAsia"/>
                <w:spacing w:val="0"/>
                <w:sz w:val="21"/>
                <w:szCs w:val="21"/>
                <w:lang w:eastAsia="zh-CN"/>
              </w:rPr>
              <w:t>碱液再生硫酸钙和亚硫酸钙沉淀</w:t>
            </w:r>
          </w:p>
        </w:tc>
        <w:tc>
          <w:tcPr>
            <w:tcW w:w="5152" w:type="dxa"/>
            <w:vMerge w:val="continue"/>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789" w:type="dxa"/>
            <w:vMerge w:val="continue"/>
            <w:tcBorders>
              <w:top w:val="single" w:color="000000" w:sz="2" w:space="0"/>
              <w:left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position w:val="0"/>
                <w:sz w:val="21"/>
                <w:szCs w:val="21"/>
              </w:rPr>
            </w:pPr>
          </w:p>
        </w:tc>
        <w:tc>
          <w:tcPr>
            <w:tcW w:w="653" w:type="dxa"/>
            <w:vMerge w:val="continue"/>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sz w:val="21"/>
                <w:szCs w:val="21"/>
              </w:rPr>
            </w:pP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生活垃圾</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spacing w:val="0"/>
                <w:sz w:val="21"/>
                <w:szCs w:val="21"/>
                <w:lang w:eastAsia="zh-CN"/>
              </w:rPr>
            </w:pPr>
            <w:r>
              <w:rPr>
                <w:rFonts w:hint="eastAsia"/>
                <w:spacing w:val="0"/>
                <w:sz w:val="21"/>
                <w:szCs w:val="21"/>
                <w:lang w:eastAsia="zh-CN"/>
              </w:rPr>
              <w:t>环卫部门定期清运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9" w:type="dxa"/>
            <w:vMerge w:val="restart"/>
            <w:tcBorders>
              <w:top w:val="single" w:color="000000" w:sz="2" w:space="0"/>
              <w:left w:val="single" w:color="000000" w:sz="10" w:space="0"/>
              <w:bottom w:val="single" w:color="000000" w:sz="2"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position w:val="0"/>
                <w:sz w:val="21"/>
                <w:szCs w:val="21"/>
              </w:rPr>
            </w:pPr>
            <w:r>
              <w:rPr>
                <w:spacing w:val="0"/>
                <w:position w:val="0"/>
                <w:sz w:val="21"/>
                <w:szCs w:val="21"/>
              </w:rPr>
              <w:t>公用工程</w:t>
            </w:r>
          </w:p>
        </w:tc>
        <w:tc>
          <w:tcPr>
            <w:tcW w:w="65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供电</w:t>
            </w:r>
          </w:p>
        </w:tc>
        <w:tc>
          <w:tcPr>
            <w:tcW w:w="7065" w:type="dxa"/>
            <w:gridSpan w:val="2"/>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依托</w:t>
            </w:r>
            <w:r>
              <w:rPr>
                <w:rFonts w:hint="eastAsia"/>
                <w:spacing w:val="0"/>
                <w:sz w:val="21"/>
                <w:szCs w:val="21"/>
                <w:lang w:eastAsia="zh-CN"/>
              </w:rPr>
              <w:t>市政</w:t>
            </w:r>
            <w:r>
              <w:rPr>
                <w:spacing w:val="0"/>
                <w:sz w:val="21"/>
                <w:szCs w:val="21"/>
              </w:rPr>
              <w:t>供电系统，厂区内配电设施完整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9" w:type="dxa"/>
            <w:vMerge w:val="continue"/>
            <w:tcBorders>
              <w:top w:val="single" w:color="000000" w:sz="2" w:space="0"/>
              <w:left w:val="single" w:color="000000" w:sz="10"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sz w:val="21"/>
                <w:szCs w:val="21"/>
              </w:rPr>
            </w:pPr>
          </w:p>
        </w:tc>
        <w:tc>
          <w:tcPr>
            <w:tcW w:w="65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供水</w:t>
            </w:r>
          </w:p>
        </w:tc>
        <w:tc>
          <w:tcPr>
            <w:tcW w:w="7065" w:type="dxa"/>
            <w:gridSpan w:val="2"/>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rFonts w:hint="eastAsia"/>
                <w:spacing w:val="0"/>
                <w:sz w:val="21"/>
                <w:szCs w:val="21"/>
                <w:lang w:eastAsia="zh-CN"/>
              </w:rPr>
              <w:t>接入市政供水系统</w:t>
            </w:r>
            <w:r>
              <w:rPr>
                <w:spacing w:val="0"/>
                <w:sz w:val="21"/>
                <w:szCs w:val="21"/>
              </w:rPr>
              <w:t>，现有供水系统可以满足需要。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89" w:type="dxa"/>
            <w:vMerge w:val="continue"/>
            <w:tcBorders>
              <w:top w:val="single" w:color="000000" w:sz="2" w:space="0"/>
              <w:left w:val="single" w:color="000000" w:sz="10"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sz w:val="21"/>
                <w:szCs w:val="21"/>
              </w:rPr>
            </w:pPr>
          </w:p>
        </w:tc>
        <w:tc>
          <w:tcPr>
            <w:tcW w:w="65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排水</w:t>
            </w:r>
          </w:p>
        </w:tc>
        <w:tc>
          <w:tcPr>
            <w:tcW w:w="1913" w:type="dxa"/>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生活污水</w:t>
            </w:r>
          </w:p>
        </w:tc>
        <w:tc>
          <w:tcPr>
            <w:tcW w:w="5152" w:type="dxa"/>
            <w:tcBorders>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排入</w:t>
            </w:r>
            <w:r>
              <w:rPr>
                <w:rFonts w:hint="eastAsia"/>
                <w:spacing w:val="0"/>
                <w:sz w:val="21"/>
                <w:szCs w:val="21"/>
                <w:lang w:eastAsia="zh-CN"/>
              </w:rPr>
              <w:t>市政排水管网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89" w:type="dxa"/>
            <w:vMerge w:val="continue"/>
            <w:tcBorders>
              <w:top w:val="single" w:color="000000" w:sz="2" w:space="0"/>
              <w:left w:val="single" w:color="000000" w:sz="10" w:space="0"/>
              <w:bottom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ascii="Arial"/>
                <w:sz w:val="21"/>
                <w:szCs w:val="21"/>
              </w:rPr>
            </w:pPr>
          </w:p>
        </w:tc>
        <w:tc>
          <w:tcPr>
            <w:tcW w:w="653" w:type="dxa"/>
            <w:tcBorders>
              <w:bottom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both"/>
              <w:textAlignment w:val="auto"/>
              <w:rPr>
                <w:sz w:val="21"/>
                <w:szCs w:val="21"/>
              </w:rPr>
            </w:pPr>
            <w:r>
              <w:rPr>
                <w:spacing w:val="4"/>
                <w:sz w:val="21"/>
                <w:szCs w:val="21"/>
              </w:rPr>
              <w:t>供暖</w:t>
            </w:r>
          </w:p>
        </w:tc>
        <w:tc>
          <w:tcPr>
            <w:tcW w:w="7065" w:type="dxa"/>
            <w:gridSpan w:val="2"/>
            <w:tcBorders>
              <w:bottom w:val="single" w:color="000000" w:sz="10" w:space="0"/>
              <w:right w:val="single" w:color="000000" w:sz="10" w:space="0"/>
            </w:tcBorders>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jc w:val="center"/>
              <w:textAlignment w:val="auto"/>
              <w:rPr>
                <w:rFonts w:hint="eastAsia" w:eastAsia="宋体"/>
                <w:sz w:val="21"/>
                <w:szCs w:val="21"/>
                <w:lang w:eastAsia="zh-CN"/>
              </w:rPr>
            </w:pPr>
            <w:r>
              <w:rPr>
                <w:rFonts w:hint="eastAsia"/>
                <w:spacing w:val="8"/>
                <w:sz w:val="21"/>
                <w:szCs w:val="21"/>
                <w:lang w:eastAsia="zh-CN"/>
              </w:rPr>
              <w:t>生产锅炉余热为厂区内冬季供暖</w:t>
            </w:r>
          </w:p>
        </w:tc>
      </w:tr>
    </w:tbl>
    <w:p>
      <w:pPr>
        <w:bidi w:val="0"/>
        <w:rPr>
          <w:rFonts w:hint="eastAsia"/>
          <w:b/>
          <w:bCs/>
          <w:lang w:eastAsia="zh-CN"/>
        </w:rPr>
      </w:pPr>
      <w:r>
        <w:rPr>
          <w:rFonts w:hint="eastAsia"/>
          <w:b/>
          <w:bCs/>
          <w:lang w:val="en-US" w:eastAsia="zh-CN"/>
        </w:rPr>
        <w:t xml:space="preserve">3.1.2.2 </w:t>
      </w:r>
      <w:r>
        <w:rPr>
          <w:rFonts w:hint="eastAsia"/>
          <w:b/>
          <w:bCs/>
          <w:lang w:eastAsia="zh-CN"/>
        </w:rPr>
        <w:t>现有工程产品规格</w:t>
      </w:r>
    </w:p>
    <w:p>
      <w:pPr>
        <w:bidi w:val="0"/>
        <w:rPr>
          <w:rFonts w:hint="default"/>
          <w:lang w:val="en-US" w:eastAsia="zh-CN"/>
        </w:rPr>
      </w:pPr>
      <w:r>
        <w:rPr>
          <w:rFonts w:hint="eastAsia"/>
          <w:lang w:eastAsia="zh-CN"/>
        </w:rPr>
        <w:t>现有工程生产规模为年产糖</w:t>
      </w:r>
      <w:r>
        <w:rPr>
          <w:rFonts w:hint="eastAsia"/>
          <w:lang w:val="en-US" w:eastAsia="zh-CN"/>
        </w:rPr>
        <w:t>4万吨，本次技改只针对生产用锅炉，技改后产能不变。</w:t>
      </w:r>
    </w:p>
    <w:p>
      <w:pPr>
        <w:bidi w:val="0"/>
        <w:rPr>
          <w:rFonts w:hint="eastAsia"/>
          <w:b/>
          <w:bCs/>
          <w:lang w:eastAsia="zh-CN"/>
        </w:rPr>
      </w:pPr>
      <w:r>
        <w:rPr>
          <w:rFonts w:hint="eastAsia"/>
          <w:b/>
          <w:bCs/>
          <w:lang w:val="en-US" w:eastAsia="zh-CN"/>
        </w:rPr>
        <w:t xml:space="preserve">3.1.2.3 </w:t>
      </w:r>
      <w:r>
        <w:rPr>
          <w:rFonts w:hint="eastAsia"/>
          <w:b/>
          <w:bCs/>
          <w:lang w:eastAsia="zh-CN"/>
        </w:rPr>
        <w:t>现有工程能源消耗情况</w:t>
      </w:r>
    </w:p>
    <w:p>
      <w:pPr>
        <w:bidi w:val="0"/>
        <w:rPr>
          <w:rFonts w:hint="eastAsia"/>
          <w:lang w:val="en-US" w:eastAsia="zh-CN"/>
        </w:rPr>
      </w:pPr>
      <w:r>
        <w:rPr>
          <w:rFonts w:hint="eastAsia"/>
          <w:lang w:eastAsia="zh-CN"/>
        </w:rPr>
        <w:t>现有工程每年燃煤量</w:t>
      </w:r>
      <w:r>
        <w:rPr>
          <w:rFonts w:hint="eastAsia"/>
          <w:lang w:val="en-US" w:eastAsia="zh-CN"/>
        </w:rPr>
        <w:t>43609.488t，</w:t>
      </w:r>
      <w:r>
        <w:rPr>
          <w:rFonts w:hint="eastAsia"/>
          <w:lang w:eastAsia="zh-CN"/>
        </w:rPr>
        <w:t>燃煤消耗见表</w:t>
      </w:r>
      <w:r>
        <w:rPr>
          <w:rFonts w:hint="eastAsia"/>
          <w:lang w:val="en-US" w:eastAsia="zh-CN"/>
        </w:rPr>
        <w:t>3.1-3、脱硫剂使用量见表3.1-4。</w:t>
      </w:r>
    </w:p>
    <w:p>
      <w:pPr>
        <w:bidi w:val="0"/>
        <w:jc w:val="center"/>
        <w:rPr>
          <w:rFonts w:hint="default"/>
          <w:b/>
          <w:bCs/>
          <w:sz w:val="21"/>
          <w:szCs w:val="21"/>
          <w:lang w:val="en-US" w:eastAsia="zh-CN"/>
        </w:rPr>
      </w:pPr>
      <w:r>
        <w:rPr>
          <w:rFonts w:hint="eastAsia"/>
          <w:b/>
          <w:bCs/>
          <w:sz w:val="21"/>
          <w:szCs w:val="21"/>
          <w:lang w:val="en-US" w:eastAsia="zh-CN"/>
        </w:rPr>
        <w:t>表3.1-3 现有工程燃煤消耗一览表</w:t>
      </w:r>
    </w:p>
    <w:tbl>
      <w:tblPr>
        <w:tblStyle w:val="31"/>
        <w:tblW w:w="4999" w:type="pct"/>
        <w:jc w:val="center"/>
        <w:tblLayout w:type="autofit"/>
        <w:tblCellMar>
          <w:top w:w="0" w:type="dxa"/>
          <w:left w:w="108" w:type="dxa"/>
          <w:bottom w:w="0" w:type="dxa"/>
          <w:right w:w="108" w:type="dxa"/>
        </w:tblCellMar>
      </w:tblPr>
      <w:tblGrid>
        <w:gridCol w:w="2463"/>
        <w:gridCol w:w="2159"/>
        <w:gridCol w:w="1948"/>
        <w:gridCol w:w="1948"/>
      </w:tblGrid>
      <w:tr>
        <w:tblPrEx>
          <w:tblCellMar>
            <w:top w:w="0" w:type="dxa"/>
            <w:left w:w="108" w:type="dxa"/>
            <w:bottom w:w="0" w:type="dxa"/>
            <w:right w:w="108" w:type="dxa"/>
          </w:tblCellMar>
        </w:tblPrEx>
        <w:trPr>
          <w:trHeight w:val="285" w:hRule="atLeast"/>
          <w:jc w:val="center"/>
        </w:trPr>
        <w:tc>
          <w:tcPr>
            <w:tcW w:w="1446" w:type="pct"/>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锅炉建设规模</w:t>
            </w:r>
          </w:p>
        </w:tc>
        <w:tc>
          <w:tcPr>
            <w:tcW w:w="1267"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小时燃煤量（t/h）</w:t>
            </w:r>
          </w:p>
        </w:tc>
        <w:tc>
          <w:tcPr>
            <w:tcW w:w="1143"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日燃煤量（t）</w:t>
            </w:r>
          </w:p>
        </w:tc>
        <w:tc>
          <w:tcPr>
            <w:tcW w:w="1143"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年燃煤量（t）</w:t>
            </w:r>
          </w:p>
        </w:tc>
      </w:tr>
      <w:tr>
        <w:tblPrEx>
          <w:tblCellMar>
            <w:top w:w="0" w:type="dxa"/>
            <w:left w:w="108" w:type="dxa"/>
            <w:bottom w:w="0" w:type="dxa"/>
            <w:right w:w="108" w:type="dxa"/>
          </w:tblCellMar>
        </w:tblPrEx>
        <w:trPr>
          <w:trHeight w:val="285" w:hRule="atLeast"/>
          <w:jc w:val="center"/>
        </w:trPr>
        <w:tc>
          <w:tcPr>
            <w:tcW w:w="144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2×35t/h</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8.3895</w:t>
            </w:r>
          </w:p>
        </w:tc>
        <w:tc>
          <w:tcPr>
            <w:tcW w:w="11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201.348</w:t>
            </w:r>
          </w:p>
        </w:tc>
        <w:tc>
          <w:tcPr>
            <w:tcW w:w="11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34229.16</w:t>
            </w:r>
          </w:p>
        </w:tc>
      </w:tr>
      <w:tr>
        <w:tblPrEx>
          <w:tblCellMar>
            <w:top w:w="0" w:type="dxa"/>
            <w:left w:w="108" w:type="dxa"/>
            <w:bottom w:w="0" w:type="dxa"/>
            <w:right w:w="108" w:type="dxa"/>
          </w:tblCellMar>
        </w:tblPrEx>
        <w:trPr>
          <w:trHeight w:val="285" w:hRule="atLeast"/>
          <w:jc w:val="center"/>
        </w:trPr>
        <w:tc>
          <w:tcPr>
            <w:tcW w:w="144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20t/h</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2.2991</w:t>
            </w:r>
          </w:p>
        </w:tc>
        <w:tc>
          <w:tcPr>
            <w:tcW w:w="11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55.1784</w:t>
            </w:r>
          </w:p>
        </w:tc>
        <w:tc>
          <w:tcPr>
            <w:tcW w:w="11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9380.328</w:t>
            </w:r>
          </w:p>
        </w:tc>
      </w:tr>
      <w:tr>
        <w:tblPrEx>
          <w:tblCellMar>
            <w:top w:w="0" w:type="dxa"/>
            <w:left w:w="108" w:type="dxa"/>
            <w:bottom w:w="0" w:type="dxa"/>
            <w:right w:w="108" w:type="dxa"/>
          </w:tblCellMar>
        </w:tblPrEx>
        <w:trPr>
          <w:trHeight w:val="285" w:hRule="atLeast"/>
          <w:jc w:val="center"/>
        </w:trPr>
        <w:tc>
          <w:tcPr>
            <w:tcW w:w="144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合计</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10.6886</w:t>
            </w:r>
          </w:p>
        </w:tc>
        <w:tc>
          <w:tcPr>
            <w:tcW w:w="11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256.5264</w:t>
            </w:r>
          </w:p>
        </w:tc>
        <w:tc>
          <w:tcPr>
            <w:tcW w:w="11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43609.488</w:t>
            </w:r>
          </w:p>
        </w:tc>
      </w:tr>
    </w:tbl>
    <w:p>
      <w:pPr>
        <w:pStyle w:val="14"/>
        <w:keepNext w:val="0"/>
        <w:keepLines w:val="0"/>
        <w:pageBreakBefore w:val="0"/>
        <w:widowControl w:val="0"/>
        <w:kinsoku/>
        <w:wordWrap/>
        <w:overflowPunct/>
        <w:topLinePunct w:val="0"/>
        <w:autoSpaceDE w:val="0"/>
        <w:autoSpaceDN w:val="0"/>
        <w:bidi w:val="0"/>
        <w:adjustRightInd w:val="0"/>
        <w:snapToGrid w:val="0"/>
        <w:ind w:left="0" w:leftChars="0" w:firstLine="422" w:firstLineChars="200"/>
        <w:jc w:val="center"/>
        <w:textAlignment w:val="auto"/>
        <w:outlineLvl w:val="9"/>
        <w:rPr>
          <w:rFonts w:hint="default" w:ascii="Times New Roman" w:hAnsi="Times New Roman" w:eastAsia="宋体" w:cs="Times New Roman"/>
          <w:b/>
          <w:bCs/>
          <w:sz w:val="28"/>
          <w:szCs w:val="28"/>
          <w:lang w:val="en-US" w:eastAsia="zh-CN" w:bidi="zh-CN"/>
        </w:rPr>
      </w:pPr>
      <w:r>
        <w:rPr>
          <w:rFonts w:hint="eastAsia"/>
          <w:b/>
          <w:bCs/>
          <w:sz w:val="21"/>
          <w:szCs w:val="21"/>
          <w:lang w:val="en-US" w:eastAsia="zh-CN"/>
        </w:rPr>
        <w:t>表3.1-4 现有工程脱硫剂消耗一览表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2522"/>
        <w:gridCol w:w="1808"/>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锅炉建设规模</w:t>
            </w:r>
          </w:p>
        </w:tc>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小时消耗量（t/h）</w:t>
            </w:r>
          </w:p>
        </w:tc>
        <w:tc>
          <w:tcPr>
            <w:tcW w:w="106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日消耗量（t）</w:t>
            </w:r>
          </w:p>
        </w:tc>
        <w:tc>
          <w:tcPr>
            <w:tcW w:w="13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年消耗量（t）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总蒸发量90t/h</w:t>
            </w:r>
          </w:p>
        </w:tc>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0.34 </w:t>
            </w:r>
          </w:p>
        </w:tc>
        <w:tc>
          <w:tcPr>
            <w:tcW w:w="106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8.20 </w:t>
            </w:r>
          </w:p>
        </w:tc>
        <w:tc>
          <w:tcPr>
            <w:tcW w:w="13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4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0.34 </w:t>
            </w:r>
          </w:p>
        </w:tc>
        <w:tc>
          <w:tcPr>
            <w:tcW w:w="106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8.20 </w:t>
            </w:r>
          </w:p>
        </w:tc>
        <w:tc>
          <w:tcPr>
            <w:tcW w:w="13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1394</w:t>
            </w:r>
          </w:p>
        </w:tc>
      </w:tr>
    </w:tbl>
    <w:p>
      <w:pPr>
        <w:pStyle w:val="14"/>
        <w:keepNext w:val="0"/>
        <w:keepLines w:val="0"/>
        <w:pageBreakBefore w:val="0"/>
        <w:widowControl w:val="0"/>
        <w:kinsoku/>
        <w:wordWrap/>
        <w:overflowPunct/>
        <w:topLinePunct w:val="0"/>
        <w:autoSpaceDE w:val="0"/>
        <w:autoSpaceDN w:val="0"/>
        <w:bidi w:val="0"/>
        <w:adjustRightInd w:val="0"/>
        <w:snapToGrid w:val="0"/>
        <w:ind w:left="0" w:leftChars="0" w:firstLine="562" w:firstLineChars="200"/>
        <w:textAlignment w:val="auto"/>
        <w:outlineLvl w:val="2"/>
      </w:pPr>
      <w:r>
        <w:rPr>
          <w:rFonts w:hint="default" w:ascii="Times New Roman" w:hAnsi="Times New Roman" w:eastAsia="宋体" w:cs="Times New Roman"/>
          <w:b/>
          <w:bCs/>
          <w:sz w:val="28"/>
          <w:szCs w:val="28"/>
          <w:lang w:val="en-US" w:eastAsia="zh-CN" w:bidi="zh-CN"/>
        </w:rPr>
        <w:t>3.1.</w:t>
      </w:r>
      <w:r>
        <w:rPr>
          <w:rFonts w:hint="eastAsia" w:cs="Times New Roman"/>
          <w:b/>
          <w:bCs/>
          <w:sz w:val="28"/>
          <w:szCs w:val="28"/>
          <w:lang w:val="en-US" w:eastAsia="zh-CN" w:bidi="zh-CN"/>
        </w:rPr>
        <w:t>3</w:t>
      </w:r>
      <w:r>
        <w:rPr>
          <w:rFonts w:hint="eastAsia" w:ascii="Times New Roman" w:hAnsi="Times New Roman" w:cs="Times New Roman"/>
          <w:b/>
          <w:bCs/>
          <w:sz w:val="28"/>
          <w:szCs w:val="28"/>
          <w:lang w:val="en-US" w:eastAsia="zh-CN" w:bidi="zh-CN"/>
        </w:rPr>
        <w:t xml:space="preserve"> </w:t>
      </w:r>
      <w:r>
        <w:rPr>
          <w:rFonts w:hint="eastAsia" w:cs="Times New Roman"/>
          <w:b/>
          <w:bCs/>
          <w:sz w:val="28"/>
          <w:szCs w:val="28"/>
          <w:lang w:val="en-US" w:eastAsia="zh-CN" w:bidi="zh-CN"/>
        </w:rPr>
        <w:t>现有工程达标分析</w:t>
      </w:r>
    </w:p>
    <w:p>
      <w:pPr>
        <w:snapToGrid w:val="0"/>
        <w:spacing w:line="312" w:lineRule="auto"/>
        <w:rPr>
          <w:rFonts w:hint="eastAsia" w:ascii="宋体" w:hAnsi="宋体" w:eastAsia="宋体"/>
          <w:b/>
          <w:bCs/>
          <w:sz w:val="24"/>
          <w:lang w:eastAsia="zh-CN"/>
        </w:rPr>
      </w:pPr>
      <w:r>
        <w:rPr>
          <w:rFonts w:hint="default" w:ascii="Times New Roman" w:hAnsi="Times New Roman" w:cs="Times New Roman"/>
          <w:b/>
          <w:bCs/>
          <w:sz w:val="24"/>
          <w:lang w:val="en-US" w:eastAsia="zh-CN"/>
        </w:rPr>
        <w:t xml:space="preserve">3.1.3.1 </w:t>
      </w:r>
      <w:r>
        <w:rPr>
          <w:rFonts w:hint="default" w:ascii="Times New Roman" w:hAnsi="Times New Roman" w:cs="Times New Roman"/>
          <w:b/>
          <w:bCs/>
          <w:sz w:val="24"/>
          <w:lang w:eastAsia="zh-CN"/>
        </w:rPr>
        <w:t>废</w:t>
      </w:r>
      <w:r>
        <w:rPr>
          <w:rFonts w:hint="eastAsia" w:ascii="宋体" w:hAnsi="宋体"/>
          <w:b/>
          <w:bCs/>
          <w:sz w:val="24"/>
          <w:lang w:eastAsia="zh-CN"/>
        </w:rPr>
        <w:t>气</w:t>
      </w:r>
    </w:p>
    <w:p>
      <w:pPr>
        <w:snapToGrid w:val="0"/>
        <w:spacing w:line="312" w:lineRule="auto"/>
        <w:rPr>
          <w:rFonts w:hint="eastAsia" w:ascii="宋体" w:hAnsi="宋体"/>
          <w:color w:val="0000FF"/>
          <w:sz w:val="24"/>
          <w:szCs w:val="24"/>
        </w:rPr>
      </w:pPr>
      <w:r>
        <w:rPr>
          <w:rFonts w:hint="eastAsia" w:ascii="宋体" w:hAnsi="宋体"/>
          <w:color w:val="0000FF"/>
          <w:sz w:val="24"/>
        </w:rPr>
        <w:t>根据</w:t>
      </w:r>
      <w:r>
        <w:rPr>
          <w:rFonts w:hint="eastAsia" w:ascii="宋体" w:hAnsi="宋体"/>
          <w:color w:val="0000FF"/>
          <w:sz w:val="24"/>
          <w:lang w:eastAsia="zh-CN"/>
        </w:rPr>
        <w:t>验收监测数据，并结合废气在线监测比对数据统计分析</w:t>
      </w:r>
      <w:r>
        <w:rPr>
          <w:rFonts w:hint="eastAsia" w:ascii="宋体" w:hAnsi="宋体"/>
          <w:color w:val="0000FF"/>
          <w:sz w:val="24"/>
        </w:rPr>
        <w:t>，</w:t>
      </w:r>
      <w:r>
        <w:rPr>
          <w:rFonts w:hint="eastAsia" w:ascii="宋体" w:hAnsi="宋体"/>
          <w:color w:val="0000FF"/>
          <w:sz w:val="24"/>
          <w:lang w:eastAsia="zh-CN"/>
        </w:rPr>
        <w:t>现有</w:t>
      </w:r>
      <w:r>
        <w:rPr>
          <w:rFonts w:hint="eastAsia" w:ascii="宋体" w:hAnsi="宋体"/>
          <w:color w:val="0000FF"/>
          <w:sz w:val="24"/>
        </w:rPr>
        <w:t>锅炉大气污染物</w:t>
      </w:r>
      <w:r>
        <w:rPr>
          <w:rFonts w:hint="eastAsia" w:ascii="宋体" w:hAnsi="宋体"/>
          <w:color w:val="0000FF"/>
          <w:sz w:val="24"/>
          <w:lang w:eastAsia="zh-CN"/>
        </w:rPr>
        <w:t>排放</w:t>
      </w:r>
      <w:r>
        <w:rPr>
          <w:rFonts w:hint="eastAsia" w:ascii="宋体" w:hAnsi="宋体"/>
          <w:color w:val="0000FF"/>
          <w:sz w:val="24"/>
        </w:rPr>
        <w:t>情况见</w:t>
      </w:r>
      <w:r>
        <w:rPr>
          <w:rFonts w:hint="default" w:ascii="Times New Roman" w:hAnsi="Times New Roman" w:cs="Times New Roman"/>
          <w:color w:val="0000FF"/>
          <w:sz w:val="24"/>
        </w:rPr>
        <w:t>表</w:t>
      </w:r>
      <w:r>
        <w:rPr>
          <w:rFonts w:hint="default" w:ascii="Times New Roman" w:hAnsi="Times New Roman" w:cs="Times New Roman"/>
          <w:color w:val="0000FF"/>
          <w:sz w:val="24"/>
          <w:lang w:val="en-US" w:eastAsia="zh-CN"/>
        </w:rPr>
        <w:t>3.1-5</w:t>
      </w:r>
      <w:r>
        <w:rPr>
          <w:rFonts w:hint="default" w:ascii="Times New Roman" w:hAnsi="Times New Roman" w:cs="Times New Roman"/>
          <w:color w:val="0000FF"/>
          <w:sz w:val="24"/>
        </w:rPr>
        <w:t>。</w:t>
      </w:r>
    </w:p>
    <w:p>
      <w:pPr>
        <w:spacing w:line="36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表3</w:t>
      </w:r>
      <w:r>
        <w:rPr>
          <w:rFonts w:hint="default" w:ascii="Times New Roman" w:hAnsi="Times New Roman" w:cs="Times New Roman"/>
          <w:b/>
          <w:sz w:val="21"/>
          <w:szCs w:val="21"/>
          <w:lang w:val="en-US" w:eastAsia="zh-CN"/>
        </w:rPr>
        <w:t>.1-</w:t>
      </w:r>
      <w:r>
        <w:rPr>
          <w:rFonts w:hint="eastAsia" w:ascii="Times New Roman" w:hAnsi="Times New Roman" w:cs="Times New Roman"/>
          <w:b/>
          <w:sz w:val="21"/>
          <w:szCs w:val="21"/>
          <w:lang w:val="en-US" w:eastAsia="zh-CN"/>
        </w:rPr>
        <w:t>5</w:t>
      </w:r>
      <w:r>
        <w:rPr>
          <w:rFonts w:hint="default" w:ascii="Times New Roman" w:hAnsi="Times New Roman" w:cs="Times New Roman"/>
          <w:b/>
          <w:sz w:val="21"/>
          <w:szCs w:val="21"/>
        </w:rPr>
        <w:t xml:space="preserve">  </w:t>
      </w:r>
      <w:r>
        <w:rPr>
          <w:rFonts w:hint="eastAsia" w:cs="Times New Roman"/>
          <w:b/>
          <w:sz w:val="21"/>
          <w:szCs w:val="21"/>
          <w:lang w:val="en-US" w:eastAsia="zh-CN"/>
        </w:rPr>
        <w:t xml:space="preserve">    </w:t>
      </w:r>
      <w:r>
        <w:rPr>
          <w:rFonts w:hint="default" w:ascii="Times New Roman" w:hAnsi="Times New Roman" w:cs="Times New Roman"/>
          <w:b/>
          <w:sz w:val="21"/>
          <w:szCs w:val="21"/>
        </w:rPr>
        <w:t xml:space="preserve"> </w:t>
      </w:r>
      <w:r>
        <w:rPr>
          <w:rFonts w:hint="eastAsia" w:cs="Times New Roman"/>
          <w:b/>
          <w:sz w:val="21"/>
          <w:szCs w:val="21"/>
          <w:lang w:eastAsia="zh-CN"/>
        </w:rPr>
        <w:t>现有锅炉</w:t>
      </w:r>
      <w:r>
        <w:rPr>
          <w:rFonts w:hint="default" w:ascii="Times New Roman" w:hAnsi="Times New Roman" w:cs="Times New Roman"/>
          <w:b/>
          <w:sz w:val="21"/>
          <w:szCs w:val="21"/>
        </w:rPr>
        <w:t>大气污染物排放量</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1704"/>
        <w:gridCol w:w="1703"/>
        <w:gridCol w:w="1703"/>
        <w:gridCol w:w="1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6"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00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993"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烟气量</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06" w:type="pct"/>
            <w:vMerge w:val="restar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1、3#锅炉</w:t>
            </w:r>
          </w:p>
        </w:tc>
        <w:tc>
          <w:tcPr>
            <w:tcW w:w="100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烟尘</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45.4</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16.8</w:t>
            </w:r>
          </w:p>
        </w:tc>
        <w:tc>
          <w:tcPr>
            <w:tcW w:w="993"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102524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06" w:type="pct"/>
            <w:vMerge w:val="continue"/>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二氧化硫</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175</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64.6</w:t>
            </w:r>
          </w:p>
        </w:tc>
        <w:tc>
          <w:tcPr>
            <w:tcW w:w="993"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10252</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cr/>
            </w:r>
            <w:r>
              <w:rPr>
                <w:rFonts w:hint="default" w:ascii="Times New Roman" w:hAnsi="Times New Roman" w:eastAsia="宋体" w:cs="Times New Roman"/>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06" w:type="pct"/>
            <w:vMerge w:val="continue"/>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氮氧化物</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147.7</w:t>
            </w:r>
          </w:p>
        </w:tc>
        <w:tc>
          <w:tcPr>
            <w:tcW w:w="993"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102524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06" w:type="pct"/>
            <w:vMerge w:val="restar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2#锅炉</w:t>
            </w:r>
          </w:p>
        </w:tc>
        <w:tc>
          <w:tcPr>
            <w:tcW w:w="100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烟尘</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46.3</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11.4</w:t>
            </w:r>
          </w:p>
        </w:tc>
        <w:tc>
          <w:tcPr>
            <w:tcW w:w="993"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06" w:type="pct"/>
            <w:vMerge w:val="continue"/>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二氧化硫</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26.6</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6.56</w:t>
            </w:r>
          </w:p>
        </w:tc>
        <w:tc>
          <w:tcPr>
            <w:tcW w:w="993"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06" w:type="pct"/>
            <w:vMerge w:val="continue"/>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0"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氮氧化物</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999"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98.7</w:t>
            </w:r>
          </w:p>
        </w:tc>
        <w:tc>
          <w:tcPr>
            <w:tcW w:w="993" w:type="pct"/>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68538</w:t>
            </w:r>
          </w:p>
        </w:tc>
      </w:tr>
    </w:tbl>
    <w:p>
      <w:pPr>
        <w:bidi w:val="0"/>
        <w:rPr>
          <w:rFonts w:hint="eastAsia" w:ascii="宋体" w:hAnsi="宋体" w:eastAsia="宋体"/>
          <w:sz w:val="21"/>
          <w:szCs w:val="21"/>
          <w:lang w:eastAsia="zh-CN"/>
        </w:rPr>
      </w:pPr>
      <w:r>
        <w:rPr>
          <w:rFonts w:hint="eastAsia" w:ascii="宋体" w:hAnsi="宋体"/>
          <w:sz w:val="24"/>
          <w:lang w:eastAsia="zh-CN"/>
        </w:rPr>
        <w:t>现有工</w:t>
      </w:r>
      <w:r>
        <w:rPr>
          <w:rFonts w:hint="default" w:ascii="Times New Roman" w:hAnsi="Times New Roman" w:cs="Times New Roman"/>
          <w:sz w:val="24"/>
          <w:lang w:eastAsia="zh-CN"/>
        </w:rPr>
        <w:t>程锅炉</w:t>
      </w:r>
      <w:r>
        <w:rPr>
          <w:rFonts w:hint="default" w:ascii="Times New Roman" w:hAnsi="Times New Roman" w:cs="Times New Roman"/>
          <w:sz w:val="24"/>
        </w:rPr>
        <w:t>大气污染物排放</w:t>
      </w:r>
      <w:r>
        <w:rPr>
          <w:rFonts w:hint="default" w:ascii="Times New Roman" w:hAnsi="Times New Roman" w:cs="Times New Roman"/>
          <w:sz w:val="24"/>
          <w:lang w:eastAsia="zh-CN"/>
        </w:rPr>
        <w:t>满足</w:t>
      </w:r>
      <w:r>
        <w:rPr>
          <w:rFonts w:hint="default" w:ascii="Times New Roman" w:hAnsi="Times New Roman" w:cs="Times New Roman"/>
          <w:sz w:val="24"/>
        </w:rPr>
        <w:t>《锅炉大气污染物排放标准》（GB13271-2014）中在用锅炉</w:t>
      </w:r>
      <w:r>
        <w:rPr>
          <w:rFonts w:hint="eastAsia" w:ascii="宋体" w:hAnsi="宋体"/>
          <w:sz w:val="24"/>
        </w:rPr>
        <w:t>标准</w:t>
      </w:r>
      <w:r>
        <w:rPr>
          <w:rFonts w:hint="eastAsia" w:ascii="宋体" w:hAnsi="宋体"/>
          <w:sz w:val="24"/>
          <w:lang w:eastAsia="zh-CN"/>
        </w:rPr>
        <w:t>。</w:t>
      </w:r>
    </w:p>
    <w:p>
      <w:pPr>
        <w:bidi w:val="0"/>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3.1.3.2 废水</w:t>
      </w:r>
    </w:p>
    <w:p>
      <w:pPr>
        <w:bidi w:val="0"/>
        <w:rPr>
          <w:rFonts w:hint="default" w:ascii="Times New Roman" w:hAnsi="Times New Roman" w:cs="Times New Roman"/>
          <w:sz w:val="24"/>
          <w:szCs w:val="24"/>
        </w:rPr>
      </w:pPr>
      <w:r>
        <w:rPr>
          <w:rFonts w:hint="eastAsia" w:ascii="宋体" w:hAnsi="宋体"/>
          <w:color w:val="000000"/>
          <w:sz w:val="24"/>
        </w:rPr>
        <w:t>锅炉运营过程中无生产废水产生。</w:t>
      </w:r>
    </w:p>
    <w:p>
      <w:pPr>
        <w:bidi w:val="0"/>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3.1.3.3 噪声</w:t>
      </w:r>
    </w:p>
    <w:p>
      <w:pPr>
        <w:autoSpaceDE w:val="0"/>
        <w:autoSpaceDN w:val="0"/>
        <w:spacing w:line="360" w:lineRule="auto"/>
        <w:ind w:firstLine="480" w:firstLineChars="200"/>
        <w:rPr>
          <w:rFonts w:hint="eastAsia" w:ascii="宋体" w:hAnsi="宋体"/>
          <w:snapToGrid w:val="0"/>
          <w:color w:val="000000"/>
          <w:sz w:val="24"/>
        </w:rPr>
      </w:pPr>
      <w:r>
        <w:rPr>
          <w:rFonts w:hint="default" w:ascii="Times New Roman" w:hAnsi="Times New Roman" w:cs="Times New Roman"/>
          <w:color w:val="auto"/>
          <w:highlight w:val="none"/>
        </w:rPr>
        <w:t>项目原有噪声主要来自风机等机械设备噪声</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根据</w:t>
      </w:r>
      <w:r>
        <w:rPr>
          <w:rFonts w:ascii="宋体" w:hAnsi="宋体" w:eastAsia="宋体" w:cs="宋体"/>
          <w:sz w:val="24"/>
          <w:szCs w:val="24"/>
        </w:rPr>
        <w:t>新疆维吾尔自治区污染源监测数据管理与信息共享公开平台</w:t>
      </w:r>
      <w:r>
        <w:rPr>
          <w:rFonts w:hint="eastAsia" w:ascii="宋体" w:hAnsi="宋体" w:eastAsia="宋体" w:cs="宋体"/>
          <w:sz w:val="24"/>
          <w:szCs w:val="24"/>
          <w:lang w:eastAsia="zh-CN"/>
        </w:rPr>
        <w:t>，企</w:t>
      </w:r>
      <w:r>
        <w:rPr>
          <w:rFonts w:hint="default" w:ascii="Times New Roman" w:hAnsi="Times New Roman" w:eastAsia="宋体" w:cs="Times New Roman"/>
          <w:sz w:val="24"/>
          <w:szCs w:val="24"/>
          <w:lang w:eastAsia="zh-CN"/>
        </w:rPr>
        <w:t>业</w:t>
      </w:r>
      <w:r>
        <w:rPr>
          <w:rFonts w:hint="default" w:ascii="Times New Roman" w:hAnsi="Times New Roman" w:eastAsia="宋体" w:cs="Times New Roman"/>
          <w:sz w:val="24"/>
          <w:szCs w:val="24"/>
          <w:lang w:val="en-US" w:eastAsia="zh-CN"/>
        </w:rPr>
        <w:t>2023年第四</w:t>
      </w:r>
      <w:r>
        <w:rPr>
          <w:rFonts w:hint="eastAsia" w:ascii="宋体" w:hAnsi="宋体" w:eastAsia="宋体" w:cs="宋体"/>
          <w:sz w:val="24"/>
          <w:szCs w:val="24"/>
          <w:lang w:val="en-US" w:eastAsia="zh-CN"/>
        </w:rPr>
        <w:t>季度噪声监测数据，</w:t>
      </w:r>
      <w:r>
        <w:rPr>
          <w:rFonts w:hint="eastAsia" w:ascii="Times New Roman" w:hAnsi="Times New Roman" w:cs="Times New Roman"/>
          <w:color w:val="auto"/>
          <w:highlight w:val="none"/>
          <w:lang w:eastAsia="zh-CN"/>
        </w:rPr>
        <w:t>昼间厂界最大噪声为</w:t>
      </w:r>
      <w:r>
        <w:rPr>
          <w:rFonts w:hint="eastAsia" w:ascii="Times New Roman" w:hAnsi="Times New Roman" w:cs="Times New Roman"/>
          <w:color w:val="auto"/>
          <w:highlight w:val="none"/>
          <w:lang w:val="en-US" w:eastAsia="zh-CN"/>
        </w:rPr>
        <w:t>50-57dB（A），夜间最大噪声为43-46dB（A），</w:t>
      </w:r>
      <w:r>
        <w:rPr>
          <w:rFonts w:hint="default" w:ascii="Times New Roman" w:hAnsi="Times New Roman" w:cs="Times New Roman"/>
          <w:color w:val="auto"/>
          <w:highlight w:val="none"/>
        </w:rPr>
        <w:t>厂界噪声符合《工业企业厂界环境噪声排放标准》（GB12348-2008）</w:t>
      </w:r>
      <w:r>
        <w:rPr>
          <w:rFonts w:hint="eastAsia" w:cs="Times New Roman"/>
          <w:color w:val="auto"/>
          <w:highlight w:val="none"/>
          <w:lang w:val="en-US" w:eastAsia="zh-CN"/>
        </w:rPr>
        <w:t>3</w:t>
      </w:r>
      <w:r>
        <w:rPr>
          <w:rFonts w:hint="default" w:ascii="Times New Roman" w:hAnsi="Times New Roman" w:cs="Times New Roman"/>
          <w:color w:val="auto"/>
          <w:highlight w:val="none"/>
        </w:rPr>
        <w:t>类标准的要求。</w:t>
      </w:r>
    </w:p>
    <w:p>
      <w:pPr>
        <w:bidi w:val="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3.1.3.4 固体废物</w:t>
      </w:r>
    </w:p>
    <w:p>
      <w:pP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现有项目生产固废主要为</w:t>
      </w:r>
      <w:r>
        <w:rPr>
          <w:rFonts w:hint="default" w:ascii="Times New Roman" w:hAnsi="Times New Roman" w:cs="Times New Roman"/>
          <w:color w:val="000000"/>
          <w:sz w:val="24"/>
          <w:szCs w:val="24"/>
        </w:rPr>
        <w:t>除尘灰渣、硫酸钙和亚硫酸钙的沉淀</w:t>
      </w:r>
      <w:r>
        <w:rPr>
          <w:rFonts w:hint="default" w:ascii="Times New Roman" w:hAnsi="Times New Roman" w:cs="Times New Roman"/>
          <w:color w:val="auto"/>
          <w:sz w:val="24"/>
          <w:szCs w:val="24"/>
          <w:highlight w:val="none"/>
          <w:lang w:val="en-US" w:eastAsia="zh-CN"/>
        </w:rPr>
        <w:t>及员工生活垃圾：</w:t>
      </w:r>
      <w:r>
        <w:rPr>
          <w:rFonts w:hint="default" w:ascii="Times New Roman" w:hAnsi="Times New Roman" w:cs="Times New Roman"/>
          <w:color w:val="auto"/>
          <w:highlight w:val="none"/>
          <w:lang w:val="en-US" w:eastAsia="zh-CN"/>
        </w:rPr>
        <w:t>根据建设单位提供的资料，其中</w:t>
      </w:r>
      <w:r>
        <w:rPr>
          <w:rFonts w:hint="default" w:ascii="Times New Roman" w:hAnsi="Times New Roman" w:cs="Times New Roman"/>
          <w:color w:val="000000"/>
          <w:sz w:val="24"/>
          <w:szCs w:val="24"/>
        </w:rPr>
        <w:t>除尘灰渣</w:t>
      </w:r>
      <w:r>
        <w:rPr>
          <w:rFonts w:hint="default" w:ascii="Times New Roman" w:hAnsi="Times New Roman" w:cs="Times New Roman"/>
          <w:color w:val="000000"/>
          <w:sz w:val="24"/>
          <w:szCs w:val="24"/>
          <w:lang w:eastAsia="zh-CN"/>
        </w:rPr>
        <w:t>产生量为</w:t>
      </w:r>
      <w:r>
        <w:rPr>
          <w:rFonts w:hint="default" w:ascii="Times New Roman" w:hAnsi="Times New Roman" w:cs="Times New Roman"/>
          <w:color w:val="000000"/>
          <w:sz w:val="24"/>
          <w:szCs w:val="24"/>
          <w:lang w:val="en-US" w:eastAsia="zh-CN"/>
        </w:rPr>
        <w:t>8721.9t/a，</w:t>
      </w:r>
      <w:r>
        <w:rPr>
          <w:rFonts w:hint="default" w:ascii="Times New Roman" w:hAnsi="Times New Roman" w:cs="Times New Roman"/>
          <w:color w:val="000000"/>
          <w:sz w:val="24"/>
          <w:szCs w:val="24"/>
        </w:rPr>
        <w:t>硫酸钙和亚硫酸钙的沉淀</w:t>
      </w:r>
      <w:r>
        <w:rPr>
          <w:rFonts w:hint="default" w:ascii="Times New Roman" w:hAnsi="Times New Roman" w:cs="Times New Roman"/>
          <w:color w:val="000000"/>
          <w:sz w:val="24"/>
          <w:szCs w:val="24"/>
          <w:lang w:eastAsia="zh-CN"/>
        </w:rPr>
        <w:t>产生量为</w:t>
      </w:r>
      <w:r>
        <w:rPr>
          <w:rFonts w:hint="default" w:ascii="Times New Roman" w:hAnsi="Times New Roman" w:cs="Times New Roman"/>
          <w:color w:val="000000"/>
          <w:sz w:val="24"/>
          <w:szCs w:val="24"/>
          <w:lang w:val="en-US" w:eastAsia="zh-CN"/>
        </w:rPr>
        <w:t>2400t/a</w:t>
      </w:r>
      <w:r>
        <w:rPr>
          <w:rFonts w:hint="eastAsia" w:ascii="Times New Roman" w:hAnsi="Times New Roman" w:cs="Times New Roman"/>
          <w:color w:val="000000"/>
          <w:sz w:val="24"/>
          <w:szCs w:val="24"/>
          <w:lang w:val="en-US" w:eastAsia="zh-CN"/>
        </w:rPr>
        <w:t>。</w:t>
      </w:r>
    </w:p>
    <w:p>
      <w:pPr>
        <w:rPr>
          <w:rFonts w:hint="eastAsia"/>
          <w:color w:val="auto"/>
          <w:highlight w:val="none"/>
          <w:lang w:val="en-US" w:eastAsia="zh-CN"/>
        </w:rPr>
      </w:pPr>
      <w:r>
        <w:rPr>
          <w:rFonts w:hint="eastAsia"/>
          <w:color w:val="0000FF"/>
          <w:highlight w:val="none"/>
          <w:lang w:val="en-US" w:eastAsia="zh-CN"/>
        </w:rPr>
        <w:t>根据建设单位提供的资料以及现场踏勘调查情况，灰渣、</w:t>
      </w:r>
      <w:r>
        <w:rPr>
          <w:rFonts w:hint="default" w:ascii="Times New Roman" w:hAnsi="Times New Roman" w:cs="Times New Roman"/>
          <w:color w:val="0000FF"/>
          <w:sz w:val="24"/>
          <w:szCs w:val="24"/>
        </w:rPr>
        <w:t>硫酸钙和亚硫酸钙的沉淀</w:t>
      </w:r>
      <w:r>
        <w:rPr>
          <w:rFonts w:hint="eastAsia" w:cs="Times New Roman"/>
          <w:color w:val="0000FF"/>
          <w:sz w:val="24"/>
          <w:szCs w:val="24"/>
          <w:lang w:eastAsia="zh-CN"/>
        </w:rPr>
        <w:t>物</w:t>
      </w:r>
      <w:r>
        <w:rPr>
          <w:rFonts w:hint="eastAsia"/>
          <w:color w:val="0000FF"/>
          <w:highlight w:val="none"/>
          <w:lang w:val="en-US" w:eastAsia="zh-CN"/>
        </w:rPr>
        <w:t>在厂区内灰渣场储存，并洒水抑尘，</w:t>
      </w:r>
      <w:r>
        <w:rPr>
          <w:rFonts w:hint="eastAsia" w:cs="Times New Roman"/>
          <w:color w:val="0000FF"/>
          <w:sz w:val="24"/>
          <w:szCs w:val="24"/>
          <w:highlight w:val="none"/>
          <w:lang w:eastAsia="zh-CN"/>
        </w:rPr>
        <w:t>暂存时间约</w:t>
      </w:r>
      <w:r>
        <w:rPr>
          <w:rFonts w:hint="eastAsia" w:cs="Times New Roman"/>
          <w:color w:val="0000FF"/>
          <w:sz w:val="24"/>
          <w:szCs w:val="24"/>
          <w:highlight w:val="none"/>
          <w:lang w:val="en-US" w:eastAsia="zh-CN"/>
        </w:rPr>
        <w:t>1周，</w:t>
      </w:r>
      <w:r>
        <w:rPr>
          <w:rFonts w:hint="eastAsia" w:cs="Times New Roman"/>
          <w:color w:val="auto"/>
          <w:sz w:val="24"/>
          <w:szCs w:val="24"/>
          <w:highlight w:val="none"/>
          <w:lang w:eastAsia="zh-CN"/>
        </w:rPr>
        <w:t>销售给附近建筑材料生产企业综合利用（</w:t>
      </w:r>
      <w:r>
        <w:rPr>
          <w:rFonts w:hint="eastAsia"/>
          <w:color w:val="0000FF"/>
          <w:highlight w:val="none"/>
          <w:lang w:eastAsia="zh-CN"/>
        </w:rPr>
        <w:t>见附件</w:t>
      </w:r>
      <w:r>
        <w:rPr>
          <w:rFonts w:hint="eastAsia"/>
          <w:color w:val="0000FF"/>
          <w:highlight w:val="none"/>
          <w:lang w:val="en-US" w:eastAsia="zh-CN"/>
        </w:rPr>
        <w:t>9</w:t>
      </w:r>
      <w:r>
        <w:rPr>
          <w:rFonts w:hint="eastAsia"/>
          <w:color w:val="0000FF"/>
          <w:highlight w:val="none"/>
          <w:lang w:eastAsia="zh-CN"/>
        </w:rPr>
        <w:t>：细灰炉渣处置及堆放协议</w:t>
      </w:r>
      <w:r>
        <w:rPr>
          <w:rFonts w:hint="eastAsia" w:cs="Times New Roman"/>
          <w:color w:val="auto"/>
          <w:sz w:val="24"/>
          <w:szCs w:val="24"/>
          <w:highlight w:val="none"/>
          <w:lang w:eastAsia="zh-CN"/>
        </w:rPr>
        <w:t>）</w:t>
      </w:r>
      <w:r>
        <w:rPr>
          <w:rFonts w:hint="eastAsia"/>
          <w:color w:val="auto"/>
          <w:highlight w:val="none"/>
          <w:lang w:val="en-US" w:eastAsia="zh-CN"/>
        </w:rPr>
        <w:t>；生活垃圾产生量为0.5t/a，集中收集后交由当地环卫部门统一处理。</w:t>
      </w:r>
    </w:p>
    <w:p>
      <w:pPr>
        <w:bidi w:val="0"/>
        <w:rPr>
          <w:rFonts w:hint="default"/>
          <w:color w:val="auto"/>
          <w:highlight w:val="none"/>
          <w:lang w:val="en-US" w:eastAsia="zh-CN"/>
        </w:rPr>
      </w:pPr>
      <w:r>
        <w:rPr>
          <w:rFonts w:hint="eastAsia"/>
          <w:color w:val="auto"/>
          <w:highlight w:val="none"/>
          <w:lang w:val="en-US" w:eastAsia="zh-CN"/>
        </w:rPr>
        <w:t>根据现有锅炉房排污许可证及其2023年执行报告，现有锅炉房污染物排放情况见表3.1-6。</w:t>
      </w:r>
    </w:p>
    <w:p>
      <w:pPr>
        <w:spacing w:line="240" w:lineRule="auto"/>
        <w:ind w:left="0" w:leftChars="0" w:firstLine="0" w:firstLineChars="0"/>
        <w:jc w:val="center"/>
        <w:rPr>
          <w:rFonts w:hint="eastAsia"/>
          <w:b/>
          <w:bCs/>
          <w:color w:val="auto"/>
          <w:sz w:val="21"/>
          <w:szCs w:val="20"/>
          <w:highlight w:val="none"/>
          <w:lang w:val="en-US" w:eastAsia="zh-CN"/>
        </w:rPr>
      </w:pPr>
    </w:p>
    <w:p>
      <w:pPr>
        <w:spacing w:line="240" w:lineRule="auto"/>
        <w:ind w:left="0" w:leftChars="0" w:firstLine="0" w:firstLineChars="0"/>
        <w:jc w:val="center"/>
        <w:rPr>
          <w:rFonts w:hint="eastAsia"/>
          <w:b/>
          <w:bCs/>
          <w:color w:val="auto"/>
          <w:sz w:val="21"/>
          <w:szCs w:val="20"/>
          <w:highlight w:val="none"/>
          <w:lang w:val="en-US" w:eastAsia="zh-CN"/>
        </w:rPr>
      </w:pPr>
    </w:p>
    <w:p>
      <w:pPr>
        <w:spacing w:line="240" w:lineRule="auto"/>
        <w:ind w:left="0" w:leftChars="0" w:firstLine="0" w:firstLineChars="0"/>
        <w:jc w:val="center"/>
        <w:rPr>
          <w:rFonts w:hint="eastAsia"/>
          <w:b/>
          <w:bCs/>
          <w:color w:val="auto"/>
          <w:highlight w:val="none"/>
          <w:lang w:val="en-US" w:eastAsia="zh-CN"/>
        </w:rPr>
      </w:pPr>
      <w:r>
        <w:rPr>
          <w:rFonts w:hint="eastAsia"/>
          <w:b/>
          <w:bCs/>
          <w:color w:val="auto"/>
          <w:sz w:val="21"/>
          <w:szCs w:val="20"/>
          <w:highlight w:val="none"/>
          <w:lang w:val="en-US" w:eastAsia="zh-CN"/>
        </w:rPr>
        <w:t>表3.1-6    现有锅炉污染物排放一览表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4"/>
        <w:gridCol w:w="1488"/>
        <w:gridCol w:w="1656"/>
        <w:gridCol w:w="1515"/>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污染源</w:t>
            </w:r>
          </w:p>
        </w:tc>
        <w:tc>
          <w:tcPr>
            <w:tcW w:w="9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主要污染物</w:t>
            </w:r>
          </w:p>
        </w:tc>
        <w:tc>
          <w:tcPr>
            <w:tcW w:w="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2"/>
                <w:sz w:val="21"/>
                <w:szCs w:val="21"/>
                <w:highlight w:val="none"/>
                <w:lang w:eastAsia="zh-CN"/>
              </w:rPr>
              <w:t>排放</w:t>
            </w:r>
            <w:r>
              <w:rPr>
                <w:rFonts w:hint="default" w:ascii="Times New Roman" w:hAnsi="Times New Roman" w:eastAsia="宋体" w:cs="Times New Roman"/>
                <w:color w:val="auto"/>
                <w:spacing w:val="-2"/>
                <w:sz w:val="21"/>
                <w:szCs w:val="21"/>
                <w:highlight w:val="none"/>
              </w:rPr>
              <w:t>量</w:t>
            </w:r>
          </w:p>
        </w:tc>
        <w:tc>
          <w:tcPr>
            <w:tcW w:w="18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1" w:type="pct"/>
            <w:vMerge w:val="restart"/>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废</w:t>
            </w:r>
            <w:r>
              <w:rPr>
                <w:rFonts w:hint="default" w:ascii="Times New Roman" w:hAnsi="Times New Roman" w:eastAsia="宋体" w:cs="Times New Roman"/>
                <w:color w:val="auto"/>
                <w:spacing w:val="-44"/>
                <w:sz w:val="21"/>
                <w:szCs w:val="21"/>
                <w:highlight w:val="none"/>
              </w:rPr>
              <w:t xml:space="preserve"> </w:t>
            </w:r>
            <w:r>
              <w:rPr>
                <w:rFonts w:hint="default" w:ascii="Times New Roman" w:hAnsi="Times New Roman" w:eastAsia="宋体" w:cs="Times New Roman"/>
                <w:color w:val="auto"/>
                <w:spacing w:val="2"/>
                <w:sz w:val="21"/>
                <w:szCs w:val="21"/>
                <w:highlight w:val="none"/>
              </w:rPr>
              <w:t>气</w:t>
            </w:r>
          </w:p>
        </w:tc>
        <w:tc>
          <w:tcPr>
            <w:tcW w:w="8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锅炉燃烧</w:t>
            </w:r>
          </w:p>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烟气</w:t>
            </w:r>
          </w:p>
        </w:tc>
        <w:tc>
          <w:tcPr>
            <w:tcW w:w="9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SO</w:t>
            </w:r>
            <w:r>
              <w:rPr>
                <w:rFonts w:hint="default" w:ascii="Times New Roman" w:hAnsi="Times New Roman" w:eastAsia="宋体" w:cs="Times New Roman"/>
                <w:color w:val="auto"/>
                <w:spacing w:val="-3"/>
                <w:sz w:val="21"/>
                <w:szCs w:val="21"/>
                <w:highlight w:val="none"/>
                <w:vertAlign w:val="subscript"/>
              </w:rPr>
              <w:t>2</w:t>
            </w:r>
          </w:p>
        </w:tc>
        <w:tc>
          <w:tcPr>
            <w:tcW w:w="911" w:type="pct"/>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71.16</w:t>
            </w:r>
            <w:r>
              <w:rPr>
                <w:rFonts w:hint="default" w:ascii="Times New Roman" w:hAnsi="Times New Roman" w:eastAsia="宋体" w:cs="Times New Roman"/>
                <w:color w:val="auto"/>
                <w:sz w:val="21"/>
                <w:szCs w:val="21"/>
                <w:highlight w:val="none"/>
              </w:rPr>
              <w:t>t/a</w:t>
            </w:r>
          </w:p>
        </w:tc>
        <w:tc>
          <w:tcPr>
            <w:tcW w:w="184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锅炉燃烧废气经“SNCR脱硝+布袋除尘+</w:t>
            </w:r>
            <w:r>
              <w:rPr>
                <w:rFonts w:hint="eastAsia" w:cs="Times New Roman"/>
                <w:color w:val="auto"/>
                <w:sz w:val="21"/>
                <w:szCs w:val="21"/>
                <w:highlight w:val="none"/>
                <w:lang w:eastAsia="zh-CN"/>
              </w:rPr>
              <w:t>双碱法</w:t>
            </w:r>
            <w:r>
              <w:rPr>
                <w:rFonts w:hint="default" w:ascii="Times New Roman" w:hAnsi="Times New Roman" w:eastAsia="宋体" w:cs="Times New Roman"/>
                <w:color w:val="auto"/>
                <w:sz w:val="21"/>
                <w:szCs w:val="21"/>
                <w:highlight w:val="none"/>
              </w:rPr>
              <w:t>脱硫”处理后经</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1" w:type="pct"/>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NO</w:t>
            </w:r>
            <w:r>
              <w:rPr>
                <w:rFonts w:hint="default" w:ascii="Times New Roman" w:hAnsi="Times New Roman" w:eastAsia="宋体" w:cs="Times New Roman"/>
                <w:color w:val="auto"/>
                <w:spacing w:val="-1"/>
                <w:sz w:val="21"/>
                <w:szCs w:val="21"/>
                <w:highlight w:val="none"/>
                <w:vertAlign w:val="subscript"/>
              </w:rPr>
              <w:t>X</w:t>
            </w:r>
          </w:p>
        </w:tc>
        <w:tc>
          <w:tcPr>
            <w:tcW w:w="911" w:type="pct"/>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246.4</w:t>
            </w:r>
            <w:r>
              <w:rPr>
                <w:rFonts w:hint="default" w:ascii="Times New Roman" w:hAnsi="Times New Roman" w:eastAsia="宋体" w:cs="Times New Roman"/>
                <w:color w:val="auto"/>
                <w:sz w:val="21"/>
                <w:szCs w:val="21"/>
                <w:highlight w:val="none"/>
              </w:rPr>
              <w:t>t/a</w:t>
            </w:r>
          </w:p>
        </w:tc>
        <w:tc>
          <w:tcPr>
            <w:tcW w:w="18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1" w:type="pct"/>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2"/>
                <w:sz w:val="21"/>
                <w:szCs w:val="21"/>
                <w:highlight w:val="none"/>
                <w:lang w:eastAsia="zh-CN"/>
              </w:rPr>
              <w:t>颗粒物</w:t>
            </w:r>
          </w:p>
        </w:tc>
        <w:tc>
          <w:tcPr>
            <w:tcW w:w="911" w:type="pct"/>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28.2</w:t>
            </w:r>
            <w:r>
              <w:rPr>
                <w:rFonts w:hint="default" w:ascii="Times New Roman" w:hAnsi="Times New Roman" w:eastAsia="宋体" w:cs="Times New Roman"/>
                <w:color w:val="auto"/>
                <w:sz w:val="21"/>
                <w:szCs w:val="21"/>
                <w:highlight w:val="none"/>
              </w:rPr>
              <w:t>t/a</w:t>
            </w:r>
          </w:p>
        </w:tc>
        <w:tc>
          <w:tcPr>
            <w:tcW w:w="18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1" w:hRule="atLeast"/>
          <w:jc w:val="center"/>
        </w:trPr>
        <w:tc>
          <w:tcPr>
            <w:tcW w:w="351" w:type="pct"/>
            <w:vMerge w:val="restart"/>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8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00B050"/>
                <w:sz w:val="21"/>
                <w:szCs w:val="21"/>
                <w:highlight w:val="none"/>
                <w:lang w:val="de-DE" w:eastAsia="zh-CN"/>
              </w:rPr>
            </w:pPr>
            <w:r>
              <w:rPr>
                <w:rFonts w:hint="eastAsia" w:cs="Times New Roman"/>
                <w:color w:val="00B050"/>
                <w:sz w:val="21"/>
                <w:szCs w:val="21"/>
                <w:lang w:eastAsia="zh-CN"/>
              </w:rPr>
              <w:t>脱硫渣</w:t>
            </w:r>
          </w:p>
        </w:tc>
        <w:tc>
          <w:tcPr>
            <w:tcW w:w="9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00B050"/>
                <w:sz w:val="21"/>
                <w:szCs w:val="21"/>
                <w:highlight w:val="none"/>
                <w:lang w:eastAsia="zh-CN"/>
              </w:rPr>
            </w:pPr>
            <w:r>
              <w:rPr>
                <w:rFonts w:hint="eastAsia" w:cs="Times New Roman"/>
                <w:color w:val="00B050"/>
                <w:sz w:val="21"/>
                <w:szCs w:val="21"/>
                <w:highlight w:val="none"/>
                <w:lang w:eastAsia="zh-CN"/>
              </w:rPr>
              <w:t>脱硫渣</w:t>
            </w:r>
          </w:p>
        </w:tc>
        <w:tc>
          <w:tcPr>
            <w:tcW w:w="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2400</w:t>
            </w:r>
            <w:r>
              <w:rPr>
                <w:rFonts w:hint="default" w:ascii="Times New Roman" w:hAnsi="Times New Roman" w:eastAsia="宋体" w:cs="Times New Roman"/>
                <w:color w:val="auto"/>
                <w:sz w:val="21"/>
                <w:szCs w:val="21"/>
                <w:highlight w:val="none"/>
              </w:rPr>
              <w:t>t/a</w:t>
            </w:r>
          </w:p>
        </w:tc>
        <w:tc>
          <w:tcPr>
            <w:tcW w:w="184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由附近农户拉走用于院落和道路铺设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1" w:type="pct"/>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9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de-DE"/>
              </w:rPr>
            </w:pPr>
            <w:r>
              <w:rPr>
                <w:rFonts w:hint="default" w:ascii="Times New Roman" w:hAnsi="Times New Roman" w:eastAsia="宋体" w:cs="Times New Roman"/>
                <w:color w:val="auto"/>
                <w:sz w:val="21"/>
                <w:szCs w:val="21"/>
                <w:highlight w:val="none"/>
              </w:rPr>
              <w:t>灰渣</w:t>
            </w:r>
          </w:p>
        </w:tc>
        <w:tc>
          <w:tcPr>
            <w:tcW w:w="9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炉渣</w:t>
            </w:r>
          </w:p>
        </w:tc>
        <w:tc>
          <w:tcPr>
            <w:tcW w:w="91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8721.9</w:t>
            </w:r>
            <w:r>
              <w:rPr>
                <w:rFonts w:hint="default" w:ascii="Times New Roman" w:hAnsi="Times New Roman" w:eastAsia="宋体" w:cs="Times New Roman"/>
                <w:color w:val="auto"/>
                <w:sz w:val="21"/>
                <w:szCs w:val="21"/>
                <w:highlight w:val="none"/>
              </w:rPr>
              <w:t>t/a</w:t>
            </w:r>
          </w:p>
        </w:tc>
        <w:tc>
          <w:tcPr>
            <w:tcW w:w="18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1" w:type="pct"/>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飞灰</w:t>
            </w:r>
          </w:p>
        </w:tc>
        <w:tc>
          <w:tcPr>
            <w:tcW w:w="91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生活垃圾</w:t>
            </w:r>
          </w:p>
        </w:tc>
        <w:tc>
          <w:tcPr>
            <w:tcW w:w="99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t/a</w:t>
            </w:r>
          </w:p>
        </w:tc>
        <w:tc>
          <w:tcPr>
            <w:tcW w:w="18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pacing w:val="-5"/>
                <w:sz w:val="21"/>
                <w:szCs w:val="21"/>
                <w:highlight w:val="none"/>
              </w:rPr>
              <w:t>集中收集，环卫部门统一清运至垃圾处理场进行处置</w:t>
            </w:r>
          </w:p>
        </w:tc>
      </w:tr>
    </w:tbl>
    <w:p>
      <w:pPr>
        <w:pStyle w:val="6"/>
        <w:pageBreakBefore w:val="0"/>
        <w:kinsoku/>
        <w:wordWrap/>
        <w:overflowPunct/>
        <w:topLinePunct w:val="0"/>
        <w:bidi w:val="0"/>
        <w:adjustRightInd w:val="0"/>
        <w:snapToGrid w:val="0"/>
        <w:ind w:left="0" w:firstLine="562" w:firstLineChars="200"/>
        <w:jc w:val="both"/>
        <w:textAlignment w:val="auto"/>
        <w:rPr>
          <w:rFonts w:hint="eastAsia" w:ascii="Times New Roman" w:hAnsi="Times New Roman" w:cs="Times New Roman"/>
          <w:color w:val="0000FF"/>
          <w:highlight w:val="none"/>
          <w:lang w:val="en-US" w:eastAsia="zh-CN"/>
        </w:rPr>
      </w:pPr>
      <w:r>
        <w:rPr>
          <w:rFonts w:hint="eastAsia" w:ascii="Times New Roman" w:hAnsi="Times New Roman" w:cs="Times New Roman"/>
          <w:color w:val="0000FF"/>
          <w:highlight w:val="none"/>
          <w:lang w:val="en-US" w:eastAsia="zh-CN"/>
        </w:rPr>
        <w:t>3.1.4 与排污许可衔接情况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0000FF"/>
          <w:highlight w:val="none"/>
          <w:lang w:val="en-US" w:eastAsia="zh-CN"/>
        </w:rPr>
      </w:pPr>
      <w:r>
        <w:rPr>
          <w:rFonts w:hint="eastAsia"/>
          <w:color w:val="0000FF"/>
          <w:highlight w:val="none"/>
          <w:lang w:val="en-US" w:eastAsia="zh-CN"/>
        </w:rPr>
        <w:t>（1）排污许可证申领情况</w:t>
      </w:r>
    </w:p>
    <w:p>
      <w:pPr>
        <w:pageBreakBefore w:val="0"/>
        <w:kinsoku/>
        <w:wordWrap/>
        <w:overflowPunct/>
        <w:topLinePunct w:val="0"/>
        <w:bidi w:val="0"/>
        <w:adjustRightInd w:val="0"/>
        <w:snapToGrid w:val="0"/>
        <w:ind w:left="0" w:firstLine="480" w:firstLineChars="200"/>
        <w:jc w:val="both"/>
        <w:textAlignment w:val="auto"/>
        <w:rPr>
          <w:rFonts w:hint="eastAsia" w:cs="Times New Roman"/>
          <w:color w:val="0000FF"/>
          <w:highlight w:val="none"/>
          <w:lang w:val="en-US" w:eastAsia="zh-CN"/>
        </w:rPr>
      </w:pPr>
      <w:r>
        <w:rPr>
          <w:rFonts w:hint="eastAsia"/>
          <w:color w:val="0000FF"/>
          <w:highlight w:val="none"/>
          <w:lang w:val="en-US" w:eastAsia="zh-CN"/>
        </w:rPr>
        <w:t>根据《固定污染源排污许可分类管理名录（2019版）》的规定，所属行业类别为“八、农副食品加工业13——制糖业134”，根据本项目生产规模（日产糖400t）判定属于“简化管理”；另外，根据行业类别“三十九、电力、热力生产和供应业44”，现有锅炉合计出力为90t/h，锅炉房属于“重点管理”类。</w:t>
      </w:r>
      <w:r>
        <w:rPr>
          <w:rFonts w:hint="eastAsia" w:cs="Times New Roman"/>
          <w:color w:val="0000FF"/>
          <w:highlight w:val="none"/>
          <w:lang w:eastAsia="zh-CN"/>
        </w:rPr>
        <w:t>企业已于</w:t>
      </w:r>
      <w:r>
        <w:rPr>
          <w:rFonts w:hint="eastAsia" w:cs="Times New Roman"/>
          <w:color w:val="0000FF"/>
          <w:highlight w:val="none"/>
          <w:lang w:val="en-US" w:eastAsia="zh-CN"/>
        </w:rPr>
        <w:t>2020年6月11日</w:t>
      </w:r>
      <w:r>
        <w:rPr>
          <w:rFonts w:hint="eastAsia" w:cs="Times New Roman"/>
          <w:color w:val="0000FF"/>
          <w:highlight w:val="none"/>
          <w:lang w:eastAsia="zh-CN"/>
        </w:rPr>
        <w:t>取得</w:t>
      </w:r>
      <w:r>
        <w:rPr>
          <w:rFonts w:hint="default" w:ascii="Times New Roman" w:hAnsi="Times New Roman" w:cs="Times New Roman"/>
          <w:color w:val="0000FF"/>
          <w:highlight w:val="none"/>
        </w:rPr>
        <w:t>排污许可证</w:t>
      </w:r>
      <w:r>
        <w:rPr>
          <w:rFonts w:hint="eastAsia" w:cs="Times New Roman"/>
          <w:color w:val="0000FF"/>
          <w:highlight w:val="none"/>
          <w:lang w:eastAsia="zh-CN"/>
        </w:rPr>
        <w:t>，编号</w:t>
      </w:r>
      <w:r>
        <w:rPr>
          <w:rFonts w:hint="eastAsia" w:cs="Times New Roman"/>
          <w:color w:val="0000FF"/>
          <w:highlight w:val="none"/>
          <w:lang w:val="en-US" w:eastAsia="zh-CN"/>
        </w:rPr>
        <w:t>9165422172696882XB001P。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FF"/>
          <w:kern w:val="0"/>
          <w:sz w:val="24"/>
          <w:szCs w:val="24"/>
          <w:highlight w:val="none"/>
          <w:lang w:val="en-US" w:eastAsia="zh-CN" w:bidi="ar"/>
        </w:rPr>
      </w:pPr>
      <w:r>
        <w:rPr>
          <w:rFonts w:hint="default" w:ascii="Times New Roman" w:hAnsi="Times New Roman" w:cs="Times New Roman"/>
          <w:color w:val="0000FF"/>
          <w:kern w:val="0"/>
          <w:sz w:val="24"/>
          <w:szCs w:val="24"/>
          <w:highlight w:val="none"/>
          <w:lang w:val="en-US" w:eastAsia="zh-CN" w:bidi="ar"/>
        </w:rPr>
        <w:t>（2）排污口规范化管理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FF"/>
          <w:highlight w:val="none"/>
        </w:rPr>
      </w:pPr>
      <w:r>
        <w:rPr>
          <w:rFonts w:hint="eastAsia" w:ascii="Times New Roman" w:hAnsi="Times New Roman" w:cs="Times New Roman"/>
          <w:color w:val="0000FF"/>
          <w:kern w:val="0"/>
          <w:sz w:val="24"/>
          <w:szCs w:val="24"/>
          <w:highlight w:val="none"/>
          <w:lang w:val="en-US" w:eastAsia="zh-CN" w:bidi="ar"/>
        </w:rPr>
        <w:t>企业</w:t>
      </w:r>
      <w:r>
        <w:rPr>
          <w:rFonts w:hint="default" w:ascii="Times New Roman" w:hAnsi="Times New Roman" w:eastAsia="宋体" w:cs="Times New Roman"/>
          <w:color w:val="0000FF"/>
          <w:kern w:val="0"/>
          <w:sz w:val="24"/>
          <w:szCs w:val="24"/>
          <w:highlight w:val="none"/>
          <w:lang w:val="en-US" w:eastAsia="zh-CN" w:bidi="ar"/>
        </w:rPr>
        <w:t>按照相关</w:t>
      </w:r>
      <w:r>
        <w:rPr>
          <w:rFonts w:hint="default" w:ascii="Times New Roman" w:hAnsi="Times New Roman" w:eastAsia="宋体" w:cs="Times New Roman"/>
          <w:color w:val="0000FF"/>
          <w:sz w:val="24"/>
          <w:highlight w:val="none"/>
          <w:lang w:val="en-US" w:eastAsia="zh-CN"/>
        </w:rPr>
        <w:t>规范</w:t>
      </w:r>
      <w:r>
        <w:rPr>
          <w:rFonts w:hint="default" w:ascii="Times New Roman" w:hAnsi="Times New Roman" w:eastAsia="宋体" w:cs="Times New Roman"/>
          <w:color w:val="0000FF"/>
          <w:kern w:val="0"/>
          <w:sz w:val="24"/>
          <w:szCs w:val="24"/>
          <w:highlight w:val="none"/>
          <w:lang w:val="en-US" w:eastAsia="zh-CN" w:bidi="ar"/>
        </w:rPr>
        <w:t>要求，认真落实了各排污口规范化工作，主要包括：废气排放点均设置了规范的采样口；锅炉房有组织</w:t>
      </w:r>
      <w:r>
        <w:rPr>
          <w:rFonts w:hint="default" w:ascii="Times New Roman" w:hAnsi="Times New Roman" w:eastAsia="宋体" w:cs="Times New Roman"/>
          <w:color w:val="0000FF"/>
          <w:sz w:val="24"/>
          <w:highlight w:val="none"/>
          <w:lang w:val="en-US" w:eastAsia="zh-CN"/>
        </w:rPr>
        <w:t>废气</w:t>
      </w:r>
      <w:r>
        <w:rPr>
          <w:rFonts w:hint="default" w:ascii="Times New Roman" w:hAnsi="Times New Roman" w:eastAsia="宋体" w:cs="Times New Roman"/>
          <w:color w:val="0000FF"/>
          <w:kern w:val="0"/>
          <w:sz w:val="24"/>
          <w:szCs w:val="24"/>
          <w:highlight w:val="none"/>
          <w:lang w:val="en-US" w:eastAsia="zh-CN" w:bidi="ar"/>
        </w:rPr>
        <w:t>监测点位设有永久采样平台；废气、噪声排放点设置了规范化的污染物排放标识牌；锅炉房除常规的压力、温度、液位、流量检测及相关连锁控制外，还对锅炉房</w:t>
      </w:r>
      <w:r>
        <w:rPr>
          <w:rFonts w:hint="eastAsia" w:ascii="Times New Roman" w:hAnsi="Times New Roman" w:eastAsia="宋体" w:cs="Times New Roman"/>
          <w:color w:val="0000FF"/>
          <w:kern w:val="0"/>
          <w:sz w:val="24"/>
          <w:szCs w:val="24"/>
          <w:highlight w:val="none"/>
          <w:lang w:val="en-US" w:eastAsia="zh-CN" w:bidi="ar"/>
        </w:rPr>
        <w:t>排污</w:t>
      </w:r>
      <w:r>
        <w:rPr>
          <w:rFonts w:hint="default" w:ascii="Times New Roman" w:hAnsi="Times New Roman" w:eastAsia="宋体" w:cs="Times New Roman"/>
          <w:color w:val="0000FF"/>
          <w:kern w:val="0"/>
          <w:sz w:val="24"/>
          <w:szCs w:val="24"/>
          <w:highlight w:val="none"/>
          <w:lang w:val="en-US" w:eastAsia="zh-CN" w:bidi="ar"/>
        </w:rPr>
        <w:t>的相关参数进行了在线监测，确保锅炉房</w:t>
      </w:r>
      <w:r>
        <w:rPr>
          <w:rFonts w:hint="eastAsia" w:ascii="Times New Roman" w:hAnsi="Times New Roman" w:eastAsia="宋体" w:cs="Times New Roman"/>
          <w:color w:val="0000FF"/>
          <w:kern w:val="0"/>
          <w:sz w:val="24"/>
          <w:szCs w:val="24"/>
          <w:highlight w:val="none"/>
          <w:lang w:val="en-US" w:eastAsia="zh-CN" w:bidi="ar"/>
        </w:rPr>
        <w:t>稳定</w:t>
      </w:r>
      <w:r>
        <w:rPr>
          <w:rFonts w:hint="default" w:ascii="Times New Roman" w:hAnsi="Times New Roman" w:eastAsia="宋体" w:cs="Times New Roman"/>
          <w:color w:val="0000FF"/>
          <w:kern w:val="0"/>
          <w:sz w:val="24"/>
          <w:szCs w:val="24"/>
          <w:highlight w:val="none"/>
          <w:lang w:val="en-US" w:eastAsia="zh-CN" w:bidi="ar"/>
        </w:rPr>
        <w:t>运行。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FF"/>
          <w:sz w:val="24"/>
          <w:highlight w:val="none"/>
          <w:lang w:val="en-US" w:eastAsia="zh-CN"/>
        </w:rPr>
      </w:pPr>
      <w:r>
        <w:rPr>
          <w:rFonts w:hint="default" w:ascii="Times New Roman" w:hAnsi="Times New Roman" w:eastAsia="宋体" w:cs="Times New Roman"/>
          <w:color w:val="0000FF"/>
          <w:kern w:val="0"/>
          <w:sz w:val="24"/>
          <w:szCs w:val="24"/>
          <w:highlight w:val="none"/>
          <w:lang w:val="en-US" w:eastAsia="zh-CN" w:bidi="ar"/>
        </w:rPr>
        <w:t>对产生噪声、有毒有害气体设备车间设置了职业危害告知牌，告知牌内容包含职业危害、理化特性、应急处理、防护措施、急救及消防应急电话、职防咨询电话。</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FF"/>
          <w:kern w:val="0"/>
          <w:sz w:val="24"/>
          <w:szCs w:val="24"/>
          <w:highlight w:val="none"/>
          <w:lang w:val="en-US" w:eastAsia="zh-CN" w:bidi="ar"/>
        </w:rPr>
      </w:pPr>
      <w:r>
        <w:rPr>
          <w:rFonts w:hint="default" w:ascii="Times New Roman" w:hAnsi="Times New Roman" w:cs="Times New Roman"/>
          <w:color w:val="0000FF"/>
          <w:kern w:val="0"/>
          <w:sz w:val="24"/>
          <w:szCs w:val="24"/>
          <w:highlight w:val="none"/>
          <w:lang w:val="en-US" w:eastAsia="zh-CN" w:bidi="ar"/>
        </w:rPr>
        <w:t>（3）</w:t>
      </w:r>
      <w:r>
        <w:rPr>
          <w:rFonts w:hint="eastAsia" w:ascii="Times New Roman" w:hAnsi="Times New Roman" w:cs="Times New Roman"/>
          <w:color w:val="0000FF"/>
          <w:kern w:val="0"/>
          <w:sz w:val="24"/>
          <w:szCs w:val="24"/>
          <w:highlight w:val="none"/>
          <w:lang w:val="en-US" w:eastAsia="zh-CN" w:bidi="ar"/>
        </w:rPr>
        <w:t>污染源监测及环境管理台账落实情况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FF"/>
          <w:kern w:val="0"/>
          <w:sz w:val="24"/>
          <w:szCs w:val="24"/>
          <w:highlight w:val="none"/>
          <w:lang w:val="en-US" w:eastAsia="zh-CN" w:bidi="ar"/>
        </w:rPr>
      </w:pPr>
      <w:r>
        <w:rPr>
          <w:rFonts w:hint="eastAsia" w:ascii="Times New Roman" w:hAnsi="Times New Roman" w:cs="Times New Roman"/>
          <w:color w:val="0000FF"/>
          <w:kern w:val="0"/>
          <w:sz w:val="24"/>
          <w:szCs w:val="24"/>
          <w:highlight w:val="none"/>
          <w:lang w:val="en-US" w:eastAsia="zh-CN" w:bidi="ar"/>
        </w:rPr>
        <w:t>企业对锅炉烟气、生产废水、固废等建立了污染源台账，每月对烟气进行抽样检测分析，并进行统计，</w:t>
      </w:r>
      <w:r>
        <w:rPr>
          <w:rFonts w:hint="default" w:ascii="Times New Roman" w:hAnsi="Times New Roman" w:cs="Times New Roman"/>
          <w:color w:val="0000FF"/>
          <w:highlight w:val="none"/>
          <w:lang w:val="en-US" w:eastAsia="zh-CN"/>
        </w:rPr>
        <w:t>本项目运营期二氧化硫、氮氧化物总量控制指标，符合排污许可相关管理要求。</w:t>
      </w:r>
    </w:p>
    <w:p>
      <w:pPr>
        <w:pageBreakBefore w:val="0"/>
        <w:kinsoku/>
        <w:wordWrap/>
        <w:overflowPunct/>
        <w:topLinePunct w:val="0"/>
        <w:bidi w:val="0"/>
        <w:adjustRightInd w:val="0"/>
        <w:snapToGrid w:val="0"/>
        <w:ind w:left="0" w:firstLine="480" w:firstLineChars="200"/>
        <w:jc w:val="both"/>
        <w:textAlignment w:val="auto"/>
        <w:rPr>
          <w:rFonts w:hint="eastAsia" w:ascii="Times New Roman" w:hAnsi="Times New Roman" w:eastAsia="宋体" w:cs="Times New Roman"/>
          <w:color w:val="0000FF"/>
          <w:highlight w:val="none"/>
          <w:lang w:val="en-US" w:eastAsia="zh-CN"/>
        </w:rPr>
      </w:pPr>
      <w:r>
        <w:rPr>
          <w:rFonts w:hint="default" w:ascii="Times New Roman" w:hAnsi="Times New Roman" w:eastAsia="宋体" w:cs="Times New Roman"/>
          <w:color w:val="0000FF"/>
          <w:highlight w:val="none"/>
          <w:lang w:val="en-US" w:eastAsia="en-US"/>
        </w:rPr>
        <w:t>根据《排污口规范化整治技术要求（试行）》、《〈环境保护图形标志〉实施细则》、《环境保护图形标志》、《排污单位自行监测技术指南 总则》（HJ819-2017）</w:t>
      </w:r>
      <w:r>
        <w:rPr>
          <w:rFonts w:hint="eastAsia" w:ascii="Times New Roman" w:hAnsi="Times New Roman" w:eastAsia="宋体" w:cs="Times New Roman"/>
          <w:color w:val="0000FF"/>
          <w:highlight w:val="none"/>
          <w:lang w:val="en-US" w:eastAsia="zh-CN"/>
        </w:rPr>
        <w:t>，企业</w:t>
      </w:r>
      <w:r>
        <w:rPr>
          <w:rFonts w:hint="default" w:ascii="Times New Roman" w:hAnsi="Times New Roman" w:eastAsia="宋体" w:cs="Times New Roman"/>
          <w:color w:val="0000FF"/>
          <w:highlight w:val="none"/>
          <w:lang w:val="en-US" w:eastAsia="en-US"/>
        </w:rPr>
        <w:t>建立并逐步完善自行监测制度及排污</w:t>
      </w:r>
      <w:r>
        <w:rPr>
          <w:rFonts w:hint="eastAsia" w:ascii="Times New Roman" w:hAnsi="Times New Roman" w:eastAsia="宋体" w:cs="Times New Roman"/>
          <w:color w:val="0000FF"/>
          <w:highlight w:val="none"/>
          <w:lang w:val="en-US" w:eastAsia="zh-CN"/>
        </w:rPr>
        <w:t>口</w:t>
      </w:r>
      <w:r>
        <w:rPr>
          <w:rFonts w:hint="default" w:ascii="Times New Roman" w:hAnsi="Times New Roman" w:eastAsia="宋体" w:cs="Times New Roman"/>
          <w:color w:val="0000FF"/>
          <w:highlight w:val="none"/>
          <w:lang w:val="en-US" w:eastAsia="en-US"/>
        </w:rPr>
        <w:t>规范化管理制度，并严格执行；同时按照要求定期进行年报填报并公示。</w:t>
      </w:r>
    </w:p>
    <w:p>
      <w:pPr>
        <w:pStyle w:val="6"/>
        <w:pageBreakBefore w:val="0"/>
        <w:kinsoku/>
        <w:wordWrap/>
        <w:overflowPunct/>
        <w:topLinePunct w:val="0"/>
        <w:bidi w:val="0"/>
        <w:adjustRightInd w:val="0"/>
        <w:snapToGrid w:val="0"/>
        <w:ind w:left="0" w:firstLine="562" w:firstLineChars="200"/>
        <w:jc w:val="both"/>
        <w:textAlignment w:val="auto"/>
        <w:rPr>
          <w:rFonts w:hint="eastAsia" w:ascii="Times New Roman" w:hAnsi="Times New Roman" w:eastAsia="宋体" w:cs="Times New Roman"/>
          <w:color w:val="0000FF"/>
          <w:highlight w:val="none"/>
          <w:lang w:eastAsia="zh-CN"/>
        </w:rPr>
      </w:pPr>
      <w:r>
        <w:rPr>
          <w:rFonts w:hint="eastAsia" w:ascii="Times New Roman" w:hAnsi="Times New Roman" w:cs="Times New Roman"/>
          <w:color w:val="0000FF"/>
          <w:highlight w:val="none"/>
          <w:lang w:val="en-US" w:eastAsia="zh-CN"/>
        </w:rPr>
        <w:t xml:space="preserve">3.1.5 </w:t>
      </w:r>
      <w:r>
        <w:rPr>
          <w:rFonts w:hint="default" w:ascii="Times New Roman" w:hAnsi="Times New Roman" w:cs="Times New Roman"/>
          <w:color w:val="0000FF"/>
          <w:highlight w:val="none"/>
        </w:rPr>
        <w:t>总量控制</w:t>
      </w:r>
      <w:r>
        <w:rPr>
          <w:rFonts w:hint="eastAsia" w:ascii="Times New Roman" w:hAnsi="Times New Roman" w:cs="Times New Roman"/>
          <w:color w:val="0000FF"/>
          <w:highlight w:val="none"/>
          <w:lang w:eastAsia="zh-CN"/>
        </w:rPr>
        <w:t>指标</w:t>
      </w:r>
    </w:p>
    <w:p>
      <w:pPr>
        <w:pageBreakBefore w:val="0"/>
        <w:kinsoku/>
        <w:wordWrap/>
        <w:overflowPunct/>
        <w:topLinePunct w:val="0"/>
        <w:bidi w:val="0"/>
        <w:adjustRightInd w:val="0"/>
        <w:snapToGrid w:val="0"/>
        <w:ind w:left="0" w:firstLine="480" w:firstLineChars="200"/>
        <w:jc w:val="both"/>
        <w:textAlignment w:val="auto"/>
        <w:rPr>
          <w:rFonts w:hint="eastAsia" w:ascii="Times New Roman" w:hAnsi="Times New Roman" w:eastAsia="宋体" w:cs="Times New Roman"/>
          <w:color w:val="0000FF"/>
          <w:highlight w:val="none"/>
          <w:lang w:eastAsia="zh-CN"/>
        </w:rPr>
      </w:pPr>
      <w:r>
        <w:rPr>
          <w:rFonts w:hint="default" w:ascii="Times New Roman" w:hAnsi="Times New Roman" w:cs="Times New Roman"/>
          <w:color w:val="0000FF"/>
          <w:highlight w:val="none"/>
        </w:rPr>
        <w:t>现有</w:t>
      </w:r>
      <w:r>
        <w:rPr>
          <w:rFonts w:hint="default" w:ascii="Times New Roman" w:hAnsi="Times New Roman" w:cs="Times New Roman"/>
          <w:color w:val="0000FF"/>
          <w:highlight w:val="none"/>
          <w:lang w:eastAsia="zh-CN"/>
        </w:rPr>
        <w:t>锅炉房</w:t>
      </w:r>
      <w:r>
        <w:rPr>
          <w:rFonts w:hint="default" w:ascii="Times New Roman" w:hAnsi="Times New Roman" w:cs="Times New Roman"/>
          <w:color w:val="0000FF"/>
          <w:highlight w:val="none"/>
        </w:rPr>
        <w:t>大气污染物总量控制</w:t>
      </w:r>
      <w:r>
        <w:rPr>
          <w:rFonts w:hint="default" w:ascii="Times New Roman" w:hAnsi="Times New Roman" w:cs="Times New Roman"/>
          <w:color w:val="0000FF"/>
          <w:highlight w:val="none"/>
          <w:lang w:eastAsia="zh-CN"/>
        </w:rPr>
        <w:t>指标为</w:t>
      </w:r>
      <w:r>
        <w:rPr>
          <w:rFonts w:hint="eastAsia" w:cs="Times New Roman"/>
          <w:color w:val="0000FF"/>
          <w:highlight w:val="none"/>
          <w:lang w:eastAsia="zh-CN"/>
        </w:rPr>
        <w:t>：</w:t>
      </w:r>
      <w:r>
        <w:rPr>
          <w:rFonts w:hint="default" w:ascii="Times New Roman" w:hAnsi="Times New Roman" w:cs="Times New Roman"/>
          <w:color w:val="0000FF"/>
          <w:highlight w:val="none"/>
          <w:lang w:val="en-US" w:eastAsia="zh-CN"/>
        </w:rPr>
        <w:t>NO</w:t>
      </w:r>
      <w:r>
        <w:rPr>
          <w:rFonts w:hint="default" w:ascii="Times New Roman" w:hAnsi="Times New Roman" w:cs="Times New Roman"/>
          <w:color w:val="0000FF"/>
          <w:highlight w:val="none"/>
          <w:vertAlign w:val="subscript"/>
          <w:lang w:val="en-US" w:eastAsia="zh-CN"/>
        </w:rPr>
        <w:t>X</w:t>
      </w:r>
      <w:r>
        <w:rPr>
          <w:rFonts w:hint="eastAsia" w:ascii="Times New Roman" w:hAnsi="Times New Roman" w:cs="Times New Roman"/>
          <w:color w:val="0000FF"/>
          <w:highlight w:val="none"/>
          <w:lang w:val="en-US" w:eastAsia="zh-CN"/>
        </w:rPr>
        <w:t>246.4</w:t>
      </w:r>
      <w:r>
        <w:rPr>
          <w:rFonts w:hint="default" w:ascii="Times New Roman" w:hAnsi="Times New Roman" w:cs="Times New Roman"/>
          <w:color w:val="0000FF"/>
          <w:highlight w:val="none"/>
          <w:lang w:val="en-US" w:eastAsia="zh-CN"/>
        </w:rPr>
        <w:t>t/a</w:t>
      </w:r>
      <w:r>
        <w:rPr>
          <w:rFonts w:hint="default" w:ascii="Times New Roman" w:hAnsi="Times New Roman" w:cs="Times New Roman"/>
          <w:color w:val="0000FF"/>
          <w:highlight w:val="none"/>
        </w:rPr>
        <w:t>。</w:t>
      </w:r>
      <w:r>
        <w:rPr>
          <w:rFonts w:hint="eastAsia" w:cs="Times New Roman"/>
          <w:color w:val="0000FF"/>
          <w:highlight w:val="none"/>
          <w:lang w:eastAsia="zh-CN"/>
        </w:rPr>
        <w:t>现有工程</w:t>
      </w:r>
      <w:r>
        <w:rPr>
          <w:rFonts w:hint="eastAsia" w:cs="Times New Roman"/>
          <w:color w:val="0000FF"/>
          <w:highlight w:val="none"/>
          <w:vertAlign w:val="baseline"/>
          <w:lang w:val="en-US" w:eastAsia="zh-CN"/>
        </w:rPr>
        <w:t>实际排放量满足总量控制指标。本次技改工程实施后，</w:t>
      </w:r>
      <w:r>
        <w:rPr>
          <w:rFonts w:hint="default" w:ascii="Times New Roman" w:hAnsi="Times New Roman" w:cs="Times New Roman"/>
          <w:color w:val="0000FF"/>
          <w:highlight w:val="none"/>
          <w:lang w:val="en-US" w:eastAsia="zh-CN"/>
        </w:rPr>
        <w:t>NO</w:t>
      </w:r>
      <w:r>
        <w:rPr>
          <w:rFonts w:hint="default" w:ascii="Times New Roman" w:hAnsi="Times New Roman" w:cs="Times New Roman"/>
          <w:color w:val="0000FF"/>
          <w:highlight w:val="none"/>
          <w:vertAlign w:val="subscript"/>
          <w:lang w:val="en-US" w:eastAsia="zh-CN"/>
        </w:rPr>
        <w:t>X</w:t>
      </w:r>
      <w:r>
        <w:rPr>
          <w:rFonts w:hint="eastAsia" w:cs="Times New Roman"/>
          <w:color w:val="0000FF"/>
          <w:highlight w:val="none"/>
          <w:vertAlign w:val="baseline"/>
          <w:lang w:val="en-US" w:eastAsia="zh-CN"/>
        </w:rPr>
        <w:t>排放量将会进一步削减。</w:t>
      </w:r>
    </w:p>
    <w:p>
      <w:pPr>
        <w:pStyle w:val="14"/>
        <w:keepNext w:val="0"/>
        <w:keepLines w:val="0"/>
        <w:pageBreakBefore w:val="0"/>
        <w:widowControl w:val="0"/>
        <w:kinsoku/>
        <w:wordWrap/>
        <w:overflowPunct/>
        <w:topLinePunct w:val="0"/>
        <w:autoSpaceDE w:val="0"/>
        <w:autoSpaceDN w:val="0"/>
        <w:bidi w:val="0"/>
        <w:adjustRightInd w:val="0"/>
        <w:snapToGrid w:val="0"/>
        <w:ind w:left="0" w:leftChars="0" w:firstLine="562" w:firstLineChars="200"/>
        <w:textAlignment w:val="auto"/>
        <w:outlineLvl w:val="2"/>
      </w:pPr>
      <w:r>
        <w:rPr>
          <w:rFonts w:hint="default" w:ascii="Times New Roman" w:hAnsi="Times New Roman" w:eastAsia="宋体" w:cs="Times New Roman"/>
          <w:b/>
          <w:bCs/>
          <w:sz w:val="28"/>
          <w:szCs w:val="28"/>
          <w:lang w:val="en-US" w:eastAsia="zh-CN" w:bidi="zh-CN"/>
        </w:rPr>
        <w:t>3.1.</w:t>
      </w:r>
      <w:r>
        <w:rPr>
          <w:rFonts w:hint="eastAsia" w:cs="Times New Roman"/>
          <w:b/>
          <w:bCs/>
          <w:sz w:val="28"/>
          <w:szCs w:val="28"/>
          <w:lang w:val="en-US" w:eastAsia="zh-CN" w:bidi="zh-CN"/>
        </w:rPr>
        <w:t>6</w:t>
      </w:r>
      <w:r>
        <w:rPr>
          <w:rFonts w:hint="eastAsia" w:ascii="Times New Roman" w:hAnsi="Times New Roman" w:cs="Times New Roman"/>
          <w:b/>
          <w:bCs/>
          <w:sz w:val="28"/>
          <w:szCs w:val="28"/>
          <w:lang w:val="en-US" w:eastAsia="zh-CN" w:bidi="zh-CN"/>
        </w:rPr>
        <w:t xml:space="preserve"> </w:t>
      </w:r>
      <w:r>
        <w:rPr>
          <w:rFonts w:hint="eastAsia" w:cs="Times New Roman"/>
          <w:b/>
          <w:bCs/>
          <w:sz w:val="28"/>
          <w:szCs w:val="28"/>
          <w:lang w:val="en-US" w:eastAsia="zh-CN" w:bidi="zh-CN"/>
        </w:rPr>
        <w:t>现有工程存在的环境问题及整改措施</w:t>
      </w:r>
    </w:p>
    <w:p>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imes New Roman" w:hAnsi="Times New Roman" w:eastAsia="宋体" w:cs="Times New Roman"/>
          <w:color w:val="0000FF"/>
          <w:sz w:val="24"/>
          <w:szCs w:val="24"/>
          <w:highlight w:val="none"/>
          <w:lang w:eastAsia="zh-CN"/>
        </w:rPr>
      </w:pPr>
      <w:r>
        <w:rPr>
          <w:rFonts w:hint="default" w:ascii="Times New Roman" w:hAnsi="Times New Roman" w:eastAsia="宋体" w:cs="Times New Roman"/>
          <w:color w:val="0000FF"/>
          <w:sz w:val="24"/>
          <w:szCs w:val="24"/>
          <w:highlight w:val="none"/>
          <w:lang w:eastAsia="zh-CN"/>
        </w:rPr>
        <w:t>根据现场踏勘，原有工程存在的环保问题主要有：现有储煤场</w:t>
      </w:r>
      <w:r>
        <w:rPr>
          <w:rFonts w:hint="eastAsia" w:cs="Times New Roman"/>
          <w:color w:val="0000FF"/>
          <w:sz w:val="24"/>
          <w:szCs w:val="24"/>
          <w:highlight w:val="none"/>
          <w:lang w:eastAsia="zh-CN"/>
        </w:rPr>
        <w:t>、灰渣场</w:t>
      </w:r>
      <w:r>
        <w:rPr>
          <w:rFonts w:hint="default" w:ascii="Times New Roman" w:hAnsi="Times New Roman" w:eastAsia="宋体" w:cs="Times New Roman"/>
          <w:color w:val="0000FF"/>
          <w:sz w:val="24"/>
          <w:szCs w:val="24"/>
          <w:highlight w:val="none"/>
          <w:lang w:eastAsia="zh-CN"/>
        </w:rPr>
        <w:t>露天堆放，储煤场地面未硬化</w:t>
      </w:r>
      <w:r>
        <w:rPr>
          <w:rFonts w:hint="eastAsia" w:ascii="Times New Roman" w:hAnsi="Times New Roman" w:eastAsia="宋体" w:cs="Times New Roman"/>
          <w:color w:val="0000FF"/>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textAlignment w:val="auto"/>
        <w:rPr>
          <w:rFonts w:hint="default" w:cs="Times New Roman"/>
          <w:color w:val="0000FF"/>
          <w:sz w:val="24"/>
          <w:szCs w:val="24"/>
          <w:highlight w:val="yellow"/>
          <w:lang w:val="en-US" w:eastAsia="zh-CN"/>
        </w:rPr>
      </w:pPr>
      <w:r>
        <w:rPr>
          <w:rFonts w:hint="eastAsia" w:cs="Times New Roman"/>
          <w:color w:val="0000FF"/>
          <w:sz w:val="24"/>
          <w:szCs w:val="24"/>
          <w:highlight w:val="none"/>
          <w:lang w:eastAsia="zh-CN"/>
        </w:rPr>
        <w:t>整改措施：限期对储煤场进行地面硬化，并建设</w:t>
      </w:r>
      <w:r>
        <w:rPr>
          <w:rFonts w:hint="eastAsia" w:cs="Times New Roman"/>
          <w:color w:val="0000FF"/>
          <w:sz w:val="24"/>
          <w:szCs w:val="24"/>
          <w:highlight w:val="none"/>
          <w:lang w:val="en-US" w:eastAsia="zh-CN"/>
        </w:rPr>
        <w:t>1座全封闭储煤库，1座灰渣库。这部分整改工程另外进行备案和环评，本项目不包含。全封闭储煤库和灰渣库的建设方案以具体设计为准，本项目仅对初步方案做简要分析。</w:t>
      </w:r>
    </w:p>
    <w:p>
      <w:pPr>
        <w:keepNext w:val="0"/>
        <w:keepLines w:val="0"/>
        <w:pageBreakBefore w:val="0"/>
        <w:widowControl w:val="0"/>
        <w:kinsoku/>
        <w:wordWrap/>
        <w:overflowPunct/>
        <w:topLinePunct w:val="0"/>
        <w:autoSpaceDE w:val="0"/>
        <w:autoSpaceDN w:val="0"/>
        <w:bidi w:val="0"/>
        <w:adjustRightInd w:val="0"/>
        <w:snapToGrid w:val="0"/>
        <w:textAlignment w:val="auto"/>
        <w:rPr>
          <w:rFonts w:hint="eastAsia" w:eastAsia="宋体"/>
          <w:color w:val="0000FF"/>
          <w:highlight w:val="none"/>
          <w:lang w:eastAsia="zh-CN"/>
        </w:rPr>
      </w:pPr>
      <w:r>
        <w:rPr>
          <w:rFonts w:hint="eastAsia"/>
          <w:color w:val="0000FF"/>
          <w:highlight w:val="none"/>
          <w:lang w:eastAsia="zh-CN"/>
        </w:rPr>
        <w:t>拟建</w:t>
      </w:r>
      <w:r>
        <w:rPr>
          <w:rFonts w:hint="eastAsia"/>
          <w:color w:val="0000FF"/>
          <w:highlight w:val="none"/>
          <w:lang w:val="en-US" w:eastAsia="zh-CN"/>
        </w:rPr>
        <w:t>1座</w:t>
      </w:r>
      <w:r>
        <w:rPr>
          <w:rFonts w:hint="default"/>
          <w:color w:val="0000FF"/>
          <w:highlight w:val="none"/>
        </w:rPr>
        <w:t>全封闭式</w:t>
      </w:r>
      <w:r>
        <w:rPr>
          <w:rFonts w:hint="eastAsia"/>
          <w:color w:val="0000FF"/>
          <w:highlight w:val="none"/>
          <w:lang w:eastAsia="zh-CN"/>
        </w:rPr>
        <w:t>储煤库</w:t>
      </w:r>
      <w:r>
        <w:rPr>
          <w:rFonts w:hint="default"/>
          <w:color w:val="0000FF"/>
          <w:highlight w:val="none"/>
        </w:rPr>
        <w:t>，占地面积</w:t>
      </w:r>
      <w:r>
        <w:rPr>
          <w:rFonts w:hint="eastAsia"/>
          <w:color w:val="0000FF"/>
          <w:highlight w:val="none"/>
          <w:lang w:eastAsia="zh-CN"/>
        </w:rPr>
        <w:t>约</w:t>
      </w:r>
      <w:r>
        <w:rPr>
          <w:rFonts w:hint="default"/>
          <w:color w:val="0000FF"/>
          <w:highlight w:val="none"/>
        </w:rPr>
        <w:t>为</w:t>
      </w:r>
      <w:r>
        <w:rPr>
          <w:rFonts w:hint="eastAsia"/>
          <w:color w:val="0000FF"/>
          <w:highlight w:val="none"/>
          <w:lang w:val="en-US" w:eastAsia="zh-CN"/>
        </w:rPr>
        <w:t>1500</w:t>
      </w:r>
      <w:r>
        <w:rPr>
          <w:rFonts w:hint="default"/>
          <w:color w:val="0000FF"/>
          <w:highlight w:val="none"/>
        </w:rPr>
        <w:t>m</w:t>
      </w:r>
      <w:r>
        <w:rPr>
          <w:rFonts w:hint="default"/>
          <w:color w:val="0000FF"/>
          <w:highlight w:val="none"/>
          <w:vertAlign w:val="superscript"/>
        </w:rPr>
        <w:t>2</w:t>
      </w:r>
      <w:r>
        <w:rPr>
          <w:rFonts w:hint="default"/>
          <w:color w:val="0000FF"/>
          <w:highlight w:val="none"/>
        </w:rPr>
        <w:t>，</w:t>
      </w:r>
      <w:r>
        <w:rPr>
          <w:rFonts w:hint="eastAsia"/>
          <w:color w:val="0000FF"/>
          <w:highlight w:val="none"/>
          <w:lang w:eastAsia="zh-CN"/>
        </w:rPr>
        <w:t>设计高度</w:t>
      </w:r>
      <w:r>
        <w:rPr>
          <w:rFonts w:hint="eastAsia"/>
          <w:color w:val="0000FF"/>
          <w:highlight w:val="none"/>
          <w:lang w:val="en-US" w:eastAsia="zh-CN"/>
        </w:rPr>
        <w:t>8.5m，</w:t>
      </w:r>
      <w:r>
        <w:rPr>
          <w:rFonts w:hint="eastAsia"/>
          <w:color w:val="0000FF"/>
          <w:highlight w:val="none"/>
          <w:lang w:eastAsia="zh-CN"/>
        </w:rPr>
        <w:t>用全封闭网架结构，</w:t>
      </w:r>
      <w:r>
        <w:rPr>
          <w:rFonts w:hint="default"/>
          <w:color w:val="0000FF"/>
          <w:highlight w:val="none"/>
        </w:rPr>
        <w:t>地面采用250mm 厚 C30混凝土面层</w:t>
      </w:r>
      <w:r>
        <w:rPr>
          <w:rFonts w:hint="eastAsia"/>
          <w:color w:val="0000FF"/>
          <w:highlight w:val="none"/>
          <w:lang w:eastAsia="zh-CN"/>
        </w:rPr>
        <w:t>硬化防渗</w:t>
      </w:r>
      <w:r>
        <w:rPr>
          <w:rFonts w:hint="default"/>
          <w:color w:val="0000FF"/>
          <w:highlight w:val="none"/>
        </w:rPr>
        <w:t>，采用洒水抑尘</w:t>
      </w:r>
      <w:r>
        <w:rPr>
          <w:rFonts w:hint="eastAsia"/>
          <w:color w:val="0000FF"/>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0000FF"/>
          <w:highlight w:val="none"/>
          <w:lang w:val="en-US" w:eastAsia="zh-CN"/>
        </w:rPr>
      </w:pPr>
      <w:r>
        <w:rPr>
          <w:rFonts w:hint="eastAsia"/>
          <w:color w:val="0000FF"/>
          <w:highlight w:val="none"/>
          <w:lang w:eastAsia="zh-CN"/>
        </w:rPr>
        <w:t>拟建</w:t>
      </w:r>
      <w:r>
        <w:rPr>
          <w:rFonts w:hint="eastAsia"/>
          <w:color w:val="0000FF"/>
          <w:highlight w:val="none"/>
          <w:lang w:val="en-US" w:eastAsia="zh-CN"/>
        </w:rPr>
        <w:t>1座</w:t>
      </w:r>
      <w:r>
        <w:rPr>
          <w:rFonts w:hint="default"/>
          <w:color w:val="0000FF"/>
          <w:highlight w:val="none"/>
        </w:rPr>
        <w:t>全封闭式</w:t>
      </w:r>
      <w:r>
        <w:rPr>
          <w:rFonts w:hint="eastAsia"/>
          <w:color w:val="0000FF"/>
          <w:highlight w:val="none"/>
          <w:lang w:eastAsia="zh-CN"/>
        </w:rPr>
        <w:t>灰渣库</w:t>
      </w:r>
      <w:r>
        <w:rPr>
          <w:rFonts w:hint="default"/>
          <w:color w:val="0000FF"/>
          <w:highlight w:val="none"/>
        </w:rPr>
        <w:t>，占地面积为</w:t>
      </w:r>
      <w:r>
        <w:rPr>
          <w:rFonts w:hint="eastAsia"/>
          <w:color w:val="0000FF"/>
          <w:highlight w:val="none"/>
          <w:lang w:val="en-US" w:eastAsia="zh-CN"/>
        </w:rPr>
        <w:t>300</w:t>
      </w:r>
      <w:r>
        <w:rPr>
          <w:rFonts w:hint="default"/>
          <w:color w:val="0000FF"/>
          <w:highlight w:val="none"/>
        </w:rPr>
        <w:t>m</w:t>
      </w:r>
      <w:r>
        <w:rPr>
          <w:rFonts w:hint="default"/>
          <w:color w:val="0000FF"/>
          <w:highlight w:val="none"/>
          <w:vertAlign w:val="superscript"/>
        </w:rPr>
        <w:t>2</w:t>
      </w:r>
      <w:r>
        <w:rPr>
          <w:rFonts w:hint="default"/>
          <w:color w:val="0000FF"/>
          <w:highlight w:val="none"/>
        </w:rPr>
        <w:t>，</w:t>
      </w:r>
      <w:r>
        <w:rPr>
          <w:rFonts w:hint="eastAsia"/>
          <w:color w:val="0000FF"/>
          <w:highlight w:val="none"/>
          <w:lang w:eastAsia="zh-CN"/>
        </w:rPr>
        <w:t>设计高度</w:t>
      </w:r>
      <w:r>
        <w:rPr>
          <w:rFonts w:hint="eastAsia"/>
          <w:color w:val="0000FF"/>
          <w:highlight w:val="none"/>
          <w:lang w:val="en-US" w:eastAsia="zh-CN"/>
        </w:rPr>
        <w:t>8.5m，</w:t>
      </w:r>
      <w:r>
        <w:rPr>
          <w:rFonts w:hint="default"/>
          <w:color w:val="0000FF"/>
          <w:highlight w:val="none"/>
        </w:rPr>
        <w:t>地面采用250mm 厚 C30混凝土面层，采用洒水抑尘，抑制颗粒物产生</w:t>
      </w:r>
      <w:r>
        <w:rPr>
          <w:rFonts w:hint="eastAsia"/>
          <w:color w:val="0000FF"/>
          <w:highlight w:val="none"/>
          <w:lang w:eastAsia="zh-CN"/>
        </w:rPr>
        <w:t>。灰渣库存储量按照</w:t>
      </w:r>
      <w:r>
        <w:rPr>
          <w:rFonts w:hint="eastAsia"/>
          <w:color w:val="0000FF"/>
          <w:highlight w:val="none"/>
          <w:lang w:val="en-US" w:eastAsia="zh-CN"/>
        </w:rPr>
        <w:t>80%计，则项目灰渣场可储存灰渣约2000m</w:t>
      </w:r>
      <w:r>
        <w:rPr>
          <w:rFonts w:hint="eastAsia"/>
          <w:color w:val="0000FF"/>
          <w:highlight w:val="none"/>
          <w:vertAlign w:val="superscript"/>
          <w:lang w:val="en-US" w:eastAsia="zh-CN"/>
        </w:rPr>
        <w:t>3</w:t>
      </w:r>
      <w:r>
        <w:rPr>
          <w:rFonts w:hint="eastAsia"/>
          <w:color w:val="0000FF"/>
          <w:highlight w:val="none"/>
          <w:lang w:val="en-US" w:eastAsia="zh-CN"/>
        </w:rPr>
        <w:t>，完全可以满足本项目灰渣、飞灰及脱硫渣的贮存。</w:t>
      </w:r>
    </w:p>
    <w:p>
      <w:pPr>
        <w:pStyle w:val="5"/>
        <w:keepNext w:val="0"/>
        <w:keepLines w:val="0"/>
        <w:pageBreakBefore w:val="0"/>
        <w:widowControl w:val="0"/>
        <w:numPr>
          <w:ilvl w:val="1"/>
          <w:numId w:val="15"/>
        </w:numPr>
        <w:kinsoku/>
        <w:wordWrap/>
        <w:overflowPunct/>
        <w:topLinePunct w:val="0"/>
        <w:autoSpaceDE w:val="0"/>
        <w:autoSpaceDN w:val="0"/>
        <w:bidi w:val="0"/>
        <w:adjustRightInd w:val="0"/>
        <w:snapToGrid w:val="0"/>
        <w:ind w:left="0"/>
        <w:textAlignment w:val="auto"/>
      </w:pPr>
      <w:bookmarkStart w:id="99" w:name="_Toc3474"/>
      <w:r>
        <w:t>工程概况</w:t>
      </w:r>
      <w:bookmarkEnd w:id="97"/>
      <w:bookmarkEnd w:id="98"/>
      <w:bookmarkEnd w:id="99"/>
    </w:p>
    <w:p>
      <w:pPr>
        <w:pStyle w:val="6"/>
        <w:numPr>
          <w:ilvl w:val="2"/>
          <w:numId w:val="15"/>
        </w:numPr>
        <w:tabs>
          <w:tab w:val="left" w:pos="1241"/>
        </w:tabs>
        <w:spacing w:line="360" w:lineRule="auto"/>
        <w:jc w:val="both"/>
      </w:pPr>
      <w:bookmarkStart w:id="100" w:name="3.1.1_项目基本情况"/>
      <w:bookmarkEnd w:id="100"/>
      <w:r>
        <w:t>项目基本情况</w:t>
      </w:r>
    </w:p>
    <w:p>
      <w:pPr>
        <w:pStyle w:val="41"/>
        <w:numPr>
          <w:ilvl w:val="3"/>
          <w:numId w:val="15"/>
        </w:numPr>
        <w:tabs>
          <w:tab w:val="left" w:pos="1621"/>
        </w:tabs>
        <w:spacing w:before="0" w:line="360" w:lineRule="auto"/>
        <w:ind w:firstLine="480" w:firstLineChars="200"/>
        <w:jc w:val="both"/>
        <w:rPr>
          <w:sz w:val="24"/>
        </w:rPr>
      </w:pPr>
      <w:r>
        <w:rPr>
          <w:sz w:val="24"/>
        </w:rPr>
        <w:t>项目名称：</w:t>
      </w:r>
      <w:r>
        <w:rPr>
          <w:rFonts w:hint="eastAsia"/>
          <w:sz w:val="24"/>
          <w:lang w:eastAsia="zh-CN"/>
        </w:rPr>
        <w:t>中粮糖业控股股份有限公司额敏糖业分公司90吨/小时锅炉技改项目</w:t>
      </w:r>
      <w:r>
        <w:rPr>
          <w:sz w:val="24"/>
        </w:rPr>
        <w:t>；</w:t>
      </w:r>
    </w:p>
    <w:p>
      <w:pPr>
        <w:pStyle w:val="41"/>
        <w:numPr>
          <w:ilvl w:val="3"/>
          <w:numId w:val="15"/>
        </w:numPr>
        <w:tabs>
          <w:tab w:val="left" w:pos="1621"/>
        </w:tabs>
        <w:spacing w:before="0" w:line="360" w:lineRule="auto"/>
        <w:ind w:firstLine="480" w:firstLineChars="200"/>
        <w:jc w:val="both"/>
        <w:rPr>
          <w:sz w:val="24"/>
        </w:rPr>
      </w:pPr>
      <w:r>
        <w:rPr>
          <w:sz w:val="24"/>
        </w:rPr>
        <w:t>建设单位：</w:t>
      </w:r>
      <w:r>
        <w:rPr>
          <w:rFonts w:hint="eastAsia"/>
          <w:sz w:val="24"/>
          <w:lang w:eastAsia="zh-CN"/>
        </w:rPr>
        <w:t>中粮糖业控股股份有限公司额敏糖业分公司</w:t>
      </w:r>
      <w:r>
        <w:rPr>
          <w:sz w:val="24"/>
        </w:rPr>
        <w:t>；</w:t>
      </w:r>
    </w:p>
    <w:p>
      <w:pPr>
        <w:pStyle w:val="41"/>
        <w:numPr>
          <w:ilvl w:val="3"/>
          <w:numId w:val="15"/>
        </w:numPr>
        <w:tabs>
          <w:tab w:val="left" w:pos="1621"/>
        </w:tabs>
        <w:spacing w:before="0" w:line="360" w:lineRule="auto"/>
        <w:ind w:firstLine="480" w:firstLineChars="200"/>
        <w:jc w:val="both"/>
        <w:rPr>
          <w:sz w:val="24"/>
        </w:rPr>
      </w:pPr>
      <w:r>
        <w:rPr>
          <w:sz w:val="24"/>
        </w:rPr>
        <w:t>建设性质：</w:t>
      </w:r>
      <w:r>
        <w:rPr>
          <w:rFonts w:hint="eastAsia"/>
          <w:sz w:val="24"/>
          <w:lang w:eastAsia="zh-CN"/>
        </w:rPr>
        <w:t>技改</w:t>
      </w:r>
      <w:r>
        <w:rPr>
          <w:sz w:val="24"/>
        </w:rPr>
        <w:t>；</w:t>
      </w:r>
    </w:p>
    <w:p>
      <w:pPr>
        <w:pStyle w:val="41"/>
        <w:numPr>
          <w:ilvl w:val="3"/>
          <w:numId w:val="15"/>
        </w:numPr>
        <w:tabs>
          <w:tab w:val="left" w:pos="1623"/>
        </w:tabs>
        <w:spacing w:before="0" w:line="360" w:lineRule="auto"/>
        <w:ind w:firstLine="480" w:firstLineChars="200"/>
        <w:jc w:val="both"/>
        <w:rPr>
          <w:color w:val="000000" w:themeColor="text1"/>
          <w:sz w:val="24"/>
          <w:szCs w:val="24"/>
        </w:rPr>
      </w:pPr>
      <w:r>
        <w:rPr>
          <w:sz w:val="24"/>
        </w:rPr>
        <w:t>建设地点：</w:t>
      </w:r>
      <w:r>
        <w:rPr>
          <w:sz w:val="24"/>
          <w:szCs w:val="24"/>
        </w:rPr>
        <w:t>本项目位于</w:t>
      </w:r>
      <w:r>
        <w:rPr>
          <w:rFonts w:hint="eastAsia"/>
          <w:sz w:val="24"/>
          <w:szCs w:val="24"/>
          <w:lang w:eastAsia="zh-CN"/>
        </w:rPr>
        <w:t>塔城地区额敏县桥南中粮路21号中粮糖业控股股份有限公司额敏糖业分公司厂区内</w:t>
      </w:r>
      <w:r>
        <w:rPr>
          <w:sz w:val="24"/>
          <w:szCs w:val="24"/>
        </w:rPr>
        <w:t>。</w:t>
      </w:r>
      <w:r>
        <w:rPr>
          <w:rFonts w:ascii="Times New Roman" w:hAnsi="Times New Roman" w:eastAsia="Times New Roman"/>
          <w:spacing w:val="-11"/>
          <w:sz w:val="24"/>
          <w:szCs w:val="24"/>
        </w:rPr>
        <w:t xml:space="preserve"> </w:t>
      </w:r>
      <w:r>
        <w:rPr>
          <w:spacing w:val="-2"/>
          <w:sz w:val="24"/>
          <w:szCs w:val="24"/>
        </w:rPr>
        <w:t>中心</w:t>
      </w:r>
      <w:r>
        <w:rPr>
          <w:sz w:val="24"/>
          <w:szCs w:val="24"/>
        </w:rPr>
        <w:t>点经纬度坐标：</w:t>
      </w:r>
      <w:r>
        <w:rPr>
          <w:rFonts w:ascii="Times New Roman" w:hAnsi="Times New Roman" w:eastAsia="Times New Roman"/>
          <w:sz w:val="24"/>
          <w:szCs w:val="24"/>
        </w:rPr>
        <w:t>E</w:t>
      </w:r>
      <w:r>
        <w:rPr>
          <w:rFonts w:hint="eastAsia" w:ascii="Times New Roman" w:hAnsi="Times New Roman"/>
          <w:sz w:val="24"/>
          <w:szCs w:val="24"/>
          <w:lang w:val="en-US"/>
        </w:rPr>
        <w:t>8</w:t>
      </w:r>
      <w:r>
        <w:rPr>
          <w:rFonts w:hint="eastAsia"/>
          <w:sz w:val="24"/>
          <w:szCs w:val="24"/>
          <w:lang w:val="en-US" w:eastAsia="zh-CN"/>
        </w:rPr>
        <w:t>3</w:t>
      </w:r>
      <w:r>
        <w:rPr>
          <w:rFonts w:ascii="Times New Roman" w:hAnsi="Times New Roman" w:eastAsia="Times New Roman"/>
          <w:sz w:val="24"/>
          <w:szCs w:val="24"/>
        </w:rPr>
        <w:t>°</w:t>
      </w:r>
      <w:r>
        <w:rPr>
          <w:rFonts w:hint="eastAsia"/>
          <w:sz w:val="24"/>
          <w:szCs w:val="24"/>
          <w:lang w:val="en-US" w:eastAsia="zh-CN"/>
        </w:rPr>
        <w:t>39</w:t>
      </w:r>
      <w:r>
        <w:rPr>
          <w:rFonts w:ascii="Times New Roman" w:hAnsi="Times New Roman" w:eastAsia="Times New Roman"/>
          <w:sz w:val="24"/>
          <w:szCs w:val="24"/>
        </w:rPr>
        <w:t>'</w:t>
      </w:r>
      <w:r>
        <w:rPr>
          <w:rFonts w:hint="eastAsia"/>
          <w:sz w:val="24"/>
          <w:szCs w:val="24"/>
          <w:lang w:val="en-US" w:eastAsia="zh-CN"/>
        </w:rPr>
        <w:t>53.48</w:t>
      </w:r>
      <w:r>
        <w:rPr>
          <w:rFonts w:ascii="Times New Roman" w:hAnsi="Times New Roman" w:eastAsia="Times New Roman"/>
          <w:sz w:val="24"/>
          <w:szCs w:val="24"/>
        </w:rPr>
        <w:t>"</w:t>
      </w:r>
      <w:r>
        <w:rPr>
          <w:sz w:val="24"/>
          <w:szCs w:val="24"/>
        </w:rPr>
        <w:t>，</w:t>
      </w:r>
      <w:r>
        <w:rPr>
          <w:rFonts w:ascii="Times New Roman" w:hAnsi="Times New Roman" w:eastAsia="Times New Roman"/>
          <w:sz w:val="24"/>
          <w:szCs w:val="24"/>
        </w:rPr>
        <w:t>N</w:t>
      </w:r>
      <w:r>
        <w:rPr>
          <w:rFonts w:hint="eastAsia" w:eastAsia="宋体"/>
          <w:sz w:val="24"/>
          <w:szCs w:val="24"/>
          <w:lang w:val="en-US" w:eastAsia="zh-CN"/>
        </w:rPr>
        <w:t>46°30'27.55"</w:t>
      </w:r>
      <w:r>
        <w:rPr>
          <w:color w:val="000000" w:themeColor="text1"/>
          <w:sz w:val="24"/>
          <w:szCs w:val="24"/>
        </w:rPr>
        <w:t>，</w:t>
      </w:r>
      <w:r>
        <w:rPr>
          <w:rFonts w:hint="eastAsia" w:ascii="宋体" w:hAnsi="宋体"/>
          <w:bCs/>
          <w:color w:val="000000"/>
          <w:sz w:val="24"/>
        </w:rPr>
        <w:t>厂址北侧、东侧、南侧均有少数散住居民，西侧为额敏糖业分公司家属区</w:t>
      </w:r>
      <w:r>
        <w:rPr>
          <w:color w:val="000000" w:themeColor="text1"/>
          <w:spacing w:val="-10"/>
          <w:sz w:val="24"/>
          <w:szCs w:val="24"/>
        </w:rPr>
        <w:t>。项目区</w:t>
      </w:r>
      <w:r>
        <w:rPr>
          <w:color w:val="000000" w:themeColor="text1"/>
          <w:spacing w:val="-15"/>
          <w:sz w:val="24"/>
          <w:szCs w:val="24"/>
        </w:rPr>
        <w:t xml:space="preserve">地理位置示意图详见图 </w:t>
      </w:r>
      <w:r>
        <w:rPr>
          <w:rFonts w:ascii="Times New Roman" w:hAnsi="Times New Roman" w:eastAsia="Times New Roman"/>
          <w:color w:val="000000" w:themeColor="text1"/>
          <w:sz w:val="24"/>
          <w:szCs w:val="24"/>
        </w:rPr>
        <w:t>3.</w:t>
      </w:r>
      <w:r>
        <w:rPr>
          <w:rFonts w:hint="eastAsia" w:eastAsia="宋体"/>
          <w:color w:val="000000" w:themeColor="text1"/>
          <w:sz w:val="24"/>
          <w:szCs w:val="24"/>
          <w:lang w:val="en-US" w:eastAsia="zh-CN"/>
        </w:rPr>
        <w:t>2</w:t>
      </w:r>
      <w:r>
        <w:rPr>
          <w:rFonts w:ascii="Times New Roman" w:hAnsi="Times New Roman" w:eastAsia="Times New Roman"/>
          <w:color w:val="000000" w:themeColor="text1"/>
          <w:sz w:val="24"/>
          <w:szCs w:val="24"/>
        </w:rPr>
        <w:t>-1</w:t>
      </w:r>
      <w:r>
        <w:rPr>
          <w:color w:val="000000" w:themeColor="text1"/>
          <w:sz w:val="24"/>
          <w:szCs w:val="24"/>
        </w:rPr>
        <w:t>。</w:t>
      </w:r>
    </w:p>
    <w:p>
      <w:pPr>
        <w:pStyle w:val="41"/>
        <w:numPr>
          <w:ilvl w:val="3"/>
          <w:numId w:val="15"/>
        </w:numPr>
        <w:tabs>
          <w:tab w:val="left" w:pos="1621"/>
        </w:tabs>
        <w:spacing w:before="0" w:line="360" w:lineRule="auto"/>
        <w:ind w:firstLine="464" w:firstLineChars="200"/>
        <w:jc w:val="both"/>
        <w:rPr>
          <w:color w:val="000000" w:themeColor="text1"/>
          <w:sz w:val="24"/>
          <w:szCs w:val="24"/>
        </w:rPr>
      </w:pPr>
      <w:r>
        <w:rPr>
          <w:color w:val="000000" w:themeColor="text1"/>
          <w:spacing w:val="-4"/>
          <w:sz w:val="24"/>
          <w:szCs w:val="24"/>
        </w:rPr>
        <w:t>占地面积：本项目总占地面</w:t>
      </w:r>
      <w:r>
        <w:rPr>
          <w:rFonts w:hint="default" w:ascii="Times New Roman" w:hAnsi="Times New Roman" w:cs="Times New Roman"/>
          <w:color w:val="000000" w:themeColor="text1"/>
          <w:spacing w:val="-4"/>
          <w:sz w:val="24"/>
          <w:szCs w:val="24"/>
        </w:rPr>
        <w:t>积约</w:t>
      </w:r>
      <w:r>
        <w:rPr>
          <w:rFonts w:hint="eastAsia" w:cs="Times New Roman"/>
          <w:color w:val="000000" w:themeColor="text1"/>
          <w:spacing w:val="-4"/>
          <w:sz w:val="24"/>
          <w:szCs w:val="24"/>
          <w:lang w:val="en-US" w:eastAsia="zh-CN"/>
        </w:rPr>
        <w:t>1492</w:t>
      </w:r>
      <w:r>
        <w:rPr>
          <w:rFonts w:hint="default" w:ascii="Times New Roman" w:hAnsi="Times New Roman" w:eastAsia="Times New Roman" w:cs="Times New Roman"/>
          <w:color w:val="000000" w:themeColor="text1"/>
          <w:sz w:val="24"/>
          <w:szCs w:val="24"/>
        </w:rPr>
        <w:t>m</w:t>
      </w:r>
      <w:r>
        <w:rPr>
          <w:rFonts w:hint="default" w:ascii="Times New Roman" w:hAnsi="Times New Roman" w:eastAsia="Times New Roman" w:cs="Times New Roman"/>
          <w:color w:val="000000" w:themeColor="text1"/>
          <w:position w:val="8"/>
          <w:sz w:val="24"/>
          <w:szCs w:val="24"/>
          <w:vertAlign w:val="superscript"/>
        </w:rPr>
        <w:t>2</w:t>
      </w:r>
      <w:r>
        <w:rPr>
          <w:color w:val="000000" w:themeColor="text1"/>
          <w:sz w:val="24"/>
          <w:szCs w:val="24"/>
        </w:rPr>
        <w:t>。</w:t>
      </w:r>
    </w:p>
    <w:p>
      <w:pPr>
        <w:pStyle w:val="41"/>
        <w:numPr>
          <w:ilvl w:val="3"/>
          <w:numId w:val="15"/>
        </w:numPr>
        <w:tabs>
          <w:tab w:val="left" w:pos="1621"/>
        </w:tabs>
        <w:spacing w:before="0" w:line="360" w:lineRule="auto"/>
        <w:ind w:firstLine="428" w:firstLineChars="200"/>
        <w:jc w:val="both"/>
        <w:rPr>
          <w:rFonts w:ascii="Times New Roman" w:hAnsi="Times New Roman" w:cs="Times New Roman"/>
          <w:color w:val="000000" w:themeColor="text1"/>
          <w:sz w:val="24"/>
          <w:szCs w:val="24"/>
        </w:rPr>
      </w:pPr>
      <w:r>
        <w:rPr>
          <w:rFonts w:ascii="Times New Roman" w:hAnsi="Times New Roman" w:cs="Times New Roman"/>
          <w:color w:val="000000" w:themeColor="text1"/>
          <w:spacing w:val="-13"/>
          <w:sz w:val="24"/>
          <w:szCs w:val="24"/>
        </w:rPr>
        <w:t>项目总投资：</w:t>
      </w:r>
      <w:r>
        <w:rPr>
          <w:rFonts w:hint="eastAsia" w:cs="Times New Roman"/>
          <w:color w:val="000000" w:themeColor="text1"/>
          <w:spacing w:val="-13"/>
          <w:sz w:val="24"/>
          <w:szCs w:val="24"/>
          <w:lang w:val="en-US" w:eastAsia="zh-CN"/>
        </w:rPr>
        <w:t>3800</w:t>
      </w:r>
      <w:r>
        <w:rPr>
          <w:rFonts w:ascii="Times New Roman" w:hAnsi="Times New Roman" w:cs="Times New Roman"/>
          <w:color w:val="000000" w:themeColor="text1"/>
          <w:spacing w:val="-18"/>
          <w:sz w:val="24"/>
          <w:szCs w:val="24"/>
        </w:rPr>
        <w:t>万元。</w:t>
      </w:r>
    </w:p>
    <w:p>
      <w:pPr>
        <w:pStyle w:val="41"/>
        <w:numPr>
          <w:ilvl w:val="3"/>
          <w:numId w:val="15"/>
        </w:numPr>
        <w:tabs>
          <w:tab w:val="left" w:pos="1621"/>
        </w:tabs>
        <w:spacing w:before="0" w:line="360" w:lineRule="auto"/>
        <w:ind w:firstLine="448" w:firstLineChars="200"/>
        <w:jc w:val="both"/>
        <w:rPr>
          <w:sz w:val="24"/>
          <w:szCs w:val="24"/>
        </w:rPr>
      </w:pPr>
      <w:r>
        <w:rPr>
          <w:color w:val="000000" w:themeColor="text1"/>
          <w:spacing w:val="-8"/>
          <w:sz w:val="24"/>
          <w:szCs w:val="24"/>
        </w:rPr>
        <w:t>劳动定员及工作制度：本项目</w:t>
      </w:r>
      <w:r>
        <w:rPr>
          <w:spacing w:val="-8"/>
          <w:sz w:val="24"/>
          <w:szCs w:val="24"/>
        </w:rPr>
        <w:t>建成投产后，</w:t>
      </w:r>
      <w:r>
        <w:rPr>
          <w:rFonts w:hint="eastAsia"/>
          <w:spacing w:val="-8"/>
          <w:sz w:val="24"/>
          <w:szCs w:val="24"/>
          <w:lang w:eastAsia="zh-CN"/>
        </w:rPr>
        <w:t>不增设员工，依托原有员工</w:t>
      </w:r>
      <w:r>
        <w:rPr>
          <w:sz w:val="24"/>
          <w:szCs w:val="24"/>
        </w:rPr>
        <w:t>。</w:t>
      </w:r>
    </w:p>
    <w:p>
      <w:pPr>
        <w:pStyle w:val="41"/>
        <w:numPr>
          <w:ilvl w:val="3"/>
          <w:numId w:val="15"/>
        </w:numPr>
        <w:tabs>
          <w:tab w:val="left" w:pos="1621"/>
        </w:tabs>
        <w:spacing w:before="0" w:line="360" w:lineRule="auto"/>
        <w:ind w:firstLine="436" w:firstLineChars="200"/>
        <w:jc w:val="both"/>
      </w:pPr>
      <w:r>
        <w:rPr>
          <w:spacing w:val="-11"/>
          <w:sz w:val="24"/>
          <w:szCs w:val="24"/>
        </w:rPr>
        <w:t>建设</w:t>
      </w:r>
      <w:r>
        <w:rPr>
          <w:rFonts w:hint="default" w:ascii="Times New Roman" w:hAnsi="Times New Roman" w:cs="Times New Roman"/>
          <w:spacing w:val="-11"/>
          <w:sz w:val="24"/>
          <w:szCs w:val="24"/>
        </w:rPr>
        <w:t>周期：本项目计划于</w:t>
      </w:r>
      <w:r>
        <w:rPr>
          <w:rFonts w:hint="default" w:ascii="Times New Roman" w:hAnsi="Times New Roman" w:eastAsia="Times New Roman" w:cs="Times New Roman"/>
          <w:sz w:val="24"/>
          <w:szCs w:val="24"/>
        </w:rPr>
        <w:t>202</w:t>
      </w:r>
      <w:r>
        <w:rPr>
          <w:rFonts w:hint="eastAsia" w:cs="Times New Roman"/>
          <w:sz w:val="24"/>
          <w:szCs w:val="24"/>
          <w:lang w:val="en-US" w:eastAsia="zh-CN"/>
        </w:rPr>
        <w:t>4</w:t>
      </w:r>
      <w:r>
        <w:rPr>
          <w:rFonts w:hint="default" w:ascii="Times New Roman" w:hAnsi="Times New Roman" w:cs="Times New Roman"/>
          <w:spacing w:val="-30"/>
          <w:sz w:val="24"/>
          <w:szCs w:val="24"/>
        </w:rPr>
        <w:t>年</w:t>
      </w:r>
      <w:r>
        <w:rPr>
          <w:rFonts w:hint="eastAsia" w:cs="Times New Roman"/>
          <w:sz w:val="24"/>
          <w:szCs w:val="24"/>
          <w:lang w:val="en-US" w:eastAsia="zh-CN"/>
        </w:rPr>
        <w:t>4</w:t>
      </w:r>
      <w:r>
        <w:rPr>
          <w:rFonts w:hint="default" w:ascii="Times New Roman" w:hAnsi="Times New Roman" w:cs="Times New Roman"/>
          <w:spacing w:val="-20"/>
          <w:sz w:val="24"/>
          <w:szCs w:val="24"/>
        </w:rPr>
        <w:t>月至</w:t>
      </w:r>
      <w:r>
        <w:rPr>
          <w:rFonts w:hint="eastAsia" w:cs="Times New Roman"/>
          <w:sz w:val="24"/>
          <w:szCs w:val="24"/>
          <w:lang w:val="en-US" w:eastAsia="zh-CN"/>
        </w:rPr>
        <w:t>10</w:t>
      </w:r>
      <w:r>
        <w:rPr>
          <w:rFonts w:hint="default" w:ascii="Times New Roman" w:hAnsi="Times New Roman" w:cs="Times New Roman"/>
          <w:spacing w:val="-5"/>
          <w:sz w:val="24"/>
          <w:szCs w:val="24"/>
        </w:rPr>
        <w:t>月完成土建施工、设备购置</w:t>
      </w:r>
      <w:r>
        <w:rPr>
          <w:rFonts w:hint="default" w:ascii="Times New Roman" w:hAnsi="Times New Roman" w:cs="Times New Roman"/>
          <w:sz w:val="24"/>
          <w:szCs w:val="24"/>
        </w:rPr>
        <w:t>及安装等；</w:t>
      </w:r>
      <w:r>
        <w:rPr>
          <w:rFonts w:hint="default" w:ascii="Times New Roman" w:hAnsi="Times New Roman" w:eastAsia="Times New Roman" w:cs="Times New Roman"/>
          <w:sz w:val="24"/>
          <w:szCs w:val="24"/>
        </w:rPr>
        <w:t>202</w:t>
      </w:r>
      <w:r>
        <w:rPr>
          <w:rFonts w:hint="eastAsia" w:cs="Times New Roman"/>
          <w:sz w:val="24"/>
          <w:szCs w:val="24"/>
          <w:lang w:val="en-US" w:eastAsia="zh-CN"/>
        </w:rPr>
        <w:t>4</w:t>
      </w:r>
      <w:r>
        <w:rPr>
          <w:rFonts w:hint="default" w:ascii="Times New Roman" w:hAnsi="Times New Roman" w:cs="Times New Roman"/>
          <w:sz w:val="24"/>
          <w:szCs w:val="24"/>
        </w:rPr>
        <w:t>年</w:t>
      </w:r>
      <w:r>
        <w:rPr>
          <w:rFonts w:hint="eastAsia" w:cs="Times New Roman"/>
          <w:sz w:val="24"/>
          <w:szCs w:val="24"/>
          <w:lang w:val="en-US" w:eastAsia="zh-CN"/>
        </w:rPr>
        <w:t>11</w:t>
      </w:r>
      <w:r>
        <w:rPr>
          <w:rFonts w:hint="default" w:ascii="Times New Roman" w:hAnsi="Times New Roman" w:cs="Times New Roman"/>
          <w:sz w:val="24"/>
          <w:szCs w:val="24"/>
        </w:rPr>
        <w:t>月至</w:t>
      </w:r>
      <w:r>
        <w:rPr>
          <w:rFonts w:hint="default" w:ascii="Times New Roman" w:hAnsi="Times New Roman" w:cs="Times New Roman"/>
          <w:sz w:val="24"/>
          <w:szCs w:val="24"/>
          <w:lang w:val="en-US"/>
        </w:rPr>
        <w:t>202</w:t>
      </w:r>
      <w:r>
        <w:rPr>
          <w:rFonts w:hint="eastAsia" w:cs="Times New Roman"/>
          <w:sz w:val="24"/>
          <w:szCs w:val="24"/>
          <w:lang w:val="en-US" w:eastAsia="zh-CN"/>
        </w:rPr>
        <w:t>4</w:t>
      </w:r>
      <w:r>
        <w:rPr>
          <w:rFonts w:hint="default" w:ascii="Times New Roman" w:hAnsi="Times New Roman" w:cs="Times New Roman"/>
          <w:sz w:val="24"/>
          <w:szCs w:val="24"/>
          <w:lang w:val="en-US"/>
        </w:rPr>
        <w:t>年</w:t>
      </w:r>
      <w:r>
        <w:rPr>
          <w:rFonts w:hint="eastAsia" w:cs="Times New Roman"/>
          <w:sz w:val="24"/>
          <w:szCs w:val="24"/>
          <w:lang w:val="en-US" w:eastAsia="zh-CN"/>
        </w:rPr>
        <w:t>12</w:t>
      </w:r>
      <w:r>
        <w:rPr>
          <w:rFonts w:hint="default" w:ascii="Times New Roman" w:hAnsi="Times New Roman" w:cs="Times New Roman"/>
          <w:sz w:val="24"/>
          <w:szCs w:val="24"/>
        </w:rPr>
        <w:t>月设备调试，</w:t>
      </w:r>
      <w:r>
        <w:rPr>
          <w:rFonts w:hint="default" w:ascii="Times New Roman" w:hAnsi="Times New Roman" w:eastAsia="Times New Roman" w:cs="Times New Roman"/>
          <w:sz w:val="24"/>
          <w:szCs w:val="24"/>
        </w:rPr>
        <w:t>202</w:t>
      </w:r>
      <w:r>
        <w:rPr>
          <w:rFonts w:hint="eastAsia" w:eastAsia="宋体" w:cs="Times New Roman"/>
          <w:sz w:val="24"/>
          <w:szCs w:val="24"/>
          <w:lang w:val="en-US" w:eastAsia="zh-CN"/>
        </w:rPr>
        <w:t>5</w:t>
      </w:r>
      <w:r>
        <w:rPr>
          <w:rFonts w:hint="default" w:ascii="Times New Roman" w:hAnsi="Times New Roman" w:cs="Times New Roman"/>
          <w:sz w:val="24"/>
          <w:szCs w:val="24"/>
        </w:rPr>
        <w:t>年</w:t>
      </w:r>
      <w:r>
        <w:rPr>
          <w:rFonts w:hint="eastAsia" w:cs="Times New Roman"/>
          <w:sz w:val="24"/>
          <w:szCs w:val="24"/>
          <w:lang w:val="en-US" w:eastAsia="zh-CN"/>
        </w:rPr>
        <w:t>1</w:t>
      </w:r>
      <w:r>
        <w:rPr>
          <w:rFonts w:hint="default" w:ascii="Times New Roman" w:hAnsi="Times New Roman" w:cs="Times New Roman"/>
          <w:sz w:val="24"/>
          <w:szCs w:val="24"/>
        </w:rPr>
        <w:t>月工程投产。</w:t>
      </w:r>
    </w:p>
    <w:p>
      <w:pPr>
        <w:pStyle w:val="6"/>
        <w:numPr>
          <w:ilvl w:val="2"/>
          <w:numId w:val="15"/>
        </w:numPr>
        <w:tabs>
          <w:tab w:val="left" w:pos="1241"/>
        </w:tabs>
        <w:spacing w:line="360" w:lineRule="auto"/>
        <w:jc w:val="both"/>
      </w:pPr>
      <w:bookmarkStart w:id="101" w:name="3.1.2_主要建设内容"/>
      <w:bookmarkEnd w:id="101"/>
      <w:r>
        <w:t>主要建设内容</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rPr>
        <w:t>本项目在厂区内现有动力车间东面的预留扩建位置新建1×90t/h中温中压循环流化床锅炉，配套新增3台称重式给煤机、1台一次风机、1台二次风机、2台罗茨风机、1台布袋除尘器、1台引风机、2台锅炉电动高压给水泵；输煤在原有的2条TD75上煤皮带机基础上新增1条同型号上煤皮带机，脱硫设备全部新增，新增1个高度暂定45m烟囱，采用烟塔合一技术，</w:t>
      </w:r>
      <w:bookmarkStart w:id="102" w:name="_Hlk135072663"/>
      <w:r>
        <w:rPr>
          <w:rFonts w:hint="default" w:ascii="Times New Roman" w:hAnsi="Times New Roman" w:eastAsia="宋体" w:cs="Times New Roman"/>
        </w:rPr>
        <w:t>除尘除渣全部新增</w:t>
      </w:r>
      <w:bookmarkEnd w:id="102"/>
      <w:r>
        <w:rPr>
          <w:rFonts w:hint="default" w:ascii="Times New Roman" w:hAnsi="Times New Roman" w:eastAsia="宋体" w:cs="Times New Roman"/>
        </w:rPr>
        <w:t>锅炉所产蒸汽全部进入汽轮机做功后在进入制糖工艺生产用汽点。</w:t>
      </w:r>
      <w:bookmarkStart w:id="103" w:name="3.1.3_工程内容"/>
      <w:bookmarkEnd w:id="103"/>
      <w:r>
        <w:rPr>
          <w:rFonts w:hint="default" w:ascii="Times New Roman" w:hAnsi="Times New Roman" w:eastAsia="宋体" w:cs="Times New Roman"/>
          <w:color w:val="0000FF"/>
          <w:highlight w:val="none"/>
        </w:rPr>
        <w:t>堆煤场、渣厂</w:t>
      </w:r>
      <w:r>
        <w:rPr>
          <w:rFonts w:hint="eastAsia" w:cs="Times New Roman"/>
          <w:color w:val="0000FF"/>
          <w:highlight w:val="none"/>
          <w:lang w:eastAsia="zh-CN"/>
        </w:rPr>
        <w:t>已提出限期整改要求，这部分整改工程</w:t>
      </w:r>
      <w:r>
        <w:rPr>
          <w:rFonts w:hint="eastAsia"/>
          <w:b w:val="0"/>
          <w:bCs w:val="0"/>
          <w:color w:val="0000FF"/>
          <w:highlight w:val="none"/>
          <w:lang w:val="en-US" w:eastAsia="zh-CN"/>
        </w:rPr>
        <w:t>另外进行备案和环评，本项目不包含。</w:t>
      </w:r>
      <w:r>
        <w:rPr>
          <w:rFonts w:hint="default" w:ascii="Times New Roman" w:hAnsi="Times New Roman" w:eastAsia="宋体" w:cs="Times New Roman"/>
          <w:color w:val="auto"/>
          <w:sz w:val="24"/>
          <w:szCs w:val="24"/>
          <w:highlight w:val="none"/>
        </w:rPr>
        <w:t>本项目工程组成见表3.</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-1。</w:t>
      </w:r>
    </w:p>
    <w:p>
      <w:pPr>
        <w:pStyle w:val="62"/>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jc w:val="center"/>
        <w:textAlignment w:val="auto"/>
        <w:rPr>
          <w:rStyle w:val="35"/>
          <w:color w:val="auto"/>
          <w:highlight w:val="none"/>
        </w:rPr>
      </w:pPr>
      <w:r>
        <w:rPr>
          <w:rFonts w:ascii="Times New Roman" w:hAnsi="Times New Roman"/>
          <w:b/>
          <w:bCs/>
          <w:color w:val="auto"/>
          <w:sz w:val="21"/>
          <w:szCs w:val="21"/>
          <w:highlight w:val="none"/>
        </w:rPr>
        <w:t>表3.</w:t>
      </w:r>
      <w:r>
        <w:rPr>
          <w:rFonts w:hint="eastAsia" w:ascii="Times New Roman" w:hAnsi="Times New Roman"/>
          <w:b/>
          <w:bCs/>
          <w:color w:val="auto"/>
          <w:sz w:val="21"/>
          <w:szCs w:val="21"/>
          <w:highlight w:val="none"/>
          <w:lang w:val="en-US" w:eastAsia="zh-CN"/>
        </w:rPr>
        <w:t>2</w:t>
      </w:r>
      <w:r>
        <w:rPr>
          <w:rFonts w:ascii="Times New Roman" w:hAnsi="Times New Roman"/>
          <w:b/>
          <w:bCs/>
          <w:color w:val="auto"/>
          <w:sz w:val="21"/>
          <w:szCs w:val="21"/>
          <w:highlight w:val="none"/>
        </w:rPr>
        <w:t>-1    本项目工程组成一览表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455"/>
        <w:gridCol w:w="690"/>
        <w:gridCol w:w="3133"/>
        <w:gridCol w:w="2818"/>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vMerge w:val="restar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b/>
                <w:bCs/>
                <w:color w:val="0000FF"/>
                <w:sz w:val="21"/>
                <w:szCs w:val="21"/>
                <w:highlight w:val="none"/>
              </w:rPr>
            </w:pPr>
            <w:r>
              <w:rPr>
                <w:rFonts w:hint="default" w:ascii="Times New Roman" w:hAnsi="Times New Roman" w:cs="Times New Roman" w:eastAsiaTheme="minorEastAsia"/>
                <w:b/>
                <w:bCs/>
                <w:color w:val="0000FF"/>
                <w:sz w:val="21"/>
                <w:szCs w:val="21"/>
                <w:highlight w:val="none"/>
              </w:rPr>
              <w:t>类别</w:t>
            </w:r>
          </w:p>
        </w:tc>
        <w:tc>
          <w:tcPr>
            <w:tcW w:w="672" w:type="pct"/>
            <w:gridSpan w:val="2"/>
            <w:vMerge w:val="restar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b/>
                <w:bCs/>
                <w:color w:val="0000FF"/>
                <w:sz w:val="21"/>
                <w:szCs w:val="21"/>
                <w:highlight w:val="none"/>
              </w:rPr>
            </w:pPr>
            <w:r>
              <w:rPr>
                <w:rFonts w:hint="default" w:ascii="Times New Roman" w:hAnsi="Times New Roman" w:cs="Times New Roman" w:eastAsiaTheme="minorEastAsia"/>
                <w:b/>
                <w:bCs/>
                <w:color w:val="0000FF"/>
                <w:sz w:val="21"/>
                <w:szCs w:val="21"/>
                <w:highlight w:val="none"/>
              </w:rPr>
              <w:t>工程名称</w:t>
            </w:r>
          </w:p>
        </w:tc>
        <w:tc>
          <w:tcPr>
            <w:tcW w:w="3493"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b/>
                <w:bCs/>
                <w:color w:val="0000FF"/>
                <w:sz w:val="21"/>
                <w:szCs w:val="21"/>
                <w:highlight w:val="none"/>
              </w:rPr>
            </w:pPr>
            <w:r>
              <w:rPr>
                <w:rFonts w:hint="default" w:ascii="Times New Roman" w:hAnsi="Times New Roman" w:cs="Times New Roman" w:eastAsiaTheme="minorEastAsia"/>
                <w:b/>
                <w:bCs/>
                <w:color w:val="0000FF"/>
                <w:sz w:val="21"/>
                <w:szCs w:val="21"/>
                <w:highlight w:val="none"/>
              </w:rPr>
              <w:t>主要建设内容</w:t>
            </w:r>
          </w:p>
        </w:tc>
        <w:tc>
          <w:tcPr>
            <w:tcW w:w="463" w:type="pct"/>
            <w:vMerge w:val="restar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b/>
                <w:bCs/>
                <w:color w:val="0000FF"/>
                <w:sz w:val="21"/>
                <w:szCs w:val="21"/>
                <w:highlight w:val="none"/>
              </w:rPr>
            </w:pPr>
            <w:r>
              <w:rPr>
                <w:rFonts w:hint="default" w:ascii="Times New Roman" w:hAnsi="Times New Roman" w:cs="Times New Roman" w:eastAsiaTheme="minorEastAsia"/>
                <w:b/>
                <w:bCs/>
                <w:color w:val="0000FF"/>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b/>
                <w:bCs/>
                <w:color w:val="0000FF"/>
                <w:sz w:val="21"/>
                <w:szCs w:val="21"/>
                <w:highlight w:val="none"/>
              </w:rPr>
            </w:pPr>
          </w:p>
        </w:tc>
        <w:tc>
          <w:tcPr>
            <w:tcW w:w="672" w:type="pct"/>
            <w:gridSpan w:val="2"/>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b/>
                <w:bCs/>
                <w:color w:val="0000FF"/>
                <w:sz w:val="21"/>
                <w:szCs w:val="21"/>
                <w:highlight w:val="none"/>
              </w:rPr>
            </w:pP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cs="Times New Roman" w:eastAsiaTheme="minorEastAsia"/>
                <w:b/>
                <w:bCs/>
                <w:color w:val="0000FF"/>
                <w:sz w:val="21"/>
                <w:szCs w:val="21"/>
                <w:highlight w:val="none"/>
                <w:lang w:eastAsia="zh-CN"/>
              </w:rPr>
            </w:pPr>
            <w:r>
              <w:rPr>
                <w:rFonts w:hint="eastAsia" w:ascii="Times New Roman" w:hAnsi="Times New Roman" w:cs="Times New Roman" w:eastAsiaTheme="minorEastAsia"/>
                <w:b/>
                <w:bCs/>
                <w:color w:val="0000FF"/>
                <w:sz w:val="21"/>
                <w:szCs w:val="21"/>
                <w:highlight w:val="none"/>
                <w:lang w:eastAsia="zh-CN"/>
              </w:rPr>
              <w:t>改建工程</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cs="Times New Roman" w:eastAsiaTheme="minorEastAsia"/>
                <w:b/>
                <w:bCs/>
                <w:color w:val="0000FF"/>
                <w:sz w:val="21"/>
                <w:szCs w:val="21"/>
                <w:highlight w:val="none"/>
                <w:lang w:eastAsia="zh-CN"/>
              </w:rPr>
            </w:pPr>
            <w:r>
              <w:rPr>
                <w:rFonts w:hint="eastAsia" w:ascii="Times New Roman" w:hAnsi="Times New Roman" w:cs="Times New Roman" w:eastAsiaTheme="minorEastAsia"/>
                <w:b/>
                <w:bCs/>
                <w:color w:val="0000FF"/>
                <w:sz w:val="21"/>
                <w:szCs w:val="21"/>
                <w:highlight w:val="none"/>
                <w:lang w:eastAsia="zh-CN"/>
              </w:rPr>
              <w:t>现有工程</w:t>
            </w:r>
          </w:p>
        </w:tc>
        <w:tc>
          <w:tcPr>
            <w:tcW w:w="463"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cs="Times New Roman" w:eastAsiaTheme="minorEastAsia"/>
                <w:b/>
                <w:bCs/>
                <w:color w:val="0000FF"/>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主体工程</w:t>
            </w:r>
          </w:p>
        </w:tc>
        <w:tc>
          <w:tcPr>
            <w:tcW w:w="672"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锅炉房</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both"/>
              <w:textAlignment w:val="auto"/>
              <w:rPr>
                <w:rFonts w:hint="eastAsia"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rPr>
              <w:t>1×90t/h中温中压循环流化床锅炉</w:t>
            </w:r>
            <w:r>
              <w:rPr>
                <w:rFonts w:hint="eastAsia" w:ascii="Times New Roman" w:hAnsi="Times New Roman" w:cs="Times New Roman" w:eastAsiaTheme="minorEastAsia"/>
                <w:color w:val="0000FF"/>
                <w:sz w:val="21"/>
                <w:szCs w:val="21"/>
                <w:lang w:eastAsia="zh-CN"/>
              </w:rPr>
              <w:t>，配套</w:t>
            </w:r>
            <w:r>
              <w:rPr>
                <w:rFonts w:hint="eastAsia" w:ascii="Times New Roman" w:hAnsi="Times New Roman" w:cs="Times New Roman" w:eastAsiaTheme="minorEastAsia"/>
                <w:color w:val="0000FF"/>
                <w:sz w:val="21"/>
                <w:szCs w:val="21"/>
                <w:lang w:val="en-US" w:eastAsia="zh-CN"/>
              </w:rPr>
              <w:t>4</w:t>
            </w:r>
            <w:r>
              <w:rPr>
                <w:rFonts w:hint="default" w:ascii="Times New Roman" w:hAnsi="Times New Roman" w:cs="Times New Roman" w:eastAsiaTheme="minorEastAsia"/>
                <w:color w:val="0000FF"/>
                <w:sz w:val="21"/>
                <w:szCs w:val="21"/>
              </w:rPr>
              <w:t>台风机</w:t>
            </w:r>
            <w:r>
              <w:rPr>
                <w:rFonts w:hint="default" w:ascii="Times New Roman" w:hAnsi="Times New Roman" w:cs="Times New Roman" w:eastAsiaTheme="minorEastAsia"/>
                <w:color w:val="0000FF"/>
                <w:sz w:val="21"/>
                <w:szCs w:val="21"/>
                <w:lang w:eastAsia="zh-CN"/>
              </w:rPr>
              <w:t>、</w:t>
            </w:r>
            <w:r>
              <w:rPr>
                <w:rFonts w:hint="default" w:ascii="Times New Roman" w:hAnsi="Times New Roman" w:cs="Times New Roman" w:eastAsiaTheme="minorEastAsia"/>
                <w:color w:val="0000FF"/>
                <w:sz w:val="21"/>
                <w:szCs w:val="21"/>
                <w:lang w:val="en-US" w:eastAsia="zh-CN"/>
              </w:rPr>
              <w:t>1台引风机</w:t>
            </w:r>
            <w:r>
              <w:rPr>
                <w:rFonts w:hint="eastAsia" w:ascii="Times New Roman" w:hAnsi="Times New Roman" w:cs="Times New Roman" w:eastAsiaTheme="minorEastAsia"/>
                <w:color w:val="0000FF"/>
                <w:sz w:val="21"/>
                <w:szCs w:val="21"/>
                <w:lang w:val="en-US" w:eastAsia="zh-CN"/>
              </w:rPr>
              <w:t>；</w:t>
            </w:r>
            <w:r>
              <w:rPr>
                <w:rFonts w:hint="default" w:ascii="Times New Roman" w:hAnsi="Times New Roman" w:cs="Times New Roman" w:eastAsiaTheme="minorEastAsia"/>
                <w:color w:val="0000FF"/>
                <w:sz w:val="21"/>
                <w:szCs w:val="21"/>
              </w:rPr>
              <w:t>2台锅炉电动高压给水泵</w:t>
            </w:r>
            <w:r>
              <w:rPr>
                <w:rFonts w:hint="eastAsia" w:ascii="Times New Roman" w:hAnsi="Times New Roman" w:cs="Times New Roman" w:eastAsiaTheme="minorEastAsia"/>
                <w:color w:val="0000FF"/>
                <w:sz w:val="21"/>
                <w:szCs w:val="21"/>
                <w:lang w:eastAsia="zh-CN"/>
              </w:rPr>
              <w:t>；</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2</w:t>
            </w:r>
            <w:r>
              <w:rPr>
                <w:rFonts w:hint="default" w:ascii="Times New Roman" w:hAnsi="Times New Roman" w:cs="Times New Roman" w:eastAsiaTheme="minorEastAsia"/>
                <w:color w:val="0000FF"/>
                <w:sz w:val="21"/>
                <w:szCs w:val="21"/>
                <w:highlight w:val="none"/>
                <w:lang w:val="en-US" w:eastAsia="zh-CN"/>
              </w:rPr>
              <w:t>台35t/h</w:t>
            </w:r>
            <w:r>
              <w:rPr>
                <w:rFonts w:hint="default" w:ascii="Times New Roman" w:hAnsi="Times New Roman" w:cs="Times New Roman" w:eastAsiaTheme="minorEastAsia"/>
                <w:color w:val="0000FF"/>
                <w:sz w:val="21"/>
                <w:szCs w:val="21"/>
                <w:highlight w:val="none"/>
              </w:rPr>
              <w:t>中温</w:t>
            </w:r>
            <w:r>
              <w:rPr>
                <w:rFonts w:hint="eastAsia" w:ascii="Times New Roman" w:hAnsi="Times New Roman" w:cs="Times New Roman" w:eastAsiaTheme="minorEastAsia"/>
                <w:color w:val="0000FF"/>
                <w:sz w:val="21"/>
                <w:szCs w:val="21"/>
                <w:highlight w:val="none"/>
                <w:lang w:eastAsia="zh-CN"/>
              </w:rPr>
              <w:t>循环流化床</w:t>
            </w:r>
            <w:r>
              <w:rPr>
                <w:rFonts w:hint="default" w:ascii="Times New Roman" w:hAnsi="Times New Roman" w:cs="Times New Roman" w:eastAsiaTheme="minorEastAsia"/>
                <w:color w:val="0000FF"/>
                <w:sz w:val="21"/>
                <w:szCs w:val="21"/>
                <w:highlight w:val="none"/>
              </w:rPr>
              <w:t>蒸汽锅炉</w:t>
            </w:r>
            <w:r>
              <w:rPr>
                <w:rFonts w:hint="eastAsia" w:ascii="Times New Roman" w:hAnsi="Times New Roman" w:cs="Times New Roman" w:eastAsiaTheme="minorEastAsia"/>
                <w:color w:val="0000FF"/>
                <w:sz w:val="21"/>
                <w:szCs w:val="21"/>
                <w:highlight w:val="none"/>
                <w:lang w:eastAsia="zh-CN"/>
              </w:rPr>
              <w:t>、</w:t>
            </w:r>
            <w:r>
              <w:rPr>
                <w:rFonts w:hint="default" w:ascii="Times New Roman" w:hAnsi="Times New Roman" w:cs="Times New Roman" w:eastAsiaTheme="minorEastAsia"/>
                <w:color w:val="0000FF"/>
                <w:sz w:val="21"/>
                <w:szCs w:val="21"/>
                <w:highlight w:val="none"/>
              </w:rPr>
              <w:t>1</w:t>
            </w:r>
            <w:r>
              <w:rPr>
                <w:rFonts w:hint="default" w:ascii="Times New Roman" w:hAnsi="Times New Roman" w:cs="Times New Roman" w:eastAsiaTheme="minorEastAsia"/>
                <w:color w:val="0000FF"/>
                <w:sz w:val="21"/>
                <w:szCs w:val="21"/>
                <w:highlight w:val="none"/>
                <w:lang w:eastAsia="zh-CN"/>
              </w:rPr>
              <w:t>台</w:t>
            </w:r>
            <w:r>
              <w:rPr>
                <w:rFonts w:hint="default" w:ascii="Times New Roman" w:hAnsi="Times New Roman" w:cs="Times New Roman" w:eastAsiaTheme="minorEastAsia"/>
                <w:color w:val="0000FF"/>
                <w:sz w:val="21"/>
                <w:szCs w:val="21"/>
                <w:highlight w:val="none"/>
              </w:rPr>
              <w:t>20t/h中温低压蒸汽链条锅炉</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71" w:type="pct"/>
            <w:vMerge w:val="restar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rPr>
              <w:t>储运工程</w:t>
            </w:r>
          </w:p>
        </w:tc>
        <w:tc>
          <w:tcPr>
            <w:tcW w:w="672"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称重式</w:t>
            </w:r>
            <w:r>
              <w:rPr>
                <w:rFonts w:hint="default" w:ascii="Times New Roman" w:hAnsi="Times New Roman" w:cs="Times New Roman" w:eastAsiaTheme="minorEastAsia"/>
                <w:color w:val="0000FF"/>
                <w:sz w:val="21"/>
                <w:szCs w:val="21"/>
              </w:rPr>
              <w:t>给煤机</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color w:val="0000FF"/>
                <w:sz w:val="21"/>
                <w:szCs w:val="21"/>
                <w:highlight w:val="none"/>
                <w:lang w:val="en-US" w:eastAsia="zh-CN"/>
              </w:rPr>
              <w:t>3台</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3台</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672"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val="zh-CN" w:eastAsia="zh-CN" w:bidi="zh-CN"/>
              </w:rPr>
            </w:pPr>
            <w:r>
              <w:rPr>
                <w:rFonts w:hint="eastAsia" w:ascii="Times New Roman" w:hAnsi="Times New Roman" w:cs="Times New Roman" w:eastAsiaTheme="minorEastAsia"/>
                <w:color w:val="0000FF"/>
                <w:sz w:val="21"/>
                <w:szCs w:val="21"/>
                <w:lang w:eastAsia="zh-CN"/>
              </w:rPr>
              <w:t>输煤廊及</w:t>
            </w:r>
            <w:r>
              <w:rPr>
                <w:rFonts w:hint="default" w:ascii="Times New Roman" w:hAnsi="Times New Roman" w:cs="Times New Roman" w:eastAsiaTheme="minorEastAsia"/>
                <w:color w:val="0000FF"/>
                <w:sz w:val="21"/>
                <w:szCs w:val="21"/>
              </w:rPr>
              <w:t>上煤皮带机</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val="en-US" w:eastAsia="zh-CN" w:bidi="zh-CN"/>
              </w:rPr>
            </w:pPr>
            <w:r>
              <w:rPr>
                <w:rFonts w:hint="default" w:ascii="Times New Roman" w:hAnsi="Times New Roman" w:cs="Times New Roman" w:eastAsiaTheme="minorEastAsia"/>
                <w:color w:val="0000FF"/>
                <w:sz w:val="21"/>
                <w:szCs w:val="21"/>
              </w:rPr>
              <w:t>在原有的2条TD75上煤皮带机基础上新增1条同型号上煤皮带机</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val="en-US" w:eastAsia="zh-CN" w:bidi="zh-CN"/>
              </w:rPr>
            </w:pPr>
            <w:r>
              <w:rPr>
                <w:rFonts w:hint="default" w:ascii="Times New Roman" w:hAnsi="Times New Roman" w:cs="Times New Roman" w:eastAsiaTheme="minorEastAsia"/>
                <w:color w:val="0000FF"/>
                <w:sz w:val="21"/>
                <w:szCs w:val="21"/>
              </w:rPr>
              <w:t>2条TD75上煤皮带机</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cs="Times New Roman" w:eastAsiaTheme="minorEastAsia"/>
                <w:color w:val="0000FF"/>
                <w:kern w:val="2"/>
                <w:sz w:val="21"/>
                <w:szCs w:val="21"/>
                <w:highlight w:val="none"/>
                <w:lang w:val="en-US" w:eastAsia="zh-CN" w:bidi="zh-CN"/>
              </w:rPr>
            </w:pPr>
            <w:r>
              <w:rPr>
                <w:rFonts w:hint="eastAsia" w:ascii="Times New Roman" w:hAnsi="Times New Roman" w:cs="Times New Roman" w:eastAsiaTheme="minorEastAsia"/>
                <w:color w:val="0000FF"/>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672" w:type="pct"/>
            <w:gridSpan w:val="2"/>
            <w:noWrap w:val="0"/>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FF"/>
                <w:sz w:val="21"/>
                <w:szCs w:val="21"/>
              </w:rPr>
            </w:pPr>
            <w:r>
              <w:rPr>
                <w:rFonts w:hint="eastAsia"/>
                <w:color w:val="0000FF"/>
                <w:spacing w:val="0"/>
                <w:sz w:val="21"/>
                <w:szCs w:val="21"/>
                <w:lang w:eastAsia="zh-CN"/>
              </w:rPr>
              <w:t>煤、渣场</w:t>
            </w:r>
          </w:p>
        </w:tc>
        <w:tc>
          <w:tcPr>
            <w:tcW w:w="1839" w:type="pct"/>
            <w:noWrap w:val="0"/>
            <w:vAlign w:val="center"/>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FF"/>
                <w:sz w:val="21"/>
                <w:szCs w:val="21"/>
                <w:lang w:eastAsia="zh-CN"/>
              </w:rPr>
            </w:pPr>
            <w:r>
              <w:rPr>
                <w:rFonts w:hint="eastAsia" w:ascii="Times New Roman" w:hAnsi="Times New Roman" w:cs="Times New Roman" w:eastAsiaTheme="minorEastAsia"/>
                <w:color w:val="0000FF"/>
                <w:sz w:val="21"/>
                <w:szCs w:val="21"/>
                <w:lang w:eastAsia="zh-CN"/>
              </w:rPr>
              <w:t>限期改建封闭式储煤场（另外进行备案和环评，本项目不包含）</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eastAsia"/>
                <w:color w:val="0000FF"/>
                <w:spacing w:val="0"/>
                <w:sz w:val="21"/>
                <w:szCs w:val="21"/>
                <w:lang w:eastAsia="zh-CN"/>
              </w:rPr>
              <w:t>露天煤场、渣场</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71" w:type="pct"/>
            <w:vMerge w:val="restar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公用工程</w:t>
            </w:r>
          </w:p>
        </w:tc>
        <w:tc>
          <w:tcPr>
            <w:tcW w:w="672"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供水系统</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rPr>
              <w:t>市政供水管网提供</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rPr>
              <w:t>市政供水管网提供</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672"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供电</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市政电网</w:t>
            </w:r>
            <w:r>
              <w:rPr>
                <w:rFonts w:hint="default" w:ascii="Times New Roman" w:hAnsi="Times New Roman" w:cs="Times New Roman" w:eastAsiaTheme="minorEastAsia"/>
                <w:color w:val="0000FF"/>
                <w:sz w:val="21"/>
                <w:szCs w:val="21"/>
                <w:highlight w:val="none"/>
              </w:rPr>
              <w:t>提供</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市政电网</w:t>
            </w:r>
            <w:r>
              <w:rPr>
                <w:rFonts w:hint="default" w:ascii="Times New Roman" w:hAnsi="Times New Roman" w:cs="Times New Roman" w:eastAsiaTheme="minorEastAsia"/>
                <w:color w:val="0000FF"/>
                <w:sz w:val="21"/>
                <w:szCs w:val="21"/>
                <w:highlight w:val="none"/>
              </w:rPr>
              <w:t>提供</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672"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排水</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生产废水不外排；生活污水排入市政排水管网</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生产废水不外排；生活污水排入市政排水管网</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71" w:type="pct"/>
            <w:vMerge w:val="restar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环保工程</w:t>
            </w:r>
          </w:p>
        </w:tc>
        <w:tc>
          <w:tcPr>
            <w:tcW w:w="267" w:type="pct"/>
            <w:vMerge w:val="restar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废气</w:t>
            </w:r>
          </w:p>
        </w:tc>
        <w:tc>
          <w:tcPr>
            <w:tcW w:w="405"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脱硝措施</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rPr>
              <w:t>采用SNCR工艺脱硝效率技术</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rPr>
              <w:t>采用SNCR工艺脱硝效率技术</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default" w:ascii="Times New Roman" w:hAnsi="Times New Roman" w:cs="Times New Roman" w:eastAsiaTheme="minorEastAsia"/>
                <w:color w:val="0000FF"/>
                <w:kern w:val="2"/>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267"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405"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除尘措施</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rPr>
              <w:t>采用布袋除尘器</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采用布袋除尘器</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default" w:ascii="Times New Roman" w:hAnsi="Times New Roman" w:cs="Times New Roman" w:eastAsiaTheme="minorEastAsia"/>
                <w:color w:val="0000FF"/>
                <w:kern w:val="2"/>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267"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405"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脱硫措施</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B050"/>
                <w:sz w:val="21"/>
                <w:szCs w:val="21"/>
                <w:highlight w:val="none"/>
              </w:rPr>
              <w:t>采用</w:t>
            </w:r>
            <w:r>
              <w:rPr>
                <w:rFonts w:hint="eastAsia" w:cs="Times New Roman" w:eastAsiaTheme="minorEastAsia"/>
                <w:color w:val="00B050"/>
                <w:sz w:val="21"/>
                <w:szCs w:val="21"/>
                <w:highlight w:val="none"/>
                <w:lang w:eastAsia="zh-CN"/>
              </w:rPr>
              <w:t>石灰</w:t>
            </w:r>
            <w:r>
              <w:rPr>
                <w:rFonts w:hint="eastAsia" w:cs="Times New Roman" w:eastAsiaTheme="minorEastAsia"/>
                <w:color w:val="00B050"/>
                <w:sz w:val="21"/>
                <w:szCs w:val="21"/>
                <w:highlight w:val="none"/>
                <w:lang w:val="en-US" w:eastAsia="zh-CN"/>
              </w:rPr>
              <w:t>-石膏</w:t>
            </w:r>
            <w:r>
              <w:rPr>
                <w:rFonts w:hint="default" w:ascii="Times New Roman" w:hAnsi="Times New Roman" w:cs="Times New Roman" w:eastAsiaTheme="minorEastAsia"/>
                <w:color w:val="00B050"/>
                <w:sz w:val="21"/>
                <w:szCs w:val="21"/>
                <w:highlight w:val="none"/>
                <w:lang w:eastAsia="zh-CN"/>
              </w:rPr>
              <w:t>法</w:t>
            </w:r>
            <w:r>
              <w:rPr>
                <w:rFonts w:hint="default" w:ascii="Times New Roman" w:hAnsi="Times New Roman" w:cs="Times New Roman" w:eastAsiaTheme="minorEastAsia"/>
                <w:color w:val="00B050"/>
                <w:sz w:val="21"/>
                <w:szCs w:val="21"/>
                <w:highlight w:val="none"/>
              </w:rPr>
              <w:t>脱硫</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采用</w:t>
            </w:r>
            <w:r>
              <w:rPr>
                <w:rFonts w:hint="default" w:ascii="Times New Roman" w:hAnsi="Times New Roman" w:cs="Times New Roman" w:eastAsiaTheme="minorEastAsia"/>
                <w:color w:val="0000FF"/>
                <w:sz w:val="21"/>
                <w:szCs w:val="21"/>
                <w:highlight w:val="none"/>
                <w:lang w:eastAsia="zh-CN"/>
              </w:rPr>
              <w:t>双碱法</w:t>
            </w:r>
            <w:r>
              <w:rPr>
                <w:rFonts w:hint="default" w:ascii="Times New Roman" w:hAnsi="Times New Roman" w:cs="Times New Roman" w:eastAsiaTheme="minorEastAsia"/>
                <w:color w:val="0000FF"/>
                <w:sz w:val="21"/>
                <w:szCs w:val="21"/>
                <w:highlight w:val="none"/>
              </w:rPr>
              <w:t>脱硫</w:t>
            </w:r>
            <w:r>
              <w:rPr>
                <w:rFonts w:hint="default" w:ascii="Times New Roman" w:hAnsi="Times New Roman" w:cs="Times New Roman" w:eastAsiaTheme="minorEastAsia"/>
                <w:color w:val="0000FF"/>
                <w:sz w:val="21"/>
                <w:szCs w:val="21"/>
                <w:highlight w:val="none"/>
                <w:lang w:eastAsia="zh-CN"/>
              </w:rPr>
              <w:t>。</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default" w:ascii="Times New Roman" w:hAnsi="Times New Roman" w:cs="Times New Roman" w:eastAsiaTheme="minorEastAsia"/>
                <w:color w:val="0000FF"/>
                <w:kern w:val="2"/>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267"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405"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烟囱</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rPr>
              <w:t>高度</w:t>
            </w:r>
            <w:r>
              <w:rPr>
                <w:rFonts w:hint="default" w:ascii="Times New Roman" w:hAnsi="Times New Roman" w:cs="Times New Roman" w:eastAsiaTheme="minorEastAsia"/>
                <w:color w:val="0000FF"/>
                <w:sz w:val="21"/>
                <w:szCs w:val="21"/>
                <w:highlight w:val="none"/>
                <w:lang w:val="en-US" w:eastAsia="zh-CN"/>
              </w:rPr>
              <w:t>45</w:t>
            </w:r>
            <w:r>
              <w:rPr>
                <w:rFonts w:hint="default" w:ascii="Times New Roman" w:hAnsi="Times New Roman" w:cs="Times New Roman" w:eastAsiaTheme="minorEastAsia"/>
                <w:color w:val="0000FF"/>
                <w:sz w:val="21"/>
                <w:szCs w:val="21"/>
                <w:highlight w:val="none"/>
              </w:rPr>
              <w:t>m</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1#、3#锅炉配套排气筒</w:t>
            </w:r>
            <w:r>
              <w:rPr>
                <w:rFonts w:hint="default" w:ascii="Times New Roman" w:hAnsi="Times New Roman" w:cs="Times New Roman" w:eastAsiaTheme="minorEastAsia"/>
                <w:color w:val="0000FF"/>
                <w:sz w:val="21"/>
                <w:szCs w:val="21"/>
                <w:highlight w:val="none"/>
              </w:rPr>
              <w:t>高度</w:t>
            </w:r>
            <w:r>
              <w:rPr>
                <w:rFonts w:hint="eastAsia" w:ascii="Times New Roman" w:hAnsi="Times New Roman" w:cs="Times New Roman" w:eastAsiaTheme="minorEastAsia"/>
                <w:color w:val="0000FF"/>
                <w:sz w:val="21"/>
                <w:szCs w:val="21"/>
                <w:highlight w:val="none"/>
                <w:lang w:val="en-US" w:eastAsia="zh-CN"/>
              </w:rPr>
              <w:t>60</w:t>
            </w:r>
            <w:r>
              <w:rPr>
                <w:rFonts w:hint="default" w:ascii="Times New Roman" w:hAnsi="Times New Roman" w:cs="Times New Roman" w:eastAsiaTheme="minorEastAsia"/>
                <w:color w:val="0000FF"/>
                <w:sz w:val="21"/>
                <w:szCs w:val="21"/>
                <w:highlight w:val="none"/>
              </w:rPr>
              <w:t>m</w:t>
            </w:r>
            <w:r>
              <w:rPr>
                <w:rFonts w:hint="eastAsia" w:ascii="Times New Roman" w:hAnsi="Times New Roman" w:cs="Times New Roman" w:eastAsiaTheme="minorEastAsia"/>
                <w:color w:val="0000FF"/>
                <w:sz w:val="21"/>
                <w:szCs w:val="21"/>
                <w:highlight w:val="none"/>
                <w:lang w:val="en-US" w:eastAsia="zh-CN"/>
              </w:rPr>
              <w:t>，2#锅炉配套排气筒</w:t>
            </w:r>
            <w:r>
              <w:rPr>
                <w:rFonts w:hint="default" w:ascii="Times New Roman" w:hAnsi="Times New Roman" w:cs="Times New Roman" w:eastAsiaTheme="minorEastAsia"/>
                <w:color w:val="0000FF"/>
                <w:sz w:val="21"/>
                <w:szCs w:val="21"/>
                <w:highlight w:val="none"/>
              </w:rPr>
              <w:t>高度</w:t>
            </w:r>
            <w:r>
              <w:rPr>
                <w:rFonts w:hint="eastAsia" w:cs="Times New Roman" w:eastAsiaTheme="minorEastAsia"/>
                <w:color w:val="0000FF"/>
                <w:sz w:val="21"/>
                <w:szCs w:val="21"/>
                <w:highlight w:val="none"/>
                <w:lang w:val="en-US" w:eastAsia="zh-CN"/>
              </w:rPr>
              <w:t>6</w:t>
            </w:r>
            <w:r>
              <w:rPr>
                <w:rFonts w:hint="eastAsia" w:ascii="Times New Roman" w:hAnsi="Times New Roman" w:cs="Times New Roman" w:eastAsiaTheme="minorEastAsia"/>
                <w:color w:val="0000FF"/>
                <w:sz w:val="21"/>
                <w:szCs w:val="21"/>
                <w:highlight w:val="none"/>
                <w:lang w:val="en-US" w:eastAsia="zh-CN"/>
              </w:rPr>
              <w:t>0</w:t>
            </w:r>
            <w:r>
              <w:rPr>
                <w:rFonts w:hint="default" w:ascii="Times New Roman" w:hAnsi="Times New Roman" w:cs="Times New Roman" w:eastAsiaTheme="minorEastAsia"/>
                <w:color w:val="0000FF"/>
                <w:sz w:val="21"/>
                <w:szCs w:val="21"/>
                <w:highlight w:val="none"/>
              </w:rPr>
              <w:t>m</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default" w:ascii="Times New Roman" w:hAnsi="Times New Roman" w:cs="Times New Roman" w:eastAsiaTheme="minorEastAsia"/>
                <w:color w:val="0000FF"/>
                <w:kern w:val="2"/>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267"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405"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在线监测</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rPr>
              <w:t>烟道上新建烟气在线监测系统（CEMS），监测SO</w:t>
            </w:r>
            <w:r>
              <w:rPr>
                <w:rFonts w:hint="default" w:ascii="Times New Roman" w:hAnsi="Times New Roman" w:cs="Times New Roman" w:eastAsiaTheme="minorEastAsia"/>
                <w:color w:val="0000FF"/>
                <w:sz w:val="21"/>
                <w:szCs w:val="21"/>
                <w:highlight w:val="none"/>
                <w:vertAlign w:val="subscript"/>
              </w:rPr>
              <w:t>2</w:t>
            </w:r>
            <w:r>
              <w:rPr>
                <w:rFonts w:hint="default" w:ascii="Times New Roman" w:hAnsi="Times New Roman" w:cs="Times New Roman" w:eastAsiaTheme="minorEastAsia"/>
                <w:color w:val="0000FF"/>
                <w:sz w:val="21"/>
                <w:szCs w:val="21"/>
                <w:highlight w:val="none"/>
              </w:rPr>
              <w:t>、NO</w:t>
            </w:r>
            <w:r>
              <w:rPr>
                <w:rFonts w:hint="default" w:ascii="Times New Roman" w:hAnsi="Times New Roman" w:cs="Times New Roman" w:eastAsiaTheme="minorEastAsia"/>
                <w:color w:val="0000FF"/>
                <w:sz w:val="21"/>
                <w:szCs w:val="21"/>
                <w:highlight w:val="none"/>
                <w:vertAlign w:val="subscript"/>
                <w:lang w:val="en-US" w:eastAsia="zh-CN"/>
              </w:rPr>
              <w:t>X</w:t>
            </w:r>
            <w:r>
              <w:rPr>
                <w:rFonts w:hint="default" w:ascii="Times New Roman" w:hAnsi="Times New Roman" w:cs="Times New Roman" w:eastAsiaTheme="minorEastAsia"/>
                <w:color w:val="0000FF"/>
                <w:sz w:val="21"/>
                <w:szCs w:val="21"/>
                <w:highlight w:val="none"/>
              </w:rPr>
              <w:t>、</w:t>
            </w:r>
            <w:r>
              <w:rPr>
                <w:rFonts w:hint="default" w:ascii="Times New Roman" w:hAnsi="Times New Roman" w:cs="Times New Roman" w:eastAsiaTheme="minorEastAsia"/>
                <w:color w:val="0000FF"/>
                <w:sz w:val="21"/>
                <w:szCs w:val="21"/>
                <w:highlight w:val="none"/>
                <w:lang w:eastAsia="zh-CN"/>
              </w:rPr>
              <w:t>颗粒物</w:t>
            </w:r>
            <w:r>
              <w:rPr>
                <w:rFonts w:hint="default" w:ascii="Times New Roman" w:hAnsi="Times New Roman" w:cs="Times New Roman" w:eastAsiaTheme="minorEastAsia"/>
                <w:color w:val="0000FF"/>
                <w:sz w:val="21"/>
                <w:szCs w:val="21"/>
                <w:highlight w:val="none"/>
              </w:rPr>
              <w:t>等污染物浓度</w:t>
            </w:r>
            <w:r>
              <w:rPr>
                <w:rFonts w:hint="default" w:ascii="Times New Roman" w:hAnsi="Times New Roman" w:cs="Times New Roman" w:eastAsiaTheme="minorEastAsia"/>
                <w:color w:val="0000FF"/>
                <w:sz w:val="21"/>
                <w:szCs w:val="21"/>
                <w:highlight w:val="none"/>
                <w:lang w:eastAsia="zh-CN"/>
              </w:rPr>
              <w:t>。</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烟道上新建烟气在线监测系统（CEMS），监测SO</w:t>
            </w:r>
            <w:r>
              <w:rPr>
                <w:rFonts w:hint="default" w:ascii="Times New Roman" w:hAnsi="Times New Roman" w:cs="Times New Roman" w:eastAsiaTheme="minorEastAsia"/>
                <w:color w:val="0000FF"/>
                <w:sz w:val="21"/>
                <w:szCs w:val="21"/>
                <w:highlight w:val="none"/>
                <w:vertAlign w:val="subscript"/>
              </w:rPr>
              <w:t>2</w:t>
            </w:r>
            <w:r>
              <w:rPr>
                <w:rFonts w:hint="default" w:ascii="Times New Roman" w:hAnsi="Times New Roman" w:cs="Times New Roman" w:eastAsiaTheme="minorEastAsia"/>
                <w:color w:val="0000FF"/>
                <w:sz w:val="21"/>
                <w:szCs w:val="21"/>
                <w:highlight w:val="none"/>
              </w:rPr>
              <w:t>、NO</w:t>
            </w:r>
            <w:r>
              <w:rPr>
                <w:rFonts w:hint="default" w:ascii="Times New Roman" w:hAnsi="Times New Roman" w:cs="Times New Roman" w:eastAsiaTheme="minorEastAsia"/>
                <w:color w:val="0000FF"/>
                <w:sz w:val="21"/>
                <w:szCs w:val="21"/>
                <w:highlight w:val="none"/>
                <w:vertAlign w:val="subscript"/>
                <w:lang w:val="en-US" w:eastAsia="zh-CN"/>
              </w:rPr>
              <w:t>X</w:t>
            </w:r>
            <w:r>
              <w:rPr>
                <w:rFonts w:hint="default" w:ascii="Times New Roman" w:hAnsi="Times New Roman" w:cs="Times New Roman" w:eastAsiaTheme="minorEastAsia"/>
                <w:color w:val="0000FF"/>
                <w:sz w:val="21"/>
                <w:szCs w:val="21"/>
                <w:highlight w:val="none"/>
              </w:rPr>
              <w:t>、</w:t>
            </w:r>
            <w:r>
              <w:rPr>
                <w:rFonts w:hint="default" w:ascii="Times New Roman" w:hAnsi="Times New Roman" w:cs="Times New Roman" w:eastAsiaTheme="minorEastAsia"/>
                <w:color w:val="0000FF"/>
                <w:sz w:val="21"/>
                <w:szCs w:val="21"/>
                <w:highlight w:val="none"/>
                <w:lang w:eastAsia="zh-CN"/>
              </w:rPr>
              <w:t>颗粒物</w:t>
            </w:r>
            <w:r>
              <w:rPr>
                <w:rFonts w:hint="default" w:ascii="Times New Roman" w:hAnsi="Times New Roman" w:cs="Times New Roman" w:eastAsiaTheme="minorEastAsia"/>
                <w:color w:val="0000FF"/>
                <w:sz w:val="21"/>
                <w:szCs w:val="21"/>
                <w:highlight w:val="none"/>
              </w:rPr>
              <w:t>等污染物浓度</w:t>
            </w:r>
            <w:r>
              <w:rPr>
                <w:rFonts w:hint="default" w:ascii="Times New Roman" w:hAnsi="Times New Roman" w:cs="Times New Roman" w:eastAsiaTheme="minorEastAsia"/>
                <w:color w:val="0000FF"/>
                <w:sz w:val="21"/>
                <w:szCs w:val="21"/>
                <w:highlight w:val="none"/>
                <w:lang w:eastAsia="zh-CN"/>
              </w:rPr>
              <w:t>。</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default" w:ascii="Times New Roman" w:hAnsi="Times New Roman" w:cs="Times New Roman" w:eastAsiaTheme="minorEastAsia"/>
                <w:color w:val="0000FF"/>
                <w:kern w:val="2"/>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267" w:type="pct"/>
            <w:vMerge w:val="restar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废水</w:t>
            </w:r>
          </w:p>
        </w:tc>
        <w:tc>
          <w:tcPr>
            <w:tcW w:w="405"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生产废水</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锅炉排</w:t>
            </w:r>
            <w:r>
              <w:rPr>
                <w:rFonts w:hint="default" w:ascii="Times New Roman" w:hAnsi="Times New Roman" w:cs="Times New Roman" w:eastAsiaTheme="minorEastAsia"/>
                <w:color w:val="0000FF"/>
                <w:sz w:val="21"/>
                <w:szCs w:val="21"/>
                <w:highlight w:val="none"/>
                <w:lang w:eastAsia="zh-CN"/>
              </w:rPr>
              <w:t>污</w:t>
            </w:r>
            <w:r>
              <w:rPr>
                <w:rFonts w:hint="default" w:ascii="Times New Roman" w:hAnsi="Times New Roman" w:cs="Times New Roman" w:eastAsiaTheme="minorEastAsia"/>
                <w:color w:val="0000FF"/>
                <w:sz w:val="21"/>
                <w:szCs w:val="21"/>
                <w:highlight w:val="none"/>
              </w:rPr>
              <w:t>水、锅炉软化水经沉淀池处理后全部用于厂区的除渣系统</w:t>
            </w:r>
            <w:r>
              <w:rPr>
                <w:rFonts w:hint="default" w:ascii="Times New Roman" w:hAnsi="Times New Roman" w:cs="Times New Roman" w:eastAsiaTheme="minorEastAsia"/>
                <w:color w:val="0000FF"/>
                <w:sz w:val="21"/>
                <w:szCs w:val="21"/>
                <w:highlight w:val="none"/>
                <w:lang w:eastAsia="zh-CN"/>
              </w:rPr>
              <w:t>；脱硫废水经中和、沉淀池处理后绝大部分循环使用，除损耗外，其余全部直接回用于煤场抑尘，不外排</w:t>
            </w:r>
            <w:r>
              <w:rPr>
                <w:rFonts w:hint="default" w:ascii="Times New Roman" w:hAnsi="Times New Roman" w:cs="Times New Roman" w:eastAsiaTheme="minorEastAsia"/>
                <w:color w:val="0000FF"/>
                <w:sz w:val="21"/>
                <w:szCs w:val="21"/>
                <w:highlight w:val="none"/>
              </w:rPr>
              <w:t>。</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eastAsia" w:ascii="Times New Roman" w:hAnsi="Times New Roman" w:cs="Times New Roman" w:eastAsiaTheme="minorEastAsia"/>
                <w:color w:val="0000FF"/>
                <w:sz w:val="21"/>
                <w:szCs w:val="21"/>
                <w:highlight w:val="none"/>
                <w:lang w:eastAsia="zh-CN"/>
              </w:rPr>
            </w:pPr>
            <w:r>
              <w:rPr>
                <w:rFonts w:hint="eastAsia" w:ascii="Times New Roman" w:hAnsi="Times New Roman" w:cs="Times New Roman" w:eastAsiaTheme="minorEastAsia"/>
                <w:color w:val="0000FF"/>
                <w:sz w:val="21"/>
                <w:szCs w:val="21"/>
                <w:highlight w:val="none"/>
                <w:lang w:eastAsia="zh-CN"/>
              </w:rPr>
              <w:t>锅炉运行过程中排污水、锅炉软化水经沉淀池处理后全部用于厂区的除渣系统；</w:t>
            </w:r>
            <w:r>
              <w:rPr>
                <w:rFonts w:hint="default" w:ascii="Times New Roman" w:hAnsi="Times New Roman" w:cs="Times New Roman" w:eastAsiaTheme="minorEastAsia"/>
                <w:color w:val="0000FF"/>
                <w:sz w:val="21"/>
                <w:szCs w:val="21"/>
                <w:highlight w:val="none"/>
                <w:lang w:eastAsia="zh-CN"/>
              </w:rPr>
              <w:t>脱硫废水经中和、沉淀池处理后绝大部分循环使用，除损耗外，其余全部直接回用于煤场抑尘，</w:t>
            </w:r>
            <w:r>
              <w:rPr>
                <w:rFonts w:hint="eastAsia" w:ascii="Times New Roman" w:hAnsi="Times New Roman" w:cs="Times New Roman" w:eastAsiaTheme="minorEastAsia"/>
                <w:color w:val="0000FF"/>
                <w:sz w:val="21"/>
                <w:szCs w:val="21"/>
                <w:highlight w:val="none"/>
                <w:lang w:eastAsia="zh-CN"/>
              </w:rPr>
              <w:t>无废水排放；</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default" w:ascii="Times New Roman" w:hAnsi="Times New Roman" w:cs="Times New Roman" w:eastAsiaTheme="minorEastAsia"/>
                <w:color w:val="0000FF"/>
                <w:sz w:val="21"/>
                <w:szCs w:val="21"/>
                <w:highlight w:val="none"/>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267"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405"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生活污水</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lang w:eastAsia="zh-CN"/>
              </w:rPr>
              <w:t>本工程无新增生活用水，原有工程生活污水排入市政下水管网</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生活污水排入市政下水管网</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672"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eastAsia="zh-CN"/>
              </w:rPr>
            </w:pPr>
            <w:r>
              <w:rPr>
                <w:rFonts w:hint="default" w:ascii="Times New Roman" w:hAnsi="Times New Roman" w:cs="Times New Roman" w:eastAsiaTheme="minorEastAsia"/>
                <w:color w:val="0000FF"/>
                <w:sz w:val="21"/>
                <w:szCs w:val="21"/>
                <w:highlight w:val="none"/>
                <w:lang w:eastAsia="zh-CN"/>
              </w:rPr>
              <w:t>噪声</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采用基础减振</w:t>
            </w:r>
            <w:r>
              <w:rPr>
                <w:rFonts w:hint="default" w:ascii="Times New Roman" w:hAnsi="Times New Roman" w:cs="Times New Roman" w:eastAsiaTheme="minorEastAsia"/>
                <w:color w:val="0000FF"/>
                <w:sz w:val="21"/>
                <w:szCs w:val="21"/>
                <w:highlight w:val="none"/>
                <w:lang w:eastAsia="zh-CN"/>
              </w:rPr>
              <w:t>、厂房隔声</w:t>
            </w:r>
            <w:r>
              <w:rPr>
                <w:rFonts w:hint="default" w:ascii="Times New Roman" w:hAnsi="Times New Roman" w:cs="Times New Roman" w:eastAsiaTheme="minorEastAsia"/>
                <w:color w:val="0000FF"/>
                <w:sz w:val="21"/>
                <w:szCs w:val="21"/>
                <w:highlight w:val="none"/>
              </w:rPr>
              <w:t>的措施；对于运输车辆采取限制车速。</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采用基础减振</w:t>
            </w:r>
            <w:r>
              <w:rPr>
                <w:rFonts w:hint="default" w:ascii="Times New Roman" w:hAnsi="Times New Roman" w:cs="Times New Roman" w:eastAsiaTheme="minorEastAsia"/>
                <w:color w:val="0000FF"/>
                <w:sz w:val="21"/>
                <w:szCs w:val="21"/>
                <w:highlight w:val="none"/>
                <w:lang w:eastAsia="zh-CN"/>
              </w:rPr>
              <w:t>、厂房隔声</w:t>
            </w:r>
            <w:r>
              <w:rPr>
                <w:rFonts w:hint="default" w:ascii="Times New Roman" w:hAnsi="Times New Roman" w:cs="Times New Roman" w:eastAsiaTheme="minorEastAsia"/>
                <w:color w:val="0000FF"/>
                <w:sz w:val="21"/>
                <w:szCs w:val="21"/>
                <w:highlight w:val="none"/>
              </w:rPr>
              <w:t>的措施；对于运输车辆采取限制车速。</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default" w:ascii="Times New Roman" w:hAnsi="Times New Roman" w:cs="Times New Roman" w:eastAsiaTheme="minorEastAsia"/>
                <w:color w:val="0000FF"/>
                <w:kern w:val="2"/>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371" w:type="pct"/>
            <w:vMerge w:val="continue"/>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p>
        </w:tc>
        <w:tc>
          <w:tcPr>
            <w:tcW w:w="672" w:type="pct"/>
            <w:gridSpan w:val="2"/>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固废</w:t>
            </w:r>
          </w:p>
        </w:tc>
        <w:tc>
          <w:tcPr>
            <w:tcW w:w="1839"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灰渣、</w:t>
            </w:r>
            <w:r>
              <w:rPr>
                <w:rFonts w:hint="default" w:ascii="Times New Roman" w:hAnsi="Times New Roman" w:cs="Times New Roman" w:eastAsiaTheme="minorEastAsia"/>
                <w:color w:val="0000FF"/>
                <w:sz w:val="21"/>
                <w:szCs w:val="21"/>
                <w:highlight w:val="none"/>
                <w:lang w:eastAsia="zh-CN"/>
              </w:rPr>
              <w:t>脱硫渣</w:t>
            </w:r>
            <w:r>
              <w:rPr>
                <w:rFonts w:hint="default" w:ascii="Times New Roman" w:hAnsi="Times New Roman" w:cs="Times New Roman" w:eastAsiaTheme="minorEastAsia"/>
                <w:color w:val="0000FF"/>
                <w:sz w:val="21"/>
                <w:szCs w:val="21"/>
                <w:highlight w:val="none"/>
              </w:rPr>
              <w:t>全部作为建材材料综合利用，废离子交换树脂</w:t>
            </w:r>
            <w:r>
              <w:rPr>
                <w:rFonts w:hint="default" w:ascii="Times New Roman" w:hAnsi="Times New Roman" w:cs="Times New Roman" w:eastAsiaTheme="minorEastAsia"/>
                <w:color w:val="0000FF"/>
                <w:sz w:val="21"/>
                <w:szCs w:val="21"/>
                <w:highlight w:val="none"/>
                <w:lang w:eastAsia="zh-CN"/>
              </w:rPr>
              <w:t>、</w:t>
            </w:r>
            <w:r>
              <w:rPr>
                <w:rFonts w:hint="default" w:ascii="Times New Roman" w:hAnsi="Times New Roman" w:cs="Times New Roman" w:eastAsiaTheme="minorEastAsia"/>
                <w:color w:val="0000FF"/>
                <w:sz w:val="21"/>
                <w:szCs w:val="21"/>
                <w:highlight w:val="none"/>
              </w:rPr>
              <w:t>废弃滤袋由厂家回收处置。</w:t>
            </w:r>
            <w:r>
              <w:rPr>
                <w:rFonts w:hint="default" w:ascii="Times New Roman" w:hAnsi="Times New Roman" w:cs="Times New Roman" w:eastAsiaTheme="minorEastAsia"/>
                <w:color w:val="0000FF"/>
                <w:sz w:val="21"/>
                <w:szCs w:val="21"/>
                <w:highlight w:val="none"/>
                <w:lang w:eastAsia="zh-CN"/>
              </w:rPr>
              <w:t>生活垃圾集中收集后，由环卫部门清运至垃圾填埋场。废润滑油集中收集后暂存于危废间内，定期委托有资质单位处置。</w:t>
            </w:r>
          </w:p>
        </w:tc>
        <w:tc>
          <w:tcPr>
            <w:tcW w:w="165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color w:val="0000FF"/>
                <w:sz w:val="21"/>
                <w:szCs w:val="21"/>
                <w:highlight w:val="none"/>
              </w:rPr>
              <w:t>灰渣、</w:t>
            </w:r>
            <w:r>
              <w:rPr>
                <w:rFonts w:hint="default" w:ascii="Times New Roman" w:hAnsi="Times New Roman" w:cs="Times New Roman" w:eastAsiaTheme="minorEastAsia"/>
                <w:color w:val="0000FF"/>
                <w:sz w:val="21"/>
                <w:szCs w:val="21"/>
                <w:highlight w:val="none"/>
                <w:lang w:eastAsia="zh-CN"/>
              </w:rPr>
              <w:t>脱硫渣</w:t>
            </w:r>
            <w:r>
              <w:rPr>
                <w:rFonts w:hint="default" w:ascii="Times New Roman" w:hAnsi="Times New Roman" w:cs="Times New Roman" w:eastAsiaTheme="minorEastAsia"/>
                <w:color w:val="0000FF"/>
                <w:sz w:val="21"/>
                <w:szCs w:val="21"/>
                <w:highlight w:val="none"/>
              </w:rPr>
              <w:t>全部作为建材材料综合利用，废离子交换树脂</w:t>
            </w:r>
            <w:r>
              <w:rPr>
                <w:rFonts w:hint="default" w:ascii="Times New Roman" w:hAnsi="Times New Roman" w:cs="Times New Roman" w:eastAsiaTheme="minorEastAsia"/>
                <w:color w:val="0000FF"/>
                <w:sz w:val="21"/>
                <w:szCs w:val="21"/>
                <w:highlight w:val="none"/>
                <w:lang w:eastAsia="zh-CN"/>
              </w:rPr>
              <w:t>、</w:t>
            </w:r>
            <w:r>
              <w:rPr>
                <w:rFonts w:hint="default" w:ascii="Times New Roman" w:hAnsi="Times New Roman" w:cs="Times New Roman" w:eastAsiaTheme="minorEastAsia"/>
                <w:color w:val="0000FF"/>
                <w:sz w:val="21"/>
                <w:szCs w:val="21"/>
                <w:highlight w:val="none"/>
              </w:rPr>
              <w:t>废弃滤袋由厂家回收处置。</w:t>
            </w:r>
            <w:r>
              <w:rPr>
                <w:rFonts w:hint="default" w:ascii="Times New Roman" w:hAnsi="Times New Roman" w:cs="Times New Roman" w:eastAsiaTheme="minorEastAsia"/>
                <w:color w:val="0000FF"/>
                <w:sz w:val="21"/>
                <w:szCs w:val="21"/>
                <w:highlight w:val="none"/>
                <w:lang w:eastAsia="zh-CN"/>
              </w:rPr>
              <w:t>生活垃圾集中收集后，由环卫部门清运至垃圾填埋场。废润滑油集中收集后暂存于危废间内，定期委托有资质单位处置。</w:t>
            </w:r>
          </w:p>
        </w:tc>
        <w:tc>
          <w:tcPr>
            <w:tcW w:w="463" w:type="pct"/>
            <w:noWrap w:val="0"/>
            <w:vAlign w:val="center"/>
          </w:tcPr>
          <w:p>
            <w:pPr>
              <w:keepNext w:val="0"/>
              <w:keepLines w:val="0"/>
              <w:pageBreakBefore w:val="0"/>
              <w:widowControl w:val="0"/>
              <w:kinsoku/>
              <w:wordWrap/>
              <w:overflowPunct/>
              <w:topLinePunct w:val="0"/>
              <w:bidi w:val="0"/>
              <w:adjustRightInd w:val="0"/>
              <w:snapToGrid w:val="0"/>
              <w:spacing w:line="320" w:lineRule="exact"/>
              <w:ind w:firstLine="0" w:firstLineChars="0"/>
              <w:jc w:val="center"/>
              <w:textAlignment w:val="auto"/>
              <w:rPr>
                <w:rFonts w:hint="default" w:ascii="Times New Roman" w:hAnsi="Times New Roman" w:cs="Times New Roman" w:eastAsiaTheme="minorEastAsia"/>
                <w:color w:val="0000FF"/>
                <w:kern w:val="2"/>
                <w:sz w:val="21"/>
                <w:szCs w:val="21"/>
                <w:highlight w:val="none"/>
                <w:lang w:val="en-US" w:eastAsia="zh-CN"/>
              </w:rPr>
            </w:pPr>
            <w:r>
              <w:rPr>
                <w:rFonts w:hint="default" w:ascii="Times New Roman" w:hAnsi="Times New Roman" w:cs="Times New Roman" w:eastAsiaTheme="minorEastAsia"/>
                <w:color w:val="0000FF"/>
                <w:kern w:val="2"/>
                <w:sz w:val="21"/>
                <w:szCs w:val="21"/>
                <w:highlight w:val="none"/>
                <w:lang w:val="en-US" w:eastAsia="zh-CN"/>
              </w:rPr>
              <w:t>原有</w:t>
            </w:r>
          </w:p>
        </w:tc>
      </w:tr>
    </w:tbl>
    <w:p>
      <w:pPr>
        <w:pStyle w:val="6"/>
        <w:numPr>
          <w:ilvl w:val="2"/>
          <w:numId w:val="15"/>
        </w:numPr>
        <w:tabs>
          <w:tab w:val="left" w:pos="1241"/>
        </w:tabs>
        <w:spacing w:line="360" w:lineRule="auto"/>
        <w:jc w:val="both"/>
        <w:rPr>
          <w:rFonts w:ascii="宋体" w:hAnsi="宋体" w:eastAsia="宋体" w:cs="宋体"/>
        </w:rPr>
      </w:pPr>
      <w:bookmarkStart w:id="104" w:name="3.1.4_项目组成"/>
      <w:bookmarkEnd w:id="104"/>
      <w:bookmarkStart w:id="105" w:name="_Toc28989"/>
      <w:r>
        <w:rPr>
          <w:rFonts w:hint="eastAsia" w:ascii="宋体" w:hAnsi="宋体" w:eastAsia="宋体" w:cs="宋体"/>
        </w:rPr>
        <w:t>原辅材料消耗及来源</w:t>
      </w:r>
      <w:bookmarkEnd w:id="105"/>
    </w:p>
    <w:p>
      <w:pPr>
        <w:pStyle w:val="62"/>
        <w:rPr>
          <w:rFonts w:ascii="Times New Roman" w:hAnsi="Times New Roman"/>
          <w:color w:val="auto"/>
          <w:kern w:val="2"/>
          <w:highlight w:val="none"/>
        </w:rPr>
      </w:pPr>
      <w:bookmarkStart w:id="106" w:name="3.1.5_公用工程"/>
      <w:bookmarkEnd w:id="106"/>
      <w:r>
        <w:rPr>
          <w:rFonts w:ascii="Times New Roman" w:hAnsi="Times New Roman"/>
          <w:color w:val="auto"/>
          <w:kern w:val="2"/>
          <w:highlight w:val="none"/>
        </w:rPr>
        <w:t>（1）燃煤消耗及供应</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eastAsia"/>
          <w:color w:val="auto"/>
          <w:highlight w:val="none"/>
          <w:lang w:eastAsia="zh-CN"/>
        </w:rPr>
        <w:t>根据设计资料，依据厂区内蒸汽使用需求量以及</w:t>
      </w:r>
      <w:r>
        <w:rPr>
          <w:rFonts w:hint="default" w:ascii="Times New Roman" w:hAnsi="Times New Roman" w:eastAsia="宋体" w:cs="Times New Roman"/>
        </w:rPr>
        <w:t>1×90t/h中温中压循环流化床锅炉</w:t>
      </w:r>
      <w:r>
        <w:rPr>
          <w:rFonts w:hint="eastAsia" w:ascii="Times New Roman" w:hAnsi="Times New Roman" w:eastAsia="宋体" w:cs="Times New Roman"/>
          <w:lang w:eastAsia="zh-CN"/>
        </w:rPr>
        <w:t>的设备系数，根据</w:t>
      </w:r>
      <w:r>
        <w:rPr>
          <w:rFonts w:hint="default" w:ascii="Times New Roman" w:hAnsi="Times New Roman" w:eastAsia="宋体" w:cs="Times New Roman"/>
          <w:kern w:val="0"/>
          <w:szCs w:val="20"/>
        </w:rPr>
        <w:t>《实用锅炉设计手册》（第二版）</w:t>
      </w:r>
      <w:r>
        <w:rPr>
          <w:rFonts w:hint="eastAsia" w:ascii="Times New Roman" w:hAnsi="Times New Roman" w:eastAsia="宋体" w:cs="Times New Roman"/>
          <w:kern w:val="0"/>
          <w:szCs w:val="20"/>
          <w:lang w:eastAsia="zh-CN"/>
        </w:rPr>
        <w:t>中</w:t>
      </w:r>
      <w:r>
        <w:rPr>
          <w:rFonts w:hint="default" w:ascii="Times New Roman" w:hAnsi="Times New Roman" w:eastAsia="宋体" w:cs="Times New Roman"/>
          <w:kern w:val="0"/>
          <w:szCs w:val="20"/>
        </w:rPr>
        <w:t>燃煤锅炉燃煤消耗量公式为：</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B =D（i”-i’）+Dp（ip-i’）/η×Q×η</w:t>
      </w:r>
      <w:r>
        <w:rPr>
          <w:rFonts w:hint="default" w:ascii="Times New Roman" w:hAnsi="Times New Roman" w:eastAsia="宋体" w:cs="Times New Roman"/>
          <w:kern w:val="0"/>
          <w:szCs w:val="20"/>
          <w:vertAlign w:val="subscript"/>
        </w:rPr>
        <w:t>负荷</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式中：B–锅炉每小时耗煤量，kg/h；</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D–蒸汽产量，kg/h；</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i”-蒸汽焓，kJ/kg；</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I’-给水焓，kJ/kg；</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Dp–排污量，kg/h；</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ip -排污水焓，kJ/kg；</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η</w:t>
      </w:r>
      <w:r>
        <w:rPr>
          <w:rFonts w:hint="default" w:ascii="Times New Roman" w:hAnsi="Times New Roman" w:eastAsia="宋体" w:cs="Times New Roman"/>
          <w:kern w:val="0"/>
          <w:szCs w:val="20"/>
          <w:vertAlign w:val="subscript"/>
        </w:rPr>
        <w:t>负荷</w:t>
      </w:r>
      <w:r>
        <w:rPr>
          <w:rFonts w:hint="default" w:ascii="Times New Roman" w:hAnsi="Times New Roman" w:eastAsia="宋体" w:cs="Times New Roman"/>
          <w:kern w:val="0"/>
          <w:szCs w:val="20"/>
        </w:rPr>
        <w:t>-锅炉运行负荷率，本项目取80%；</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B1=[80×（3331.68-435.95）+80×2%×（1073.98-435.95）]/90%/21380×80%</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 xml:space="preserve">=9673.81kg/h </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jc w:val="left"/>
        <w:textAlignment w:val="auto"/>
        <w:rPr>
          <w:rFonts w:hint="eastAsia"/>
          <w:color w:val="auto"/>
          <w:highlight w:val="none"/>
          <w:lang w:eastAsia="zh-CN"/>
        </w:rPr>
      </w:pPr>
      <w:r>
        <w:rPr>
          <w:rFonts w:hint="default" w:ascii="Times New Roman" w:hAnsi="Times New Roman" w:eastAsia="宋体" w:cs="Times New Roman"/>
          <w:kern w:val="0"/>
          <w:szCs w:val="20"/>
        </w:rPr>
        <w:t>全年总耗煤量B1年=B1×4080h =39469.13t/a。</w:t>
      </w:r>
    </w:p>
    <w:p>
      <w:pPr>
        <w:keepNext w:val="0"/>
        <w:keepLines w:val="0"/>
        <w:pageBreakBefore w:val="0"/>
        <w:widowControl w:val="0"/>
        <w:kinsoku/>
        <w:wordWrap/>
        <w:overflowPunct/>
        <w:topLinePunct w:val="0"/>
        <w:autoSpaceDE w:val="0"/>
        <w:autoSpaceDN w:val="0"/>
        <w:bidi w:val="0"/>
        <w:adjustRightInd/>
        <w:snapToGrid/>
        <w:textAlignment w:val="auto"/>
        <w:rPr>
          <w:color w:val="00B050"/>
          <w:highlight w:val="none"/>
        </w:rPr>
      </w:pPr>
      <w:r>
        <w:rPr>
          <w:rFonts w:hint="default" w:ascii="Times New Roman" w:hAnsi="Times New Roman" w:eastAsia="宋体" w:cs="Times New Roman"/>
          <w:color w:val="00B050"/>
          <w:kern w:val="0"/>
          <w:szCs w:val="21"/>
        </w:rPr>
        <w:t>本工程锅炉燃用的原煤来自和布克赛尔蒙古自治县沙吉海煤业有限责任</w:t>
      </w:r>
      <w:r>
        <w:rPr>
          <w:rFonts w:hint="eastAsia" w:cs="Times New Roman"/>
          <w:color w:val="00B050"/>
          <w:kern w:val="0"/>
          <w:szCs w:val="21"/>
          <w:lang w:eastAsia="zh-CN"/>
        </w:rPr>
        <w:t>公司、</w:t>
      </w:r>
      <w:r>
        <w:rPr>
          <w:rFonts w:hint="default" w:ascii="Times New Roman" w:hAnsi="Times New Roman" w:eastAsia="宋体" w:cs="Times New Roman"/>
          <w:color w:val="00B050"/>
          <w:kern w:val="0"/>
          <w:szCs w:val="21"/>
        </w:rPr>
        <w:t>布克赛尔蒙古自治县屯南三分司煤矿，当地煤矿煤炭储量丰富，供应充足</w:t>
      </w:r>
      <w:r>
        <w:rPr>
          <w:rFonts w:hint="eastAsia" w:cs="Times New Roman"/>
          <w:color w:val="00B050"/>
          <w:highlight w:val="none"/>
          <w:lang w:eastAsia="zh-CN"/>
        </w:rPr>
        <w:t>。</w:t>
      </w:r>
      <w:r>
        <w:rPr>
          <w:rFonts w:hint="default" w:ascii="Times New Roman" w:hAnsi="Times New Roman" w:eastAsia="宋体" w:cs="Times New Roman"/>
          <w:color w:val="00B050"/>
          <w:highlight w:val="none"/>
        </w:rPr>
        <w:t>根据建</w:t>
      </w:r>
      <w:r>
        <w:rPr>
          <w:rFonts w:hint="eastAsia"/>
          <w:color w:val="00B050"/>
          <w:highlight w:val="none"/>
        </w:rPr>
        <w:t>设单位提供的煤质检验报告，</w:t>
      </w:r>
      <w:r>
        <w:rPr>
          <w:rFonts w:hint="eastAsia"/>
          <w:color w:val="00B050"/>
          <w:highlight w:val="none"/>
          <w:lang w:eastAsia="zh-CN"/>
        </w:rPr>
        <w:t>不同批次的煤质有一定的差异，本次环评收集了不同时期的煤质分析报告（见附件</w:t>
      </w:r>
      <w:r>
        <w:rPr>
          <w:rFonts w:hint="eastAsia"/>
          <w:color w:val="00B050"/>
          <w:highlight w:val="none"/>
          <w:lang w:val="en-US" w:eastAsia="zh-CN"/>
        </w:rPr>
        <w:t>3</w:t>
      </w:r>
      <w:r>
        <w:rPr>
          <w:rFonts w:hint="eastAsia"/>
          <w:color w:val="00B050"/>
          <w:highlight w:val="none"/>
          <w:lang w:eastAsia="zh-CN"/>
        </w:rPr>
        <w:t>），根据</w:t>
      </w:r>
      <w:r>
        <w:rPr>
          <w:rFonts w:hint="eastAsia"/>
          <w:color w:val="00B050"/>
          <w:highlight w:val="none"/>
        </w:rPr>
        <w:t>煤质分析</w:t>
      </w:r>
      <w:r>
        <w:rPr>
          <w:rFonts w:hint="eastAsia"/>
          <w:color w:val="00B050"/>
          <w:highlight w:val="none"/>
          <w:lang w:eastAsia="zh-CN"/>
        </w:rPr>
        <w:t>报告统计分析，煤质</w:t>
      </w:r>
      <w:r>
        <w:rPr>
          <w:rFonts w:hint="eastAsia"/>
          <w:color w:val="00B050"/>
          <w:highlight w:val="none"/>
        </w:rPr>
        <w:t>情况见表3.</w:t>
      </w:r>
      <w:r>
        <w:rPr>
          <w:rFonts w:hint="eastAsia"/>
          <w:color w:val="00B050"/>
          <w:highlight w:val="none"/>
          <w:lang w:val="en-US" w:eastAsia="zh-CN"/>
        </w:rPr>
        <w:t>2</w:t>
      </w:r>
      <w:r>
        <w:rPr>
          <w:rFonts w:hint="eastAsia"/>
          <w:color w:val="00B050"/>
          <w:highlight w:val="none"/>
        </w:rPr>
        <w:t>-</w:t>
      </w:r>
      <w:r>
        <w:rPr>
          <w:rFonts w:hint="eastAsia"/>
          <w:color w:val="00B050"/>
          <w:highlight w:val="none"/>
          <w:lang w:val="en-US" w:eastAsia="zh-CN"/>
        </w:rPr>
        <w:t>2</w:t>
      </w:r>
      <w:r>
        <w:rPr>
          <w:rFonts w:hint="eastAsia"/>
          <w:color w:val="00B050"/>
          <w:highlight w:val="none"/>
        </w:rPr>
        <w:t>。</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bCs/>
          <w:color w:val="00B050"/>
          <w:sz w:val="21"/>
          <w:szCs w:val="18"/>
          <w:highlight w:val="none"/>
        </w:rPr>
      </w:pPr>
      <w:r>
        <w:rPr>
          <w:b/>
          <w:bCs/>
          <w:color w:val="00B050"/>
          <w:sz w:val="21"/>
          <w:szCs w:val="18"/>
          <w:highlight w:val="none"/>
        </w:rPr>
        <w:t>表3.</w:t>
      </w:r>
      <w:r>
        <w:rPr>
          <w:rFonts w:hint="eastAsia"/>
          <w:b/>
          <w:bCs/>
          <w:color w:val="00B050"/>
          <w:sz w:val="21"/>
          <w:szCs w:val="18"/>
          <w:highlight w:val="none"/>
          <w:lang w:val="en-US" w:eastAsia="zh-CN"/>
        </w:rPr>
        <w:t>2</w:t>
      </w:r>
      <w:r>
        <w:rPr>
          <w:b/>
          <w:bCs/>
          <w:color w:val="00B050"/>
          <w:sz w:val="21"/>
          <w:szCs w:val="18"/>
          <w:highlight w:val="none"/>
        </w:rPr>
        <w:t>-</w:t>
      </w:r>
      <w:r>
        <w:rPr>
          <w:rFonts w:hint="eastAsia"/>
          <w:b/>
          <w:bCs/>
          <w:color w:val="00B050"/>
          <w:sz w:val="21"/>
          <w:szCs w:val="18"/>
          <w:highlight w:val="none"/>
          <w:lang w:val="en-US" w:eastAsia="zh-CN"/>
        </w:rPr>
        <w:t>2</w:t>
      </w:r>
      <w:r>
        <w:rPr>
          <w:b/>
          <w:bCs/>
          <w:color w:val="00B050"/>
          <w:sz w:val="21"/>
          <w:szCs w:val="18"/>
          <w:highlight w:val="none"/>
        </w:rPr>
        <w:t xml:space="preserve">    煤质分析情况一览表</w:t>
      </w:r>
    </w:p>
    <w:tbl>
      <w:tblPr>
        <w:tblStyle w:val="31"/>
        <w:tblW w:w="4998" w:type="pct"/>
        <w:jc w:val="center"/>
        <w:tblLayout w:type="autofit"/>
        <w:tblCellMar>
          <w:top w:w="0" w:type="dxa"/>
          <w:left w:w="108" w:type="dxa"/>
          <w:bottom w:w="0" w:type="dxa"/>
          <w:right w:w="108" w:type="dxa"/>
        </w:tblCellMar>
      </w:tblPr>
      <w:tblGrid>
        <w:gridCol w:w="2328"/>
        <w:gridCol w:w="1138"/>
        <w:gridCol w:w="1304"/>
        <w:gridCol w:w="2159"/>
        <w:gridCol w:w="1588"/>
      </w:tblGrid>
      <w:tr>
        <w:tblPrEx>
          <w:tblCellMar>
            <w:top w:w="0" w:type="dxa"/>
            <w:left w:w="108" w:type="dxa"/>
            <w:bottom w:w="0" w:type="dxa"/>
            <w:right w:w="108" w:type="dxa"/>
          </w:tblCellMar>
        </w:tblPrEx>
        <w:trPr>
          <w:trHeight w:val="284" w:hRule="atLeast"/>
          <w:tblHeader/>
          <w:jc w:val="center"/>
        </w:trPr>
        <w:tc>
          <w:tcPr>
            <w:tcW w:w="1366" w:type="pct"/>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B050"/>
                <w:kern w:val="0"/>
                <w:sz w:val="21"/>
                <w:szCs w:val="21"/>
              </w:rPr>
            </w:pPr>
            <w:r>
              <w:rPr>
                <w:rFonts w:hint="default" w:ascii="Times New Roman" w:hAnsi="Times New Roman" w:eastAsia="宋体" w:cs="Times New Roman"/>
                <w:b/>
                <w:bCs/>
                <w:color w:val="00B050"/>
                <w:kern w:val="0"/>
                <w:sz w:val="21"/>
                <w:szCs w:val="21"/>
              </w:rPr>
              <w:t>名    称</w:t>
            </w:r>
          </w:p>
        </w:tc>
        <w:tc>
          <w:tcPr>
            <w:tcW w:w="668"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B050"/>
                <w:kern w:val="0"/>
                <w:sz w:val="21"/>
                <w:szCs w:val="21"/>
              </w:rPr>
            </w:pPr>
            <w:r>
              <w:rPr>
                <w:rFonts w:hint="default" w:ascii="Times New Roman" w:hAnsi="Times New Roman" w:eastAsia="宋体" w:cs="Times New Roman"/>
                <w:b/>
                <w:bCs/>
                <w:color w:val="00B050"/>
                <w:kern w:val="0"/>
                <w:sz w:val="21"/>
                <w:szCs w:val="21"/>
              </w:rPr>
              <w:t>符   号</w:t>
            </w:r>
          </w:p>
        </w:tc>
        <w:tc>
          <w:tcPr>
            <w:tcW w:w="765"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B050"/>
                <w:kern w:val="0"/>
                <w:sz w:val="21"/>
                <w:szCs w:val="21"/>
              </w:rPr>
            </w:pPr>
            <w:r>
              <w:rPr>
                <w:rFonts w:hint="default" w:ascii="Times New Roman" w:hAnsi="Times New Roman" w:eastAsia="宋体" w:cs="Times New Roman"/>
                <w:b/>
                <w:bCs/>
                <w:color w:val="00B050"/>
                <w:kern w:val="0"/>
                <w:sz w:val="21"/>
                <w:szCs w:val="21"/>
              </w:rPr>
              <w:t>单 位</w:t>
            </w:r>
          </w:p>
        </w:tc>
        <w:tc>
          <w:tcPr>
            <w:tcW w:w="1267"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B050"/>
                <w:kern w:val="0"/>
                <w:sz w:val="21"/>
                <w:szCs w:val="21"/>
                <w:lang w:eastAsia="zh-CN"/>
              </w:rPr>
            </w:pPr>
            <w:r>
              <w:rPr>
                <w:rFonts w:hint="eastAsia" w:cs="Times New Roman"/>
                <w:b/>
                <w:bCs/>
                <w:color w:val="00B050"/>
                <w:kern w:val="0"/>
                <w:sz w:val="21"/>
                <w:szCs w:val="21"/>
                <w:lang w:eastAsia="zh-CN"/>
              </w:rPr>
              <w:t>检测值范围</w:t>
            </w:r>
          </w:p>
        </w:tc>
        <w:tc>
          <w:tcPr>
            <w:tcW w:w="932"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B050"/>
                <w:kern w:val="0"/>
                <w:sz w:val="21"/>
                <w:szCs w:val="21"/>
              </w:rPr>
            </w:pPr>
            <w:r>
              <w:rPr>
                <w:rFonts w:hint="default" w:ascii="Times New Roman" w:hAnsi="Times New Roman" w:eastAsia="宋体" w:cs="Times New Roman"/>
                <w:b/>
                <w:bCs/>
                <w:color w:val="00B050"/>
                <w:kern w:val="0"/>
                <w:sz w:val="21"/>
                <w:szCs w:val="21"/>
              </w:rPr>
              <w:t>设计煤种</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收到基固定碳</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Fcar</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39.51-50.3</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42.39</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收到基全硫</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S</w:t>
            </w:r>
            <w:r>
              <w:rPr>
                <w:rFonts w:hint="default" w:ascii="Times New Roman" w:hAnsi="Times New Roman" w:eastAsia="宋体" w:cs="Times New Roman"/>
                <w:color w:val="00B050"/>
                <w:kern w:val="0"/>
                <w:sz w:val="21"/>
                <w:szCs w:val="21"/>
                <w:vertAlign w:val="subscript"/>
              </w:rPr>
              <w:t>t.ar</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0.06-0.11</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0.09</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收到基灰分</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A</w:t>
            </w:r>
            <w:r>
              <w:rPr>
                <w:rFonts w:hint="default" w:ascii="Times New Roman" w:hAnsi="Times New Roman" w:eastAsia="宋体" w:cs="Times New Roman"/>
                <w:color w:val="00B050"/>
                <w:kern w:val="0"/>
                <w:sz w:val="21"/>
                <w:szCs w:val="21"/>
                <w:vertAlign w:val="subscript"/>
              </w:rPr>
              <w:t>ar</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5.22-16.8</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12.2</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空气干燥</w:t>
            </w:r>
            <w:r>
              <w:rPr>
                <w:rFonts w:hint="eastAsia" w:cs="Times New Roman"/>
                <w:color w:val="00B050"/>
                <w:kern w:val="0"/>
                <w:sz w:val="21"/>
                <w:szCs w:val="21"/>
                <w:lang w:eastAsia="zh-CN"/>
              </w:rPr>
              <w:t>基</w:t>
            </w:r>
            <w:r>
              <w:rPr>
                <w:rFonts w:hint="default" w:ascii="Times New Roman" w:hAnsi="Times New Roman" w:eastAsia="宋体" w:cs="Times New Roman"/>
                <w:color w:val="00B050"/>
                <w:kern w:val="0"/>
                <w:sz w:val="21"/>
                <w:szCs w:val="21"/>
              </w:rPr>
              <w:t>水分</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M</w:t>
            </w:r>
            <w:r>
              <w:rPr>
                <w:rFonts w:hint="default" w:ascii="Times New Roman" w:hAnsi="Times New Roman" w:eastAsia="宋体" w:cs="Times New Roman"/>
                <w:color w:val="00B050"/>
                <w:kern w:val="0"/>
                <w:sz w:val="21"/>
                <w:szCs w:val="21"/>
                <w:vertAlign w:val="subscript"/>
              </w:rPr>
              <w:t>ad</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4.68-13.96</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9.08</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全水分</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M</w:t>
            </w:r>
            <w:r>
              <w:rPr>
                <w:rFonts w:hint="default" w:ascii="Times New Roman" w:hAnsi="Times New Roman" w:eastAsia="宋体" w:cs="Times New Roman"/>
                <w:color w:val="00B050"/>
                <w:kern w:val="0"/>
                <w:sz w:val="21"/>
                <w:szCs w:val="21"/>
                <w:vertAlign w:val="subscript"/>
              </w:rPr>
              <w:t>t</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18.7-20.5</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19.9</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干燥无灰基挥发分</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V</w:t>
            </w:r>
            <w:r>
              <w:rPr>
                <w:rFonts w:hint="default" w:ascii="Times New Roman" w:hAnsi="Times New Roman" w:eastAsia="宋体" w:cs="Times New Roman"/>
                <w:color w:val="00B050"/>
                <w:kern w:val="0"/>
                <w:sz w:val="21"/>
                <w:szCs w:val="21"/>
                <w:vertAlign w:val="subscript"/>
              </w:rPr>
              <w:t>daf</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36.69-37.76</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37.57</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焦渣特征（1-8）</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CRC</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2型</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B050"/>
                <w:kern w:val="0"/>
                <w:sz w:val="21"/>
                <w:szCs w:val="21"/>
                <w:lang w:eastAsia="zh-CN"/>
              </w:rPr>
            </w:pPr>
            <w:r>
              <w:rPr>
                <w:rFonts w:hint="default" w:ascii="Times New Roman" w:hAnsi="Times New Roman" w:eastAsia="宋体" w:cs="Times New Roman"/>
                <w:color w:val="00B050"/>
                <w:kern w:val="0"/>
                <w:sz w:val="21"/>
                <w:szCs w:val="21"/>
              </w:rPr>
              <w:t>2</w:t>
            </w:r>
            <w:r>
              <w:rPr>
                <w:rFonts w:hint="eastAsia" w:cs="Times New Roman"/>
                <w:color w:val="00B050"/>
                <w:kern w:val="0"/>
                <w:sz w:val="21"/>
                <w:szCs w:val="21"/>
                <w:lang w:eastAsia="zh-CN"/>
              </w:rPr>
              <w:t>型</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收到基碳</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C</w:t>
            </w:r>
            <w:r>
              <w:rPr>
                <w:rFonts w:hint="default" w:ascii="Times New Roman" w:hAnsi="Times New Roman" w:eastAsia="宋体" w:cs="Times New Roman"/>
                <w:color w:val="00B050"/>
                <w:kern w:val="0"/>
                <w:sz w:val="21"/>
                <w:szCs w:val="21"/>
                <w:vertAlign w:val="subscript"/>
              </w:rPr>
              <w:t>ar</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48.37-</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48.37</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收到基氢</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H</w:t>
            </w:r>
            <w:r>
              <w:rPr>
                <w:rFonts w:hint="default" w:ascii="Times New Roman" w:hAnsi="Times New Roman" w:eastAsia="宋体" w:cs="Times New Roman"/>
                <w:color w:val="00B050"/>
                <w:kern w:val="0"/>
                <w:sz w:val="21"/>
                <w:szCs w:val="21"/>
                <w:vertAlign w:val="subscript"/>
              </w:rPr>
              <w:t>ar</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2.93-3.78</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eastAsia" w:cs="Times New Roman"/>
                <w:color w:val="00B050"/>
                <w:kern w:val="0"/>
                <w:sz w:val="21"/>
                <w:szCs w:val="21"/>
                <w:lang w:val="en-US" w:eastAsia="zh-CN"/>
              </w:rPr>
              <w:t>3</w:t>
            </w:r>
            <w:r>
              <w:rPr>
                <w:rFonts w:hint="default" w:ascii="Times New Roman" w:hAnsi="Times New Roman" w:eastAsia="宋体" w:cs="Times New Roman"/>
                <w:color w:val="00B050"/>
                <w:kern w:val="0"/>
                <w:sz w:val="21"/>
                <w:szCs w:val="21"/>
              </w:rPr>
              <w:t>.59</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收到基高位发热量</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Q</w:t>
            </w:r>
            <w:r>
              <w:rPr>
                <w:rFonts w:hint="default" w:ascii="Times New Roman" w:hAnsi="Times New Roman" w:eastAsia="宋体" w:cs="Times New Roman"/>
                <w:color w:val="00B050"/>
                <w:kern w:val="0"/>
                <w:sz w:val="21"/>
                <w:szCs w:val="21"/>
                <w:vertAlign w:val="subscript"/>
              </w:rPr>
              <w:t>gr.ar</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MJ/kg</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18.44-23.71</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21.08</w:t>
            </w:r>
          </w:p>
        </w:tc>
      </w:tr>
      <w:tr>
        <w:tblPrEx>
          <w:tblCellMar>
            <w:top w:w="0" w:type="dxa"/>
            <w:left w:w="108" w:type="dxa"/>
            <w:bottom w:w="0" w:type="dxa"/>
            <w:right w:w="108" w:type="dxa"/>
          </w:tblCellMar>
        </w:tblPrEx>
        <w:trPr>
          <w:trHeight w:val="284" w:hRule="atLeast"/>
          <w:jc w:val="center"/>
        </w:trPr>
        <w:tc>
          <w:tcPr>
            <w:tcW w:w="1366"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收到基低位发热量</w:t>
            </w:r>
          </w:p>
        </w:tc>
        <w:tc>
          <w:tcPr>
            <w:tcW w:w="66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Q</w:t>
            </w:r>
            <w:r>
              <w:rPr>
                <w:rFonts w:hint="default" w:ascii="Times New Roman" w:hAnsi="Times New Roman" w:eastAsia="宋体" w:cs="Times New Roman"/>
                <w:color w:val="00B050"/>
                <w:kern w:val="0"/>
                <w:sz w:val="21"/>
                <w:szCs w:val="21"/>
                <w:vertAlign w:val="subscript"/>
              </w:rPr>
              <w:t>net.ar</w:t>
            </w:r>
          </w:p>
        </w:tc>
        <w:tc>
          <w:tcPr>
            <w:tcW w:w="76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rPr>
            </w:pPr>
            <w:r>
              <w:rPr>
                <w:rFonts w:hint="default" w:ascii="Times New Roman" w:hAnsi="Times New Roman" w:eastAsia="宋体" w:cs="Times New Roman"/>
                <w:color w:val="00B050"/>
                <w:kern w:val="0"/>
                <w:sz w:val="21"/>
                <w:szCs w:val="21"/>
              </w:rPr>
              <w:t>MJ/kg</w:t>
            </w:r>
          </w:p>
        </w:tc>
        <w:tc>
          <w:tcPr>
            <w:tcW w:w="126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17.36-21.24</w:t>
            </w:r>
          </w:p>
        </w:tc>
        <w:tc>
          <w:tcPr>
            <w:tcW w:w="93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B050"/>
                <w:kern w:val="0"/>
                <w:sz w:val="21"/>
                <w:szCs w:val="21"/>
                <w:lang w:val="en-US" w:eastAsia="zh-CN"/>
              </w:rPr>
            </w:pPr>
            <w:r>
              <w:rPr>
                <w:rFonts w:hint="eastAsia" w:cs="Times New Roman"/>
                <w:color w:val="00B050"/>
                <w:kern w:val="0"/>
                <w:sz w:val="21"/>
                <w:szCs w:val="21"/>
                <w:lang w:val="en-US" w:eastAsia="zh-CN"/>
              </w:rPr>
              <w:t>19.30</w:t>
            </w:r>
          </w:p>
        </w:tc>
      </w:tr>
    </w:tbl>
    <w:p>
      <w:pPr>
        <w:pStyle w:val="62"/>
        <w:keepNext w:val="0"/>
        <w:keepLines w:val="0"/>
        <w:pageBreakBefore w:val="0"/>
        <w:widowControl/>
        <w:numPr>
          <w:ilvl w:val="0"/>
          <w:numId w:val="0"/>
        </w:numPr>
        <w:kinsoku/>
        <w:wordWrap/>
        <w:overflowPunct/>
        <w:topLinePunct w:val="0"/>
        <w:autoSpaceDE/>
        <w:autoSpaceDN/>
        <w:bidi w:val="0"/>
        <w:adjustRightInd w:val="0"/>
        <w:snapToGrid w:val="0"/>
        <w:spacing w:before="157" w:beforeLines="50"/>
        <w:ind w:firstLine="480" w:firstLineChars="200"/>
        <w:jc w:val="both"/>
        <w:textAlignment w:val="auto"/>
        <w:rPr>
          <w:rFonts w:hint="eastAsia" w:ascii="Times New Roman" w:hAnsi="Times New Roman" w:eastAsia="宋体" w:cs="Times New Roman"/>
          <w:color w:val="auto"/>
          <w:kern w:val="2"/>
          <w:highlight w:val="none"/>
          <w:lang w:eastAsia="zh-CN"/>
        </w:rPr>
      </w:pPr>
      <w:r>
        <w:rPr>
          <w:rFonts w:hint="eastAsia" w:ascii="Times New Roman" w:hAnsi="Times New Roman" w:eastAsia="宋体" w:cs="Times New Roman"/>
          <w:color w:val="auto"/>
          <w:kern w:val="2"/>
          <w:highlight w:val="none"/>
          <w:lang w:eastAsia="zh-CN"/>
        </w:rPr>
        <w:t>（</w:t>
      </w:r>
      <w:r>
        <w:rPr>
          <w:rFonts w:hint="eastAsia" w:ascii="Times New Roman" w:hAnsi="Times New Roman" w:eastAsia="宋体" w:cs="Times New Roman"/>
          <w:color w:val="auto"/>
          <w:kern w:val="2"/>
          <w:highlight w:val="none"/>
          <w:lang w:val="en-US" w:eastAsia="zh-CN"/>
        </w:rPr>
        <w:t>2</w:t>
      </w:r>
      <w:r>
        <w:rPr>
          <w:rFonts w:hint="eastAsia" w:ascii="Times New Roman" w:hAnsi="Times New Roman" w:eastAsia="宋体" w:cs="Times New Roman"/>
          <w:color w:val="auto"/>
          <w:kern w:val="2"/>
          <w:highlight w:val="none"/>
          <w:lang w:eastAsia="zh-CN"/>
        </w:rPr>
        <w:t>）能源消耗</w:t>
      </w:r>
    </w:p>
    <w:p>
      <w:pPr>
        <w:keepNext w:val="0"/>
        <w:keepLines w:val="0"/>
        <w:suppressLineNumbers w:val="0"/>
        <w:spacing w:before="0" w:beforeAutospacing="0" w:after="0" w:afterAutospacing="0" w:line="360" w:lineRule="auto"/>
        <w:ind w:left="0" w:right="0" w:firstLine="480" w:firstLineChars="200"/>
        <w:rPr>
          <w:rFonts w:hint="default" w:eastAsia="宋体"/>
          <w:snapToGrid w:val="0"/>
          <w:color w:val="auto"/>
          <w:sz w:val="24"/>
          <w:szCs w:val="24"/>
          <w:highlight w:val="none"/>
        </w:rPr>
      </w:pPr>
      <w:r>
        <w:rPr>
          <w:rFonts w:hint="eastAsia" w:eastAsia="宋体"/>
          <w:snapToGrid w:val="0"/>
          <w:color w:val="auto"/>
          <w:sz w:val="24"/>
          <w:szCs w:val="24"/>
          <w:highlight w:val="none"/>
          <w:lang w:val="en-US" w:eastAsia="zh-CN"/>
        </w:rPr>
        <w:t>本项目能源消耗见下表。</w:t>
      </w:r>
    </w:p>
    <w:p>
      <w:pPr>
        <w:autoSpaceDE w:val="0"/>
        <w:autoSpaceDN w:val="0"/>
        <w:adjustRightInd w:val="0"/>
        <w:spacing w:line="440" w:lineRule="exact"/>
        <w:jc w:val="center"/>
        <w:rPr>
          <w:rFonts w:hint="default" w:ascii="Times New Roman" w:hAnsi="Times New Roman" w:eastAsia="宋体" w:cs="Times New Roman"/>
          <w:b/>
          <w:bCs/>
          <w:color w:val="auto"/>
          <w:sz w:val="21"/>
          <w:szCs w:val="18"/>
          <w:highlight w:val="none"/>
        </w:rPr>
      </w:pPr>
      <w:r>
        <w:rPr>
          <w:rFonts w:hint="eastAsia" w:ascii="Times New Roman" w:hAnsi="Times New Roman" w:eastAsia="宋体" w:cs="Times New Roman"/>
          <w:b/>
          <w:bCs/>
          <w:color w:val="auto"/>
          <w:sz w:val="21"/>
          <w:szCs w:val="18"/>
          <w:highlight w:val="none"/>
          <w:lang w:val="en-US" w:eastAsia="zh-CN"/>
        </w:rPr>
        <w:t>表3.</w:t>
      </w:r>
      <w:r>
        <w:rPr>
          <w:rFonts w:hint="eastAsia" w:cs="Times New Roman"/>
          <w:b/>
          <w:bCs/>
          <w:color w:val="auto"/>
          <w:sz w:val="21"/>
          <w:szCs w:val="18"/>
          <w:highlight w:val="none"/>
          <w:lang w:val="en-US" w:eastAsia="zh-CN"/>
        </w:rPr>
        <w:t>2-3</w:t>
      </w:r>
      <w:r>
        <w:rPr>
          <w:rFonts w:hint="eastAsia" w:ascii="Times New Roman" w:hAnsi="Times New Roman" w:eastAsia="宋体" w:cs="Times New Roman"/>
          <w:b/>
          <w:bCs/>
          <w:color w:val="auto"/>
          <w:sz w:val="21"/>
          <w:szCs w:val="18"/>
          <w:highlight w:val="none"/>
          <w:lang w:val="en-US" w:eastAsia="zh-CN"/>
        </w:rPr>
        <w:t xml:space="preserve">    主要原辅材料一览表 </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253"/>
        <w:gridCol w:w="2161"/>
        <w:gridCol w:w="2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序号</w:t>
            </w:r>
          </w:p>
        </w:tc>
        <w:tc>
          <w:tcPr>
            <w:tcW w:w="132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名称</w:t>
            </w:r>
          </w:p>
        </w:tc>
        <w:tc>
          <w:tcPr>
            <w:tcW w:w="12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用量</w:t>
            </w:r>
          </w:p>
        </w:tc>
        <w:tc>
          <w:tcPr>
            <w:tcW w:w="168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w:t>
            </w:r>
          </w:p>
        </w:tc>
        <w:tc>
          <w:tcPr>
            <w:tcW w:w="132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水</w:t>
            </w:r>
          </w:p>
        </w:tc>
        <w:tc>
          <w:tcPr>
            <w:tcW w:w="12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6528</w:t>
            </w:r>
          </w:p>
        </w:tc>
        <w:tc>
          <w:tcPr>
            <w:tcW w:w="168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m</w:t>
            </w:r>
            <w:r>
              <w:rPr>
                <w:rFonts w:hint="eastAsia" w:cs="Times New Roman"/>
                <w:b w:val="0"/>
                <w:bCs w:val="0"/>
                <w:color w:val="auto"/>
                <w:kern w:val="0"/>
                <w:sz w:val="21"/>
                <w:szCs w:val="21"/>
                <w:highlight w:val="none"/>
                <w:vertAlign w:val="superscript"/>
                <w:lang w:val="en-US" w:eastAsia="zh-CN"/>
              </w:rPr>
              <w:t>3</w:t>
            </w:r>
            <w:r>
              <w:rPr>
                <w:rFonts w:hint="eastAsia" w:cs="Times New Roman"/>
                <w:b w:val="0"/>
                <w:bCs w:val="0"/>
                <w:color w:val="auto"/>
                <w:kern w:val="0"/>
                <w:sz w:val="21"/>
                <w:szCs w:val="21"/>
                <w:highlight w:val="none"/>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w:t>
            </w:r>
          </w:p>
        </w:tc>
        <w:tc>
          <w:tcPr>
            <w:tcW w:w="132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电</w:t>
            </w:r>
          </w:p>
        </w:tc>
        <w:tc>
          <w:tcPr>
            <w:tcW w:w="12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4460</w:t>
            </w:r>
          </w:p>
        </w:tc>
        <w:tc>
          <w:tcPr>
            <w:tcW w:w="168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rPr>
              <w:t>Kw·h</w:t>
            </w:r>
            <w:r>
              <w:rPr>
                <w:rFonts w:hint="eastAsia" w:cs="Times New Roman"/>
                <w:b w:val="0"/>
                <w:bCs w:val="0"/>
                <w:color w:val="auto"/>
                <w:kern w:val="0"/>
                <w:sz w:val="21"/>
                <w:szCs w:val="21"/>
                <w:highlight w:val="none"/>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w:t>
            </w:r>
          </w:p>
        </w:tc>
        <w:tc>
          <w:tcPr>
            <w:tcW w:w="132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蒸汽</w:t>
            </w:r>
          </w:p>
        </w:tc>
        <w:tc>
          <w:tcPr>
            <w:tcW w:w="126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324600</w:t>
            </w:r>
          </w:p>
        </w:tc>
        <w:tc>
          <w:tcPr>
            <w:tcW w:w="168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t/a</w:t>
            </w:r>
          </w:p>
        </w:tc>
      </w:tr>
    </w:tbl>
    <w:p>
      <w:pPr>
        <w:pStyle w:val="62"/>
        <w:keepNext w:val="0"/>
        <w:keepLines w:val="0"/>
        <w:pageBreakBefore w:val="0"/>
        <w:widowControl/>
        <w:kinsoku/>
        <w:wordWrap/>
        <w:overflowPunct/>
        <w:topLinePunct w:val="0"/>
        <w:autoSpaceDE/>
        <w:autoSpaceDN/>
        <w:bidi w:val="0"/>
        <w:adjustRightInd w:val="0"/>
        <w:snapToGrid w:val="0"/>
        <w:spacing w:before="157" w:beforeLines="50"/>
        <w:jc w:val="both"/>
        <w:textAlignment w:val="auto"/>
        <w:rPr>
          <w:rFonts w:ascii="Times New Roman" w:hAnsi="Times New Roman"/>
          <w:color w:val="auto"/>
          <w:kern w:val="2"/>
          <w:highlight w:val="none"/>
        </w:rPr>
      </w:pPr>
      <w:r>
        <w:rPr>
          <w:rFonts w:hint="eastAsia" w:ascii="Times New Roman" w:hAnsi="Times New Roman"/>
          <w:color w:val="auto"/>
          <w:kern w:val="2"/>
          <w:highlight w:val="none"/>
          <w:lang w:eastAsia="zh-CN"/>
        </w:rPr>
        <w:t>（</w:t>
      </w:r>
      <w:r>
        <w:rPr>
          <w:rFonts w:hint="eastAsia" w:ascii="Times New Roman" w:hAnsi="Times New Roman"/>
          <w:color w:val="auto"/>
          <w:kern w:val="2"/>
          <w:highlight w:val="none"/>
          <w:lang w:val="en-US" w:eastAsia="zh-CN"/>
        </w:rPr>
        <w:t>3</w:t>
      </w:r>
      <w:r>
        <w:rPr>
          <w:rFonts w:hint="eastAsia" w:ascii="Times New Roman" w:hAnsi="Times New Roman"/>
          <w:color w:val="auto"/>
          <w:kern w:val="2"/>
          <w:highlight w:val="none"/>
          <w:lang w:eastAsia="zh-CN"/>
        </w:rPr>
        <w:t>）辅料</w:t>
      </w:r>
      <w:r>
        <w:rPr>
          <w:rFonts w:ascii="Times New Roman" w:hAnsi="Times New Roman"/>
          <w:color w:val="auto"/>
          <w:kern w:val="2"/>
          <w:highlight w:val="none"/>
        </w:rPr>
        <w:t>消耗</w:t>
      </w:r>
    </w:p>
    <w:p>
      <w:pPr>
        <w:bidi w:val="0"/>
        <w:rPr>
          <w:color w:val="auto"/>
          <w:highlight w:val="none"/>
        </w:rPr>
      </w:pPr>
      <w:r>
        <w:rPr>
          <w:rFonts w:hint="eastAsia"/>
          <w:color w:val="auto"/>
          <w:highlight w:val="none"/>
        </w:rPr>
        <w:t>本项目</w:t>
      </w:r>
      <w:r>
        <w:rPr>
          <w:color w:val="auto"/>
          <w:highlight w:val="none"/>
        </w:rPr>
        <w:t>锅炉采用煤为燃料，脱硫采用</w:t>
      </w:r>
      <w:r>
        <w:rPr>
          <w:rFonts w:hint="eastAsia"/>
          <w:color w:val="00B050"/>
          <w:highlight w:val="none"/>
          <w:lang w:eastAsia="zh-CN"/>
        </w:rPr>
        <w:t>石灰</w:t>
      </w:r>
      <w:r>
        <w:rPr>
          <w:color w:val="auto"/>
          <w:highlight w:val="none"/>
        </w:rPr>
        <w:t>为脱硫剂，脱硝采用尿素为还原剂，均由市场采购。</w:t>
      </w:r>
      <w:r>
        <w:rPr>
          <w:rFonts w:hint="eastAsia"/>
          <w:color w:val="auto"/>
          <w:highlight w:val="none"/>
          <w:lang w:eastAsia="zh-CN"/>
        </w:rPr>
        <w:t>本项目设计锅炉</w:t>
      </w:r>
      <w:r>
        <w:rPr>
          <w:color w:val="auto"/>
          <w:highlight w:val="none"/>
        </w:rPr>
        <w:t>年用煤量为</w:t>
      </w:r>
      <w:r>
        <w:rPr>
          <w:rFonts w:hint="eastAsia"/>
          <w:color w:val="auto"/>
          <w:highlight w:val="none"/>
          <w:lang w:val="en-US" w:eastAsia="zh-CN"/>
        </w:rPr>
        <w:t>39469.13</w:t>
      </w:r>
      <w:r>
        <w:rPr>
          <w:color w:val="auto"/>
          <w:highlight w:val="none"/>
        </w:rPr>
        <w:t>t，脱硫剂年用量为</w:t>
      </w:r>
      <w:r>
        <w:rPr>
          <w:rFonts w:hint="eastAsia"/>
          <w:color w:val="auto"/>
          <w:highlight w:val="none"/>
          <w:lang w:val="en-US" w:eastAsia="zh-CN"/>
        </w:rPr>
        <w:t>877.2</w:t>
      </w:r>
      <w:r>
        <w:rPr>
          <w:color w:val="auto"/>
          <w:highlight w:val="none"/>
        </w:rPr>
        <w:t>t</w:t>
      </w:r>
      <w:r>
        <w:rPr>
          <w:rFonts w:hint="eastAsia"/>
          <w:color w:val="auto"/>
          <w:highlight w:val="none"/>
        </w:rPr>
        <w:t>，脱硝剂年用量为</w:t>
      </w:r>
      <w:r>
        <w:rPr>
          <w:rFonts w:hint="eastAsia"/>
          <w:color w:val="auto"/>
          <w:highlight w:val="none"/>
          <w:lang w:val="en-US" w:eastAsia="zh-CN"/>
        </w:rPr>
        <w:t>459</w:t>
      </w:r>
      <w:r>
        <w:rPr>
          <w:rFonts w:hint="eastAsia"/>
          <w:color w:val="auto"/>
          <w:highlight w:val="none"/>
        </w:rPr>
        <w:t>t</w:t>
      </w:r>
      <w:r>
        <w:rPr>
          <w:color w:val="auto"/>
          <w:highlight w:val="none"/>
        </w:rPr>
        <w:t>。</w:t>
      </w:r>
    </w:p>
    <w:p>
      <w:pPr>
        <w:autoSpaceDE w:val="0"/>
        <w:autoSpaceDN w:val="0"/>
        <w:adjustRightInd w:val="0"/>
        <w:spacing w:line="440" w:lineRule="exact"/>
        <w:jc w:val="center"/>
        <w:rPr>
          <w:rFonts w:hint="eastAsia" w:ascii="Times New Roman" w:hAnsi="Times New Roman" w:eastAsia="宋体" w:cs="Times New Roman"/>
          <w:b/>
          <w:bCs/>
          <w:color w:val="auto"/>
          <w:sz w:val="21"/>
          <w:szCs w:val="18"/>
          <w:highlight w:val="none"/>
          <w:lang w:val="en-US" w:eastAsia="zh-CN"/>
        </w:rPr>
      </w:pPr>
      <w:r>
        <w:rPr>
          <w:rFonts w:hint="eastAsia" w:ascii="Times New Roman" w:hAnsi="Times New Roman" w:eastAsia="宋体" w:cs="Times New Roman"/>
          <w:b/>
          <w:bCs/>
          <w:color w:val="auto"/>
          <w:sz w:val="21"/>
          <w:szCs w:val="18"/>
          <w:highlight w:val="none"/>
          <w:lang w:val="en-US" w:eastAsia="zh-CN"/>
        </w:rPr>
        <w:t>表3.2-4    主要原辅材料消耗表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1905"/>
        <w:gridCol w:w="2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1"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kern w:val="0"/>
                <w:sz w:val="21"/>
                <w:szCs w:val="21"/>
                <w:highlight w:val="none"/>
              </w:rPr>
            </w:pPr>
            <w:r>
              <w:rPr>
                <w:b/>
                <w:bCs/>
                <w:color w:val="auto"/>
                <w:kern w:val="0"/>
                <w:sz w:val="21"/>
                <w:szCs w:val="21"/>
                <w:highlight w:val="none"/>
              </w:rPr>
              <w:t>名称</w:t>
            </w:r>
          </w:p>
        </w:tc>
        <w:tc>
          <w:tcPr>
            <w:tcW w:w="1118"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kern w:val="0"/>
                <w:sz w:val="21"/>
                <w:szCs w:val="21"/>
                <w:highlight w:val="none"/>
              </w:rPr>
            </w:pPr>
            <w:r>
              <w:rPr>
                <w:b/>
                <w:bCs/>
                <w:color w:val="auto"/>
                <w:kern w:val="0"/>
                <w:sz w:val="21"/>
                <w:szCs w:val="21"/>
                <w:highlight w:val="none"/>
              </w:rPr>
              <w:t>用量</w:t>
            </w:r>
          </w:p>
        </w:tc>
        <w:tc>
          <w:tcPr>
            <w:tcW w:w="176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b/>
                <w:bCs/>
                <w:color w:val="auto"/>
                <w:kern w:val="0"/>
                <w:sz w:val="21"/>
                <w:szCs w:val="21"/>
                <w:highlight w:val="none"/>
              </w:rPr>
            </w:pPr>
            <w:r>
              <w:rPr>
                <w:b/>
                <w:bCs/>
                <w:color w:val="auto"/>
                <w:kern w:val="0"/>
                <w:sz w:val="21"/>
                <w:szCs w:val="21"/>
                <w:highlight w:val="none"/>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1"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color w:val="00B050"/>
                <w:kern w:val="0"/>
                <w:sz w:val="21"/>
                <w:szCs w:val="21"/>
                <w:highlight w:val="none"/>
              </w:rPr>
            </w:pPr>
            <w:r>
              <w:rPr>
                <w:color w:val="00B050"/>
                <w:kern w:val="0"/>
                <w:sz w:val="21"/>
                <w:szCs w:val="21"/>
                <w:highlight w:val="none"/>
              </w:rPr>
              <w:t>脱硫剂</w:t>
            </w:r>
          </w:p>
        </w:tc>
        <w:tc>
          <w:tcPr>
            <w:tcW w:w="1118"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00B050"/>
                <w:kern w:val="0"/>
                <w:sz w:val="21"/>
                <w:szCs w:val="21"/>
                <w:highlight w:val="none"/>
              </w:rPr>
            </w:pPr>
            <w:r>
              <w:rPr>
                <w:rFonts w:hint="eastAsia"/>
                <w:color w:val="00B050"/>
                <w:kern w:val="0"/>
                <w:sz w:val="21"/>
                <w:szCs w:val="21"/>
                <w:highlight w:val="none"/>
                <w:lang w:val="en-US" w:eastAsia="zh-CN"/>
              </w:rPr>
              <w:t>877.2</w:t>
            </w:r>
            <w:r>
              <w:rPr>
                <w:color w:val="00B050"/>
                <w:kern w:val="0"/>
                <w:sz w:val="21"/>
                <w:szCs w:val="21"/>
                <w:highlight w:val="none"/>
              </w:rPr>
              <w:t>t/a</w:t>
            </w:r>
          </w:p>
        </w:tc>
        <w:tc>
          <w:tcPr>
            <w:tcW w:w="176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B050"/>
                <w:kern w:val="0"/>
                <w:sz w:val="21"/>
                <w:szCs w:val="21"/>
                <w:highlight w:val="none"/>
                <w:lang w:eastAsia="zh-CN"/>
              </w:rPr>
            </w:pPr>
            <w:r>
              <w:rPr>
                <w:color w:val="00B050"/>
                <w:kern w:val="0"/>
                <w:sz w:val="21"/>
                <w:szCs w:val="21"/>
                <w:highlight w:val="none"/>
              </w:rPr>
              <w:t>袋装</w:t>
            </w:r>
            <w:r>
              <w:rPr>
                <w:rFonts w:hint="eastAsia"/>
                <w:color w:val="00B050"/>
                <w:kern w:val="0"/>
                <w:sz w:val="21"/>
                <w:szCs w:val="21"/>
                <w:highlight w:val="none"/>
                <w:lang w:eastAsia="zh-CN"/>
              </w:rPr>
              <w:t>，库房存放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1"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kern w:val="0"/>
                <w:sz w:val="21"/>
                <w:szCs w:val="21"/>
                <w:highlight w:val="none"/>
                <w:lang w:eastAsia="zh-CN"/>
              </w:rPr>
            </w:pPr>
            <w:r>
              <w:rPr>
                <w:color w:val="auto"/>
                <w:kern w:val="0"/>
                <w:sz w:val="21"/>
                <w:szCs w:val="21"/>
                <w:highlight w:val="none"/>
              </w:rPr>
              <w:t>脱硝剂</w:t>
            </w:r>
          </w:p>
        </w:tc>
        <w:tc>
          <w:tcPr>
            <w:tcW w:w="1118"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kern w:val="0"/>
                <w:sz w:val="21"/>
                <w:szCs w:val="21"/>
                <w:highlight w:val="none"/>
              </w:rPr>
            </w:pPr>
            <w:r>
              <w:rPr>
                <w:rFonts w:hint="eastAsia"/>
                <w:color w:val="auto"/>
                <w:kern w:val="0"/>
                <w:sz w:val="21"/>
                <w:szCs w:val="21"/>
                <w:highlight w:val="none"/>
                <w:lang w:val="en-US" w:eastAsia="zh-CN"/>
              </w:rPr>
              <w:t>459</w:t>
            </w:r>
            <w:r>
              <w:rPr>
                <w:color w:val="auto"/>
                <w:kern w:val="0"/>
                <w:sz w:val="21"/>
                <w:szCs w:val="21"/>
                <w:highlight w:val="none"/>
              </w:rPr>
              <w:t>t/a</w:t>
            </w:r>
          </w:p>
        </w:tc>
        <w:tc>
          <w:tcPr>
            <w:tcW w:w="176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kern w:val="0"/>
                <w:sz w:val="21"/>
                <w:szCs w:val="21"/>
                <w:highlight w:val="none"/>
                <w:lang w:eastAsia="zh-CN"/>
              </w:rPr>
            </w:pPr>
            <w:r>
              <w:rPr>
                <w:color w:val="auto"/>
                <w:kern w:val="0"/>
                <w:sz w:val="21"/>
                <w:szCs w:val="21"/>
                <w:highlight w:val="none"/>
              </w:rPr>
              <w:t>袋装</w:t>
            </w:r>
            <w:r>
              <w:rPr>
                <w:rFonts w:hint="eastAsia"/>
                <w:color w:val="auto"/>
                <w:kern w:val="0"/>
                <w:sz w:val="21"/>
                <w:szCs w:val="21"/>
                <w:highlight w:val="none"/>
                <w:lang w:eastAsia="zh-CN"/>
              </w:rPr>
              <w:t>，库房存放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1"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kern w:val="0"/>
                <w:sz w:val="21"/>
                <w:szCs w:val="21"/>
                <w:highlight w:val="none"/>
              </w:rPr>
            </w:pPr>
            <w:r>
              <w:rPr>
                <w:color w:val="auto"/>
                <w:kern w:val="0"/>
                <w:sz w:val="21"/>
                <w:szCs w:val="21"/>
                <w:highlight w:val="none"/>
              </w:rPr>
              <w:t>煤</w:t>
            </w:r>
          </w:p>
        </w:tc>
        <w:tc>
          <w:tcPr>
            <w:tcW w:w="1118"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kern w:val="0"/>
                <w:sz w:val="21"/>
                <w:szCs w:val="21"/>
                <w:highlight w:val="none"/>
              </w:rPr>
            </w:pPr>
            <w:r>
              <w:rPr>
                <w:rFonts w:hint="eastAsia" w:ascii="Times New Roman" w:hAnsi="Times New Roman"/>
                <w:color w:val="auto"/>
                <w:sz w:val="21"/>
                <w:szCs w:val="21"/>
                <w:highlight w:val="none"/>
                <w:lang w:val="en-US" w:eastAsia="zh-CN"/>
              </w:rPr>
              <w:t>39469.13</w:t>
            </w:r>
            <w:r>
              <w:rPr>
                <w:color w:val="auto"/>
                <w:kern w:val="0"/>
                <w:sz w:val="21"/>
                <w:szCs w:val="21"/>
                <w:highlight w:val="none"/>
              </w:rPr>
              <w:t>t/a</w:t>
            </w:r>
          </w:p>
        </w:tc>
        <w:tc>
          <w:tcPr>
            <w:tcW w:w="176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auto"/>
              <w:rPr>
                <w:color w:val="auto"/>
                <w:kern w:val="0"/>
                <w:sz w:val="21"/>
                <w:szCs w:val="21"/>
                <w:highlight w:val="none"/>
              </w:rPr>
            </w:pPr>
            <w:r>
              <w:rPr>
                <w:color w:val="auto"/>
                <w:sz w:val="21"/>
                <w:szCs w:val="21"/>
                <w:highlight w:val="none"/>
              </w:rPr>
              <w:t>煤</w:t>
            </w:r>
            <w:r>
              <w:rPr>
                <w:color w:val="auto"/>
                <w:kern w:val="0"/>
                <w:sz w:val="21"/>
                <w:szCs w:val="21"/>
                <w:highlight w:val="none"/>
              </w:rPr>
              <w:t>场</w:t>
            </w:r>
          </w:p>
        </w:tc>
      </w:tr>
    </w:tbl>
    <w:p>
      <w:pPr>
        <w:pStyle w:val="6"/>
        <w:numPr>
          <w:ilvl w:val="2"/>
          <w:numId w:val="15"/>
        </w:numPr>
        <w:tabs>
          <w:tab w:val="left" w:pos="1241"/>
        </w:tabs>
        <w:adjustRightInd w:val="0"/>
        <w:snapToGrid w:val="0"/>
        <w:spacing w:line="360" w:lineRule="auto"/>
        <w:ind w:left="0" w:firstLine="562" w:firstLineChars="200"/>
        <w:jc w:val="both"/>
      </w:pPr>
      <w:r>
        <w:rPr>
          <w:rFonts w:hint="eastAsia"/>
          <w:lang w:eastAsia="zh-CN"/>
        </w:rPr>
        <w:t>生产设备</w:t>
      </w:r>
    </w:p>
    <w:p>
      <w:pPr>
        <w:keepNext w:val="0"/>
        <w:keepLines w:val="0"/>
        <w:pageBreakBefore w:val="0"/>
        <w:widowControl w:val="0"/>
        <w:numPr>
          <w:ilvl w:val="0"/>
          <w:numId w:val="0"/>
        </w:numPr>
        <w:tabs>
          <w:tab w:val="left" w:pos="1241"/>
        </w:tabs>
        <w:kinsoku/>
        <w:wordWrap/>
        <w:overflowPunct/>
        <w:topLinePunct w:val="0"/>
        <w:autoSpaceDE w:val="0"/>
        <w:autoSpaceDN w:val="0"/>
        <w:bidi w:val="0"/>
        <w:adjustRightInd w:val="0"/>
        <w:snapToGrid w:val="0"/>
        <w:spacing w:line="360" w:lineRule="auto"/>
        <w:ind w:leftChars="200"/>
        <w:jc w:val="both"/>
        <w:textAlignment w:val="auto"/>
        <w:outlineLvl w:val="9"/>
        <w:rPr>
          <w:rFonts w:hint="eastAsia"/>
          <w:lang w:val="en-US" w:eastAsia="zh-CN"/>
        </w:rPr>
      </w:pPr>
      <w:r>
        <w:rPr>
          <w:rFonts w:hint="eastAsia"/>
          <w:lang w:eastAsia="zh-CN"/>
        </w:rPr>
        <w:t>本项目技改设备见表</w:t>
      </w:r>
      <w:r>
        <w:rPr>
          <w:rFonts w:hint="eastAsia"/>
          <w:lang w:val="en-US" w:eastAsia="zh-CN"/>
        </w:rPr>
        <w:t>3.2-5</w:t>
      </w:r>
      <w:r>
        <w:rPr>
          <w:rFonts w:hint="eastAsia" w:ascii="仿宋_GB2312" w:hAnsi="仿宋_GB2312" w:eastAsia="仿宋_GB2312" w:cs="仿宋_GB2312"/>
          <w:lang w:val="en-US" w:eastAsia="zh-CN"/>
        </w:rPr>
        <w:t>～</w:t>
      </w:r>
      <w:r>
        <w:rPr>
          <w:rFonts w:hint="eastAsia"/>
          <w:lang w:val="en-US" w:eastAsia="zh-CN"/>
        </w:rPr>
        <w:t>表3.2-12。</w:t>
      </w:r>
    </w:p>
    <w:p>
      <w:pPr>
        <w:spacing w:line="288"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表</w:t>
      </w:r>
      <w:r>
        <w:rPr>
          <w:rFonts w:hint="default" w:ascii="Times New Roman" w:hAnsi="Times New Roman" w:eastAsia="宋体" w:cs="Times New Roman"/>
          <w:b/>
          <w:sz w:val="21"/>
          <w:szCs w:val="21"/>
          <w:lang w:val="en-US" w:eastAsia="zh-CN"/>
        </w:rPr>
        <w:t>3.</w:t>
      </w:r>
      <w:r>
        <w:rPr>
          <w:rFonts w:hint="eastAsia" w:cs="Times New Roman"/>
          <w:b/>
          <w:sz w:val="21"/>
          <w:szCs w:val="21"/>
          <w:lang w:val="en-US" w:eastAsia="zh-CN"/>
        </w:rPr>
        <w:t>2-5</w:t>
      </w:r>
      <w:r>
        <w:rPr>
          <w:rFonts w:hint="default"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rPr>
        <w:t>技改后新增锅炉设备一览表</w:t>
      </w:r>
    </w:p>
    <w:tbl>
      <w:tblPr>
        <w:tblStyle w:val="31"/>
        <w:tblW w:w="5000" w:type="pct"/>
        <w:jc w:val="center"/>
        <w:tblLayout w:type="autofit"/>
        <w:tblCellMar>
          <w:top w:w="0" w:type="dxa"/>
          <w:left w:w="108" w:type="dxa"/>
          <w:bottom w:w="0" w:type="dxa"/>
          <w:right w:w="108" w:type="dxa"/>
        </w:tblCellMar>
      </w:tblPr>
      <w:tblGrid>
        <w:gridCol w:w="613"/>
        <w:gridCol w:w="2106"/>
        <w:gridCol w:w="2588"/>
        <w:gridCol w:w="427"/>
        <w:gridCol w:w="427"/>
        <w:gridCol w:w="965"/>
        <w:gridCol w:w="966"/>
        <w:gridCol w:w="428"/>
      </w:tblGrid>
      <w:tr>
        <w:tblPrEx>
          <w:tblCellMar>
            <w:top w:w="0" w:type="dxa"/>
            <w:left w:w="108" w:type="dxa"/>
            <w:bottom w:w="0" w:type="dxa"/>
            <w:right w:w="108" w:type="dxa"/>
          </w:tblCellMar>
        </w:tblPrEx>
        <w:trPr>
          <w:trHeight w:val="630" w:hRule="atLeast"/>
          <w:tblHeader/>
          <w:jc w:val="center"/>
        </w:trPr>
        <w:tc>
          <w:tcPr>
            <w:tcW w:w="360" w:type="pct"/>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235"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518"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型号规格</w:t>
            </w:r>
          </w:p>
        </w:tc>
        <w:tc>
          <w:tcPr>
            <w:tcW w:w="250"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250"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56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单机功率（kW）</w:t>
            </w:r>
          </w:p>
        </w:tc>
        <w:tc>
          <w:tcPr>
            <w:tcW w:w="56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总功率（kW）</w:t>
            </w:r>
          </w:p>
        </w:tc>
        <w:tc>
          <w:tcPr>
            <w:tcW w:w="251"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403" w:hRule="atLeast"/>
          <w:jc w:val="center"/>
        </w:trPr>
        <w:tc>
          <w:tcPr>
            <w:tcW w:w="360" w:type="pct"/>
            <w:tcBorders>
              <w:top w:val="nil"/>
              <w:left w:val="single" w:color="auto" w:sz="8" w:space="0"/>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35" w:type="pct"/>
            <w:tcBorders>
              <w:top w:val="nil"/>
              <w:left w:val="nil"/>
              <w:bottom w:val="single" w:color="auto" w:sz="8" w:space="0"/>
              <w:right w:val="single" w:color="auto" w:sz="8" w:space="0"/>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循环流化床蒸汽锅炉</w:t>
            </w:r>
          </w:p>
        </w:tc>
        <w:tc>
          <w:tcPr>
            <w:tcW w:w="1518" w:type="pct"/>
            <w:tcBorders>
              <w:top w:val="nil"/>
              <w:left w:val="nil"/>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Q=90t/h  P=3.82MPa  t=450°C</w:t>
            </w:r>
          </w:p>
        </w:tc>
        <w:tc>
          <w:tcPr>
            <w:tcW w:w="250" w:type="pct"/>
            <w:tcBorders>
              <w:top w:val="nil"/>
              <w:left w:val="nil"/>
              <w:bottom w:val="single" w:color="auto" w:sz="8" w:space="0"/>
              <w:right w:val="single" w:color="auto" w:sz="8" w:space="0"/>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50" w:type="pct"/>
            <w:tcBorders>
              <w:top w:val="nil"/>
              <w:left w:val="nil"/>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66" w:type="pct"/>
            <w:tcBorders>
              <w:top w:val="nil"/>
              <w:left w:val="nil"/>
              <w:bottom w:val="single" w:color="auto" w:sz="8" w:space="0"/>
              <w:right w:val="single" w:color="auto" w:sz="8"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2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3" w:hRule="atLeast"/>
          <w:jc w:val="center"/>
        </w:trPr>
        <w:tc>
          <w:tcPr>
            <w:tcW w:w="360" w:type="pct"/>
            <w:tcBorders>
              <w:top w:val="nil"/>
              <w:left w:val="single" w:color="auto" w:sz="8" w:space="0"/>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235" w:type="pct"/>
            <w:tcBorders>
              <w:top w:val="nil"/>
              <w:left w:val="nil"/>
              <w:bottom w:val="single" w:color="auto" w:sz="8" w:space="0"/>
              <w:right w:val="single" w:color="auto" w:sz="8" w:space="0"/>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称重式给煤机</w:t>
            </w:r>
          </w:p>
        </w:tc>
        <w:tc>
          <w:tcPr>
            <w:tcW w:w="1518" w:type="pct"/>
            <w:tcBorders>
              <w:top w:val="nil"/>
              <w:left w:val="nil"/>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额定给料量:0.94-9.4t/h</w:t>
            </w:r>
          </w:p>
        </w:tc>
        <w:tc>
          <w:tcPr>
            <w:tcW w:w="250" w:type="pct"/>
            <w:tcBorders>
              <w:top w:val="nil"/>
              <w:left w:val="nil"/>
              <w:bottom w:val="single" w:color="auto" w:sz="8" w:space="0"/>
              <w:right w:val="single" w:color="auto" w:sz="8" w:space="0"/>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250" w:type="pct"/>
            <w:tcBorders>
              <w:top w:val="nil"/>
              <w:left w:val="nil"/>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66" w:type="pct"/>
            <w:tcBorders>
              <w:top w:val="nil"/>
              <w:left w:val="nil"/>
              <w:bottom w:val="single" w:color="auto" w:sz="8" w:space="0"/>
              <w:right w:val="single" w:color="auto" w:sz="8"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22.5</w:t>
            </w:r>
          </w:p>
        </w:tc>
        <w:tc>
          <w:tcPr>
            <w:tcW w:w="2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3" w:hRule="atLeast"/>
          <w:jc w:val="center"/>
        </w:trPr>
        <w:tc>
          <w:tcPr>
            <w:tcW w:w="360" w:type="pct"/>
            <w:tcBorders>
              <w:top w:val="nil"/>
              <w:left w:val="single" w:color="auto" w:sz="8" w:space="0"/>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3</w:t>
            </w:r>
          </w:p>
        </w:tc>
        <w:tc>
          <w:tcPr>
            <w:tcW w:w="1235"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一次风机</w:t>
            </w:r>
          </w:p>
        </w:tc>
        <w:tc>
          <w:tcPr>
            <w:tcW w:w="1518"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Q=117637 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P=19550Pa</w:t>
            </w:r>
          </w:p>
        </w:tc>
        <w:tc>
          <w:tcPr>
            <w:tcW w:w="250"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1</w:t>
            </w:r>
          </w:p>
        </w:tc>
        <w:tc>
          <w:tcPr>
            <w:tcW w:w="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6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450</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450</w:t>
            </w:r>
          </w:p>
        </w:tc>
        <w:tc>
          <w:tcPr>
            <w:tcW w:w="2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3" w:hRule="atLeast"/>
          <w:jc w:val="center"/>
        </w:trPr>
        <w:tc>
          <w:tcPr>
            <w:tcW w:w="360" w:type="pct"/>
            <w:tcBorders>
              <w:top w:val="nil"/>
              <w:left w:val="single" w:color="auto" w:sz="8" w:space="0"/>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235" w:type="pct"/>
            <w:tcBorders>
              <w:top w:val="nil"/>
              <w:left w:val="nil"/>
              <w:bottom w:val="single" w:color="auto" w:sz="8" w:space="0"/>
              <w:right w:val="single" w:color="auto" w:sz="8" w:space="0"/>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二次风机</w:t>
            </w:r>
          </w:p>
        </w:tc>
        <w:tc>
          <w:tcPr>
            <w:tcW w:w="1518" w:type="pct"/>
            <w:tcBorders>
              <w:top w:val="nil"/>
              <w:left w:val="nil"/>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Q=78527 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 xml:space="preserve"> /h    P=8390Pa</w:t>
            </w:r>
          </w:p>
        </w:tc>
        <w:tc>
          <w:tcPr>
            <w:tcW w:w="250" w:type="pct"/>
            <w:tcBorders>
              <w:top w:val="nil"/>
              <w:left w:val="nil"/>
              <w:bottom w:val="single" w:color="auto" w:sz="8" w:space="0"/>
              <w:right w:val="single" w:color="auto" w:sz="8" w:space="0"/>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50" w:type="pct"/>
            <w:tcBorders>
              <w:top w:val="nil"/>
              <w:left w:val="nil"/>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66" w:type="pct"/>
            <w:tcBorders>
              <w:top w:val="nil"/>
              <w:left w:val="nil"/>
              <w:bottom w:val="single" w:color="auto" w:sz="8" w:space="0"/>
              <w:right w:val="single" w:color="auto" w:sz="8"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355</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355</w:t>
            </w:r>
          </w:p>
        </w:tc>
        <w:tc>
          <w:tcPr>
            <w:tcW w:w="2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3" w:hRule="atLeast"/>
          <w:jc w:val="center"/>
        </w:trPr>
        <w:tc>
          <w:tcPr>
            <w:tcW w:w="360" w:type="pct"/>
            <w:tcBorders>
              <w:top w:val="nil"/>
              <w:left w:val="single" w:color="auto" w:sz="8" w:space="0"/>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235" w:type="pct"/>
            <w:tcBorders>
              <w:top w:val="nil"/>
              <w:left w:val="nil"/>
              <w:bottom w:val="single" w:color="auto" w:sz="8" w:space="0"/>
              <w:right w:val="single" w:color="auto" w:sz="8" w:space="0"/>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罗茨风机</w:t>
            </w:r>
          </w:p>
        </w:tc>
        <w:tc>
          <w:tcPr>
            <w:tcW w:w="1518" w:type="pct"/>
            <w:tcBorders>
              <w:top w:val="nil"/>
              <w:left w:val="nil"/>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Q=30 m /min    P=29.4kPa</w:t>
            </w:r>
          </w:p>
        </w:tc>
        <w:tc>
          <w:tcPr>
            <w:tcW w:w="250" w:type="pct"/>
            <w:tcBorders>
              <w:top w:val="nil"/>
              <w:left w:val="nil"/>
              <w:bottom w:val="single" w:color="auto" w:sz="8" w:space="0"/>
              <w:right w:val="single" w:color="auto" w:sz="8" w:space="0"/>
            </w:tcBorders>
            <w:shd w:val="clear" w:color="auto" w:fill="auto"/>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50" w:type="pct"/>
            <w:tcBorders>
              <w:top w:val="nil"/>
              <w:left w:val="nil"/>
              <w:bottom w:val="single" w:color="auto" w:sz="8" w:space="0"/>
              <w:right w:val="single" w:color="auto" w:sz="8" w:space="0"/>
            </w:tcBorders>
            <w:shd w:val="clear" w:color="auto" w:fill="auto"/>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66" w:type="pct"/>
            <w:tcBorders>
              <w:top w:val="nil"/>
              <w:left w:val="nil"/>
              <w:bottom w:val="single" w:color="auto" w:sz="8" w:space="0"/>
              <w:right w:val="single" w:color="auto" w:sz="8" w:space="0"/>
            </w:tcBorders>
            <w:shd w:val="clear" w:color="000000" w:fill="FFFFFF"/>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90</w:t>
            </w:r>
          </w:p>
        </w:tc>
        <w:tc>
          <w:tcPr>
            <w:tcW w:w="2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660" w:hRule="atLeast"/>
          <w:jc w:val="center"/>
        </w:trPr>
        <w:tc>
          <w:tcPr>
            <w:tcW w:w="360"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23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布袋除尘器</w:t>
            </w:r>
          </w:p>
        </w:tc>
        <w:tc>
          <w:tcPr>
            <w:tcW w:w="151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Q=216681-253751m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P=7747-7515Pa</w:t>
            </w:r>
          </w:p>
        </w:tc>
        <w:tc>
          <w:tcPr>
            <w:tcW w:w="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2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3" w:hRule="atLeast"/>
          <w:jc w:val="center"/>
        </w:trPr>
        <w:tc>
          <w:tcPr>
            <w:tcW w:w="360"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123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引风机</w:t>
            </w:r>
          </w:p>
        </w:tc>
        <w:tc>
          <w:tcPr>
            <w:tcW w:w="151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Q=264885 m/h    P=6730Pa</w:t>
            </w:r>
          </w:p>
        </w:tc>
        <w:tc>
          <w:tcPr>
            <w:tcW w:w="250"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710</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710</w:t>
            </w:r>
          </w:p>
        </w:tc>
        <w:tc>
          <w:tcPr>
            <w:tcW w:w="2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3" w:hRule="atLeast"/>
          <w:jc w:val="center"/>
        </w:trPr>
        <w:tc>
          <w:tcPr>
            <w:tcW w:w="360"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23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锅炉电动高压给水泵</w:t>
            </w:r>
          </w:p>
        </w:tc>
        <w:tc>
          <w:tcPr>
            <w:tcW w:w="1518"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Q=85-100m </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H=603-549m</w:t>
            </w:r>
          </w:p>
        </w:tc>
        <w:tc>
          <w:tcPr>
            <w:tcW w:w="250"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5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c>
          <w:tcPr>
            <w:tcW w:w="56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500</w:t>
            </w:r>
          </w:p>
        </w:tc>
        <w:tc>
          <w:tcPr>
            <w:tcW w:w="2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bl>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eastAsia="zh-CN"/>
        </w:rPr>
        <w:t>表</w:t>
      </w:r>
      <w:r>
        <w:rPr>
          <w:rFonts w:hint="eastAsia" w:ascii="Times New Roman" w:hAnsi="Times New Roman" w:eastAsia="宋体" w:cs="Times New Roman"/>
          <w:b/>
          <w:sz w:val="21"/>
          <w:szCs w:val="21"/>
          <w:lang w:val="en-US" w:eastAsia="zh-CN"/>
        </w:rPr>
        <w:t>3.</w:t>
      </w:r>
      <w:r>
        <w:rPr>
          <w:rFonts w:hint="eastAsia" w:cs="Times New Roman"/>
          <w:b/>
          <w:sz w:val="21"/>
          <w:szCs w:val="21"/>
          <w:lang w:val="en-US" w:eastAsia="zh-CN"/>
        </w:rPr>
        <w:t>2-6</w:t>
      </w:r>
      <w:r>
        <w:rPr>
          <w:rFonts w:hint="default" w:ascii="Times New Roman" w:hAnsi="Times New Roman" w:eastAsia="宋体" w:cs="Times New Roman"/>
          <w:b/>
          <w:sz w:val="21"/>
          <w:szCs w:val="21"/>
        </w:rPr>
        <w:t>技改后输煤系统设备一览表</w:t>
      </w:r>
    </w:p>
    <w:tbl>
      <w:tblPr>
        <w:tblStyle w:val="31"/>
        <w:tblW w:w="5000" w:type="pct"/>
        <w:jc w:val="center"/>
        <w:tblLayout w:type="autofit"/>
        <w:tblCellMar>
          <w:top w:w="0" w:type="dxa"/>
          <w:left w:w="108" w:type="dxa"/>
          <w:bottom w:w="0" w:type="dxa"/>
          <w:right w:w="108" w:type="dxa"/>
        </w:tblCellMar>
      </w:tblPr>
      <w:tblGrid>
        <w:gridCol w:w="418"/>
        <w:gridCol w:w="1626"/>
        <w:gridCol w:w="3351"/>
        <w:gridCol w:w="418"/>
        <w:gridCol w:w="418"/>
        <w:gridCol w:w="935"/>
        <w:gridCol w:w="935"/>
        <w:gridCol w:w="419"/>
      </w:tblGrid>
      <w:tr>
        <w:tblPrEx>
          <w:tblCellMar>
            <w:top w:w="0" w:type="dxa"/>
            <w:left w:w="108" w:type="dxa"/>
            <w:bottom w:w="0" w:type="dxa"/>
            <w:right w:w="108" w:type="dxa"/>
          </w:tblCellMar>
        </w:tblPrEx>
        <w:trPr>
          <w:trHeight w:val="470" w:hRule="atLeast"/>
          <w:tblHeader/>
          <w:jc w:val="center"/>
        </w:trPr>
        <w:tc>
          <w:tcPr>
            <w:tcW w:w="357" w:type="pct"/>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93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92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型号规格</w:t>
            </w:r>
          </w:p>
        </w:tc>
        <w:tc>
          <w:tcPr>
            <w:tcW w:w="242"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242"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525"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单机功率（kW）</w:t>
            </w:r>
          </w:p>
        </w:tc>
        <w:tc>
          <w:tcPr>
            <w:tcW w:w="525"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总功率（kW）</w:t>
            </w:r>
          </w:p>
        </w:tc>
        <w:tc>
          <w:tcPr>
            <w:tcW w:w="242"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470" w:hRule="atLeast"/>
          <w:jc w:val="center"/>
        </w:trPr>
        <w:tc>
          <w:tcPr>
            <w:tcW w:w="357"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93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1#上煤皮带机</w:t>
            </w:r>
          </w:p>
        </w:tc>
        <w:tc>
          <w:tcPr>
            <w:tcW w:w="192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TD75  B=500㎜  V=1.25m/s  L=50m</w:t>
            </w:r>
          </w:p>
        </w:tc>
        <w:tc>
          <w:tcPr>
            <w:tcW w:w="242"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70" w:hRule="atLeast"/>
          <w:jc w:val="center"/>
        </w:trPr>
        <w:tc>
          <w:tcPr>
            <w:tcW w:w="357"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93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2#上煤皮带机</w:t>
            </w:r>
          </w:p>
        </w:tc>
        <w:tc>
          <w:tcPr>
            <w:tcW w:w="192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TD75  B=500㎜ V=1m/s   L=72.5m</w:t>
            </w:r>
          </w:p>
        </w:tc>
        <w:tc>
          <w:tcPr>
            <w:tcW w:w="242"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70" w:hRule="atLeast"/>
          <w:jc w:val="center"/>
        </w:trPr>
        <w:tc>
          <w:tcPr>
            <w:tcW w:w="357"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93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电磁振动给料机</w:t>
            </w:r>
          </w:p>
        </w:tc>
        <w:tc>
          <w:tcPr>
            <w:tcW w:w="192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GZ4  50t/H</w:t>
            </w:r>
          </w:p>
        </w:tc>
        <w:tc>
          <w:tcPr>
            <w:tcW w:w="242"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0.45</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0.45</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70" w:hRule="atLeast"/>
          <w:jc w:val="center"/>
        </w:trPr>
        <w:tc>
          <w:tcPr>
            <w:tcW w:w="357"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93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环锤式破碎机</w:t>
            </w:r>
          </w:p>
        </w:tc>
        <w:tc>
          <w:tcPr>
            <w:tcW w:w="192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CH-0808 产量25-35吨 出料粒度10㎜</w:t>
            </w:r>
          </w:p>
        </w:tc>
        <w:tc>
          <w:tcPr>
            <w:tcW w:w="242"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70" w:hRule="atLeast"/>
          <w:jc w:val="center"/>
        </w:trPr>
        <w:tc>
          <w:tcPr>
            <w:tcW w:w="357"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93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振动筛</w:t>
            </w:r>
          </w:p>
        </w:tc>
        <w:tc>
          <w:tcPr>
            <w:tcW w:w="192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ZDM1225 宽度1225</w:t>
            </w:r>
          </w:p>
        </w:tc>
        <w:tc>
          <w:tcPr>
            <w:tcW w:w="242"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70" w:hRule="atLeast"/>
          <w:jc w:val="center"/>
        </w:trPr>
        <w:tc>
          <w:tcPr>
            <w:tcW w:w="357"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93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3#上煤皮带机</w:t>
            </w:r>
          </w:p>
        </w:tc>
        <w:tc>
          <w:tcPr>
            <w:tcW w:w="192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TD75</w:t>
            </w:r>
          </w:p>
        </w:tc>
        <w:tc>
          <w:tcPr>
            <w:tcW w:w="242"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w:t>
            </w:r>
          </w:p>
        </w:tc>
        <w:tc>
          <w:tcPr>
            <w:tcW w:w="525"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24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bl>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eastAsia="zh-CN"/>
        </w:rPr>
        <w:t>表</w:t>
      </w:r>
      <w:r>
        <w:rPr>
          <w:rFonts w:hint="eastAsia" w:ascii="Times New Roman" w:hAnsi="Times New Roman" w:eastAsia="宋体" w:cs="Times New Roman"/>
          <w:b/>
          <w:sz w:val="21"/>
          <w:szCs w:val="21"/>
          <w:lang w:val="en-US" w:eastAsia="zh-CN"/>
        </w:rPr>
        <w:t>3.</w:t>
      </w:r>
      <w:r>
        <w:rPr>
          <w:rFonts w:hint="eastAsia" w:cs="Times New Roman"/>
          <w:b/>
          <w:sz w:val="21"/>
          <w:szCs w:val="21"/>
          <w:lang w:val="en-US" w:eastAsia="zh-CN"/>
        </w:rPr>
        <w:t xml:space="preserve">2-7 </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rPr>
        <w:t>技改后除灰、渣系统主要设备一览表</w:t>
      </w:r>
    </w:p>
    <w:tbl>
      <w:tblPr>
        <w:tblStyle w:val="31"/>
        <w:tblW w:w="4997" w:type="pct"/>
        <w:jc w:val="center"/>
        <w:tblLayout w:type="autofit"/>
        <w:tblCellMar>
          <w:top w:w="0" w:type="dxa"/>
          <w:left w:w="108" w:type="dxa"/>
          <w:bottom w:w="0" w:type="dxa"/>
          <w:right w:w="108" w:type="dxa"/>
        </w:tblCellMar>
      </w:tblPr>
      <w:tblGrid>
        <w:gridCol w:w="572"/>
        <w:gridCol w:w="1675"/>
        <w:gridCol w:w="2516"/>
        <w:gridCol w:w="589"/>
        <w:gridCol w:w="589"/>
        <w:gridCol w:w="965"/>
        <w:gridCol w:w="966"/>
        <w:gridCol w:w="643"/>
      </w:tblGrid>
      <w:tr>
        <w:tblPrEx>
          <w:tblCellMar>
            <w:top w:w="0" w:type="dxa"/>
            <w:left w:w="108" w:type="dxa"/>
            <w:bottom w:w="0" w:type="dxa"/>
            <w:right w:w="108" w:type="dxa"/>
          </w:tblCellMar>
        </w:tblPrEx>
        <w:trPr>
          <w:trHeight w:val="555" w:hRule="atLeast"/>
          <w:jc w:val="center"/>
        </w:trPr>
        <w:tc>
          <w:tcPr>
            <w:tcW w:w="369" w:type="pct"/>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01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509"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型号规格</w:t>
            </w:r>
          </w:p>
        </w:tc>
        <w:tc>
          <w:tcPr>
            <w:tcW w:w="379"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379"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482"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单机功率（kW）</w:t>
            </w:r>
          </w:p>
        </w:tc>
        <w:tc>
          <w:tcPr>
            <w:tcW w:w="451"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总功率（kW）</w:t>
            </w:r>
          </w:p>
        </w:tc>
        <w:tc>
          <w:tcPr>
            <w:tcW w:w="410"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405" w:hRule="atLeast"/>
          <w:jc w:val="center"/>
        </w:trPr>
        <w:tc>
          <w:tcPr>
            <w:tcW w:w="369"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01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冷渣机</w:t>
            </w:r>
          </w:p>
        </w:tc>
        <w:tc>
          <w:tcPr>
            <w:tcW w:w="150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Q=3-5t/h   </w:t>
            </w:r>
          </w:p>
        </w:tc>
        <w:tc>
          <w:tcPr>
            <w:tcW w:w="37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37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8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w:t>
            </w:r>
          </w:p>
        </w:tc>
        <w:tc>
          <w:tcPr>
            <w:tcW w:w="4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w:t>
            </w:r>
          </w:p>
        </w:tc>
        <w:tc>
          <w:tcPr>
            <w:tcW w:w="41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5" w:hRule="atLeast"/>
          <w:jc w:val="center"/>
        </w:trPr>
        <w:tc>
          <w:tcPr>
            <w:tcW w:w="369"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01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除渣皮带机</w:t>
            </w:r>
          </w:p>
        </w:tc>
        <w:tc>
          <w:tcPr>
            <w:tcW w:w="150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B=500 </w:t>
            </w:r>
          </w:p>
        </w:tc>
        <w:tc>
          <w:tcPr>
            <w:tcW w:w="379"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7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8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w:t>
            </w:r>
          </w:p>
        </w:tc>
        <w:tc>
          <w:tcPr>
            <w:tcW w:w="4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7.5</w:t>
            </w:r>
          </w:p>
        </w:tc>
        <w:tc>
          <w:tcPr>
            <w:tcW w:w="41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5" w:hRule="atLeast"/>
          <w:jc w:val="center"/>
        </w:trPr>
        <w:tc>
          <w:tcPr>
            <w:tcW w:w="369"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01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除渣斗提机</w:t>
            </w:r>
          </w:p>
        </w:tc>
        <w:tc>
          <w:tcPr>
            <w:tcW w:w="150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NE-100</w:t>
            </w:r>
          </w:p>
        </w:tc>
        <w:tc>
          <w:tcPr>
            <w:tcW w:w="379"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7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8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18.5</w:t>
            </w:r>
          </w:p>
        </w:tc>
        <w:tc>
          <w:tcPr>
            <w:tcW w:w="4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18.5</w:t>
            </w:r>
          </w:p>
        </w:tc>
        <w:tc>
          <w:tcPr>
            <w:tcW w:w="41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5" w:hRule="atLeast"/>
          <w:jc w:val="center"/>
        </w:trPr>
        <w:tc>
          <w:tcPr>
            <w:tcW w:w="369"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01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钢制渣库</w:t>
            </w:r>
          </w:p>
        </w:tc>
        <w:tc>
          <w:tcPr>
            <w:tcW w:w="150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储存能力为V=200m</w:t>
            </w:r>
            <w:r>
              <w:rPr>
                <w:rFonts w:hint="default" w:ascii="Times New Roman" w:hAnsi="Times New Roman" w:eastAsia="宋体" w:cs="Times New Roman"/>
                <w:kern w:val="0"/>
                <w:sz w:val="21"/>
                <w:szCs w:val="21"/>
                <w:vertAlign w:val="superscript"/>
              </w:rPr>
              <w:t>3</w:t>
            </w:r>
          </w:p>
        </w:tc>
        <w:tc>
          <w:tcPr>
            <w:tcW w:w="379"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7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8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4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41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05" w:hRule="atLeast"/>
          <w:jc w:val="center"/>
        </w:trPr>
        <w:tc>
          <w:tcPr>
            <w:tcW w:w="369"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016"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灰库 </w:t>
            </w:r>
          </w:p>
        </w:tc>
        <w:tc>
          <w:tcPr>
            <w:tcW w:w="150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379"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7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8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4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41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05" w:hRule="atLeast"/>
          <w:jc w:val="center"/>
        </w:trPr>
        <w:tc>
          <w:tcPr>
            <w:tcW w:w="369" w:type="pct"/>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1016" w:type="pct"/>
            <w:tcBorders>
              <w:top w:val="single" w:color="auto" w:sz="8" w:space="0"/>
              <w:left w:val="single" w:color="auto" w:sz="8" w:space="0"/>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汽车散装机 </w:t>
            </w:r>
          </w:p>
        </w:tc>
        <w:tc>
          <w:tcPr>
            <w:tcW w:w="1509" w:type="pct"/>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出力100t/h</w:t>
            </w:r>
          </w:p>
        </w:tc>
        <w:tc>
          <w:tcPr>
            <w:tcW w:w="379" w:type="pct"/>
            <w:tcBorders>
              <w:top w:val="nil"/>
              <w:left w:val="nil"/>
              <w:bottom w:val="single" w:color="auto" w:sz="8"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379"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8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45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410"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bl>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eastAsia="zh-CN"/>
        </w:rPr>
        <w:t>表</w:t>
      </w:r>
      <w:r>
        <w:rPr>
          <w:rFonts w:hint="eastAsia" w:ascii="Times New Roman" w:hAnsi="Times New Roman" w:eastAsia="宋体" w:cs="Times New Roman"/>
          <w:b/>
          <w:sz w:val="21"/>
          <w:szCs w:val="21"/>
          <w:lang w:val="en-US" w:eastAsia="zh-CN"/>
        </w:rPr>
        <w:t>3.</w:t>
      </w:r>
      <w:r>
        <w:rPr>
          <w:rFonts w:hint="eastAsia" w:cs="Times New Roman"/>
          <w:b/>
          <w:sz w:val="21"/>
          <w:szCs w:val="21"/>
          <w:lang w:val="en-US" w:eastAsia="zh-CN"/>
        </w:rPr>
        <w:t xml:space="preserve">2-8 </w:t>
      </w:r>
      <w:r>
        <w:rPr>
          <w:rFonts w:hint="default" w:ascii="Times New Roman" w:hAnsi="Times New Roman" w:eastAsia="宋体" w:cs="Times New Roman"/>
          <w:b/>
          <w:sz w:val="21"/>
          <w:szCs w:val="21"/>
        </w:rPr>
        <w:t>技改后汽机间设备一览表</w:t>
      </w:r>
    </w:p>
    <w:tbl>
      <w:tblPr>
        <w:tblStyle w:val="31"/>
        <w:tblW w:w="4998" w:type="pct"/>
        <w:jc w:val="center"/>
        <w:tblLayout w:type="autofit"/>
        <w:tblCellMar>
          <w:top w:w="0" w:type="dxa"/>
          <w:left w:w="108" w:type="dxa"/>
          <w:bottom w:w="0" w:type="dxa"/>
          <w:right w:w="108" w:type="dxa"/>
        </w:tblCellMar>
      </w:tblPr>
      <w:tblGrid>
        <w:gridCol w:w="768"/>
        <w:gridCol w:w="1706"/>
        <w:gridCol w:w="1563"/>
        <w:gridCol w:w="2205"/>
        <w:gridCol w:w="760"/>
        <w:gridCol w:w="760"/>
        <w:gridCol w:w="755"/>
      </w:tblGrid>
      <w:tr>
        <w:tblPrEx>
          <w:tblCellMar>
            <w:top w:w="0" w:type="dxa"/>
            <w:left w:w="108" w:type="dxa"/>
            <w:bottom w:w="0" w:type="dxa"/>
            <w:right w:w="108" w:type="dxa"/>
          </w:tblCellMar>
        </w:tblPrEx>
        <w:trPr>
          <w:trHeight w:val="555" w:hRule="atLeast"/>
          <w:jc w:val="center"/>
        </w:trPr>
        <w:tc>
          <w:tcPr>
            <w:tcW w:w="451" w:type="pct"/>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001"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917"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型号规格</w:t>
            </w:r>
          </w:p>
        </w:tc>
        <w:tc>
          <w:tcPr>
            <w:tcW w:w="1294"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主要技术参数</w:t>
            </w:r>
          </w:p>
        </w:tc>
        <w:tc>
          <w:tcPr>
            <w:tcW w:w="44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44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443"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405" w:hRule="atLeast"/>
          <w:jc w:val="center"/>
        </w:trPr>
        <w:tc>
          <w:tcPr>
            <w:tcW w:w="45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00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1#背压式汽轮机</w:t>
            </w:r>
          </w:p>
        </w:tc>
        <w:tc>
          <w:tcPr>
            <w:tcW w:w="91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B2—2.35/0.49</w:t>
            </w:r>
          </w:p>
        </w:tc>
        <w:tc>
          <w:tcPr>
            <w:tcW w:w="1294"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转速6500r/min功率2000KW</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05" w:hRule="atLeast"/>
          <w:jc w:val="center"/>
        </w:trPr>
        <w:tc>
          <w:tcPr>
            <w:tcW w:w="45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100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1#汽轮发电机</w:t>
            </w:r>
          </w:p>
        </w:tc>
        <w:tc>
          <w:tcPr>
            <w:tcW w:w="91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QF2—4</w:t>
            </w:r>
          </w:p>
        </w:tc>
        <w:tc>
          <w:tcPr>
            <w:tcW w:w="1294"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功率2000KW电压400V</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05" w:hRule="atLeast"/>
          <w:jc w:val="center"/>
        </w:trPr>
        <w:tc>
          <w:tcPr>
            <w:tcW w:w="45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00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2#背压式汽轮机</w:t>
            </w:r>
          </w:p>
        </w:tc>
        <w:tc>
          <w:tcPr>
            <w:tcW w:w="91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B2—24/3</w:t>
            </w:r>
          </w:p>
        </w:tc>
        <w:tc>
          <w:tcPr>
            <w:tcW w:w="1294"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转速6500r/min功率1500KW</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05" w:hRule="atLeast"/>
          <w:jc w:val="center"/>
        </w:trPr>
        <w:tc>
          <w:tcPr>
            <w:tcW w:w="45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w:t>
            </w:r>
          </w:p>
        </w:tc>
        <w:tc>
          <w:tcPr>
            <w:tcW w:w="100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2#汽轮发电机</w:t>
            </w:r>
          </w:p>
        </w:tc>
        <w:tc>
          <w:tcPr>
            <w:tcW w:w="91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QF1.5—4</w:t>
            </w:r>
          </w:p>
        </w:tc>
        <w:tc>
          <w:tcPr>
            <w:tcW w:w="1294"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功率1500KW电压400V</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05" w:hRule="atLeast"/>
          <w:jc w:val="center"/>
        </w:trPr>
        <w:tc>
          <w:tcPr>
            <w:tcW w:w="45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00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2#背压式汽轮机</w:t>
            </w:r>
          </w:p>
        </w:tc>
        <w:tc>
          <w:tcPr>
            <w:tcW w:w="91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B2—24/3</w:t>
            </w:r>
          </w:p>
        </w:tc>
        <w:tc>
          <w:tcPr>
            <w:tcW w:w="1294"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转速6500r/min功率1500KW</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05" w:hRule="atLeast"/>
          <w:jc w:val="center"/>
        </w:trPr>
        <w:tc>
          <w:tcPr>
            <w:tcW w:w="451" w:type="pct"/>
            <w:tcBorders>
              <w:top w:val="nil"/>
              <w:left w:val="single" w:color="auto" w:sz="8" w:space="0"/>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3.1</w:t>
            </w:r>
          </w:p>
        </w:tc>
        <w:tc>
          <w:tcPr>
            <w:tcW w:w="100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2#汽轮发电机</w:t>
            </w:r>
          </w:p>
        </w:tc>
        <w:tc>
          <w:tcPr>
            <w:tcW w:w="917"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QF1.5—4</w:t>
            </w:r>
          </w:p>
        </w:tc>
        <w:tc>
          <w:tcPr>
            <w:tcW w:w="1294"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功率1500KW电压400V</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4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43"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r>
    </w:tbl>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rPr>
      </w:pPr>
      <w:bookmarkStart w:id="107" w:name="_Hlk133310490"/>
      <w:r>
        <w:rPr>
          <w:rFonts w:hint="eastAsia" w:ascii="Times New Roman" w:hAnsi="Times New Roman" w:eastAsia="宋体" w:cs="Times New Roman"/>
          <w:b/>
          <w:sz w:val="21"/>
          <w:szCs w:val="21"/>
          <w:lang w:eastAsia="zh-CN"/>
        </w:rPr>
        <w:t>表</w:t>
      </w:r>
      <w:r>
        <w:rPr>
          <w:rFonts w:hint="eastAsia" w:ascii="Times New Roman" w:hAnsi="Times New Roman" w:eastAsia="宋体" w:cs="Times New Roman"/>
          <w:b/>
          <w:sz w:val="21"/>
          <w:szCs w:val="21"/>
          <w:lang w:val="en-US" w:eastAsia="zh-CN"/>
        </w:rPr>
        <w:t>3.</w:t>
      </w:r>
      <w:r>
        <w:rPr>
          <w:rFonts w:hint="eastAsia" w:cs="Times New Roman"/>
          <w:b/>
          <w:sz w:val="21"/>
          <w:szCs w:val="21"/>
          <w:lang w:val="en-US" w:eastAsia="zh-CN"/>
        </w:rPr>
        <w:t xml:space="preserve">2-9  </w:t>
      </w:r>
      <w:r>
        <w:rPr>
          <w:rFonts w:hint="default" w:ascii="Times New Roman" w:hAnsi="Times New Roman" w:eastAsia="宋体" w:cs="Times New Roman"/>
          <w:b/>
          <w:sz w:val="21"/>
          <w:szCs w:val="21"/>
        </w:rPr>
        <w:t>技改后供水设备一览表</w:t>
      </w:r>
    </w:p>
    <w:tbl>
      <w:tblPr>
        <w:tblStyle w:val="31"/>
        <w:tblW w:w="4998" w:type="pct"/>
        <w:jc w:val="center"/>
        <w:tblLayout w:type="autofit"/>
        <w:tblCellMar>
          <w:top w:w="0" w:type="dxa"/>
          <w:left w:w="108" w:type="dxa"/>
          <w:bottom w:w="0" w:type="dxa"/>
          <w:right w:w="108" w:type="dxa"/>
        </w:tblCellMar>
      </w:tblPr>
      <w:tblGrid>
        <w:gridCol w:w="774"/>
        <w:gridCol w:w="1762"/>
        <w:gridCol w:w="2243"/>
        <w:gridCol w:w="532"/>
        <w:gridCol w:w="532"/>
        <w:gridCol w:w="2122"/>
        <w:gridCol w:w="552"/>
      </w:tblGrid>
      <w:tr>
        <w:tblPrEx>
          <w:tblCellMar>
            <w:top w:w="0" w:type="dxa"/>
            <w:left w:w="108" w:type="dxa"/>
            <w:bottom w:w="0" w:type="dxa"/>
            <w:right w:w="108" w:type="dxa"/>
          </w:tblCellMar>
        </w:tblPrEx>
        <w:trPr>
          <w:trHeight w:val="400" w:hRule="atLeast"/>
          <w:jc w:val="center"/>
        </w:trPr>
        <w:tc>
          <w:tcPr>
            <w:tcW w:w="45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034"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316"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型号规格</w:t>
            </w:r>
          </w:p>
        </w:tc>
        <w:tc>
          <w:tcPr>
            <w:tcW w:w="312"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312"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1245"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主要技术参数</w:t>
            </w:r>
          </w:p>
        </w:tc>
        <w:tc>
          <w:tcPr>
            <w:tcW w:w="324" w:type="pct"/>
            <w:tcBorders>
              <w:top w:val="single" w:color="000000" w:sz="8" w:space="0"/>
              <w:left w:val="nil"/>
              <w:bottom w:val="single" w:color="000000" w:sz="8" w:space="0"/>
              <w:right w:val="single" w:color="000000"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400" w:hRule="atLeast"/>
          <w:jc w:val="center"/>
        </w:trPr>
        <w:tc>
          <w:tcPr>
            <w:tcW w:w="454"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034"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2#潜水电泵</w:t>
            </w:r>
          </w:p>
        </w:tc>
        <w:tc>
          <w:tcPr>
            <w:tcW w:w="131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300QJR330—63/3</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1245"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流量330m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/h扬程63m功率90KW</w:t>
            </w:r>
          </w:p>
        </w:tc>
        <w:tc>
          <w:tcPr>
            <w:tcW w:w="324" w:type="pct"/>
            <w:tcBorders>
              <w:top w:val="nil"/>
              <w:left w:val="nil"/>
              <w:bottom w:val="single" w:color="000000" w:sz="8" w:space="0"/>
              <w:right w:val="single" w:color="000000"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454"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034"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3#潜水电泵</w:t>
            </w:r>
          </w:p>
        </w:tc>
        <w:tc>
          <w:tcPr>
            <w:tcW w:w="131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250QJR125—87/3</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1245"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流量125m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/h扬程H=87m功率45KW</w:t>
            </w:r>
          </w:p>
        </w:tc>
        <w:tc>
          <w:tcPr>
            <w:tcW w:w="324" w:type="pct"/>
            <w:tcBorders>
              <w:top w:val="nil"/>
              <w:left w:val="nil"/>
              <w:bottom w:val="single" w:color="000000" w:sz="8" w:space="0"/>
              <w:right w:val="single" w:color="000000"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454"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034"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4#潜水电泵</w:t>
            </w:r>
          </w:p>
        </w:tc>
        <w:tc>
          <w:tcPr>
            <w:tcW w:w="131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250QJR230—61.5/3</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1245"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流量230m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/h扬程61.5m功率55KW</w:t>
            </w:r>
          </w:p>
        </w:tc>
        <w:tc>
          <w:tcPr>
            <w:tcW w:w="324" w:type="pct"/>
            <w:tcBorders>
              <w:top w:val="nil"/>
              <w:left w:val="nil"/>
              <w:bottom w:val="single" w:color="000000" w:sz="8" w:space="0"/>
              <w:right w:val="single" w:color="000000"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454"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034"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5#潜水电泵</w:t>
            </w:r>
          </w:p>
        </w:tc>
        <w:tc>
          <w:tcPr>
            <w:tcW w:w="131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300QJR330—63/3</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1245"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流量330m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/h扬程63m功率90KW</w:t>
            </w:r>
          </w:p>
        </w:tc>
        <w:tc>
          <w:tcPr>
            <w:tcW w:w="324" w:type="pct"/>
            <w:tcBorders>
              <w:top w:val="nil"/>
              <w:left w:val="nil"/>
              <w:bottom w:val="single" w:color="000000" w:sz="8" w:space="0"/>
              <w:right w:val="single" w:color="000000"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454"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034"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6#潜水电泵</w:t>
            </w:r>
          </w:p>
        </w:tc>
        <w:tc>
          <w:tcPr>
            <w:tcW w:w="131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250QJR230—61.5/3</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12"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1245"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流量230m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/h扬程61.5m功率55KW</w:t>
            </w:r>
          </w:p>
        </w:tc>
        <w:tc>
          <w:tcPr>
            <w:tcW w:w="324" w:type="pct"/>
            <w:tcBorders>
              <w:top w:val="nil"/>
              <w:left w:val="nil"/>
              <w:bottom w:val="single" w:color="000000" w:sz="8" w:space="0"/>
              <w:right w:val="single" w:color="000000"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bl>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eastAsia="zh-CN"/>
        </w:rPr>
        <w:t>表</w:t>
      </w:r>
      <w:r>
        <w:rPr>
          <w:rFonts w:hint="eastAsia" w:ascii="Times New Roman" w:hAnsi="Times New Roman" w:eastAsia="宋体" w:cs="Times New Roman"/>
          <w:b/>
          <w:sz w:val="21"/>
          <w:szCs w:val="21"/>
          <w:lang w:val="en-US" w:eastAsia="zh-CN"/>
        </w:rPr>
        <w:t>3.</w:t>
      </w:r>
      <w:r>
        <w:rPr>
          <w:rFonts w:hint="eastAsia" w:cs="Times New Roman"/>
          <w:b/>
          <w:sz w:val="21"/>
          <w:szCs w:val="21"/>
          <w:lang w:val="en-US" w:eastAsia="zh-CN"/>
        </w:rPr>
        <w:t xml:space="preserve">2-10  </w:t>
      </w:r>
      <w:r>
        <w:rPr>
          <w:rFonts w:hint="default" w:ascii="Times New Roman" w:hAnsi="Times New Roman" w:eastAsia="宋体" w:cs="Times New Roman"/>
          <w:b/>
          <w:sz w:val="21"/>
          <w:szCs w:val="21"/>
        </w:rPr>
        <w:t>技改后水处理间设备一览表</w:t>
      </w:r>
    </w:p>
    <w:tbl>
      <w:tblPr>
        <w:tblStyle w:val="31"/>
        <w:tblW w:w="4997" w:type="pct"/>
        <w:jc w:val="center"/>
        <w:tblLayout w:type="autofit"/>
        <w:tblCellMar>
          <w:top w:w="0" w:type="dxa"/>
          <w:left w:w="108" w:type="dxa"/>
          <w:bottom w:w="0" w:type="dxa"/>
          <w:right w:w="108" w:type="dxa"/>
        </w:tblCellMar>
      </w:tblPr>
      <w:tblGrid>
        <w:gridCol w:w="427"/>
        <w:gridCol w:w="1590"/>
        <w:gridCol w:w="3123"/>
        <w:gridCol w:w="433"/>
        <w:gridCol w:w="433"/>
        <w:gridCol w:w="965"/>
        <w:gridCol w:w="965"/>
        <w:gridCol w:w="579"/>
      </w:tblGrid>
      <w:tr>
        <w:tblPrEx>
          <w:tblCellMar>
            <w:top w:w="0" w:type="dxa"/>
            <w:left w:w="108" w:type="dxa"/>
            <w:bottom w:w="0" w:type="dxa"/>
            <w:right w:w="108" w:type="dxa"/>
          </w:tblCellMar>
        </w:tblPrEx>
        <w:trPr>
          <w:trHeight w:val="400" w:hRule="atLeast"/>
          <w:tblHeader/>
          <w:jc w:val="center"/>
        </w:trPr>
        <w:tc>
          <w:tcPr>
            <w:tcW w:w="271"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026"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889" w:type="pct"/>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型号规格</w:t>
            </w:r>
          </w:p>
        </w:tc>
        <w:tc>
          <w:tcPr>
            <w:tcW w:w="311"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311"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39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单机功率（kW）</w:t>
            </w:r>
          </w:p>
        </w:tc>
        <w:tc>
          <w:tcPr>
            <w:tcW w:w="396"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总功率（kW）</w:t>
            </w:r>
          </w:p>
        </w:tc>
        <w:tc>
          <w:tcPr>
            <w:tcW w:w="396" w:type="pct"/>
            <w:tcBorders>
              <w:top w:val="single" w:color="auto" w:sz="8" w:space="0"/>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锅炉给水泵</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lang w:bidi="ar"/>
              </w:rPr>
              <w:t>Q=85-100m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    H=603-549m</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500</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旋膜除氧器</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40T  P=0.12Mpa  T=104℃</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除氧水箱</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Φ2000    V=35m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 xml:space="preserve">/h  </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除氧水箱</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Φ2500    V=40m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连排扩容器</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3.5m</w:t>
            </w:r>
            <w:r>
              <w:rPr>
                <w:rFonts w:hint="default" w:ascii="Times New Roman" w:hAnsi="Times New Roman" w:eastAsia="宋体" w:cs="Times New Roman"/>
                <w:kern w:val="0"/>
                <w:sz w:val="21"/>
                <w:szCs w:val="21"/>
                <w:vertAlign w:val="superscript"/>
              </w:rPr>
              <w:t>3</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双流机械过滤器</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Φ2000   Q=31.4m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钠离子交换器</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Q=17m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逆流再生</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钠离子交换器</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逆流再生</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r>
        <w:tblPrEx>
          <w:tblCellMar>
            <w:top w:w="0" w:type="dxa"/>
            <w:left w:w="108" w:type="dxa"/>
            <w:bottom w:w="0" w:type="dxa"/>
            <w:right w:w="108" w:type="dxa"/>
          </w:tblCellMar>
        </w:tblPrEx>
        <w:trPr>
          <w:trHeight w:val="400" w:hRule="atLeast"/>
          <w:jc w:val="center"/>
        </w:trPr>
        <w:tc>
          <w:tcPr>
            <w:tcW w:w="271" w:type="pct"/>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w:t>
            </w:r>
          </w:p>
        </w:tc>
        <w:tc>
          <w:tcPr>
            <w:tcW w:w="1026"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反渗透系统</w:t>
            </w:r>
          </w:p>
        </w:tc>
        <w:tc>
          <w:tcPr>
            <w:tcW w:w="1889" w:type="pct"/>
            <w:tcBorders>
              <w:top w:val="nil"/>
              <w:left w:val="nil"/>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  50m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离子脱除率97%</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311"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96" w:type="pct"/>
            <w:tcBorders>
              <w:top w:val="nil"/>
              <w:left w:val="nil"/>
              <w:bottom w:val="single" w:color="auto" w:sz="8" w:space="0"/>
              <w:right w:val="single" w:color="auto" w:sz="8"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原有</w:t>
            </w:r>
          </w:p>
        </w:tc>
      </w:tr>
    </w:tbl>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eastAsia="zh-CN"/>
        </w:rPr>
        <w:t>表</w:t>
      </w:r>
      <w:r>
        <w:rPr>
          <w:rFonts w:hint="eastAsia" w:ascii="Times New Roman" w:hAnsi="Times New Roman" w:eastAsia="宋体" w:cs="Times New Roman"/>
          <w:b/>
          <w:sz w:val="21"/>
          <w:szCs w:val="21"/>
          <w:lang w:val="en-US" w:eastAsia="zh-CN"/>
        </w:rPr>
        <w:t>3.</w:t>
      </w:r>
      <w:r>
        <w:rPr>
          <w:rFonts w:hint="eastAsia" w:cs="Times New Roman"/>
          <w:b/>
          <w:sz w:val="21"/>
          <w:szCs w:val="21"/>
          <w:lang w:val="en-US" w:eastAsia="zh-CN"/>
        </w:rPr>
        <w:t xml:space="preserve">2-11   </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rPr>
        <w:t>技改后脱硫系统设备一览表（湿法烟气脱硫）</w:t>
      </w:r>
    </w:p>
    <w:tbl>
      <w:tblPr>
        <w:tblStyle w:val="31"/>
        <w:tblW w:w="4998" w:type="pct"/>
        <w:jc w:val="center"/>
        <w:tblLayout w:type="autofit"/>
        <w:tblCellMar>
          <w:top w:w="0" w:type="dxa"/>
          <w:left w:w="108" w:type="dxa"/>
          <w:bottom w:w="0" w:type="dxa"/>
          <w:right w:w="108" w:type="dxa"/>
        </w:tblCellMar>
      </w:tblPr>
      <w:tblGrid>
        <w:gridCol w:w="584"/>
        <w:gridCol w:w="1952"/>
        <w:gridCol w:w="3659"/>
        <w:gridCol w:w="602"/>
        <w:gridCol w:w="602"/>
        <w:gridCol w:w="1118"/>
      </w:tblGrid>
      <w:tr>
        <w:tblPrEx>
          <w:tblCellMar>
            <w:top w:w="0" w:type="dxa"/>
            <w:left w:w="108" w:type="dxa"/>
            <w:bottom w:w="0" w:type="dxa"/>
            <w:right w:w="108" w:type="dxa"/>
          </w:tblCellMar>
        </w:tblPrEx>
        <w:trPr>
          <w:trHeight w:val="400" w:hRule="atLeast"/>
          <w:tblHeader/>
          <w:jc w:val="center"/>
        </w:trPr>
        <w:tc>
          <w:tcPr>
            <w:tcW w:w="343" w:type="pct"/>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145"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设备材料名称</w:t>
            </w:r>
          </w:p>
        </w:tc>
        <w:tc>
          <w:tcPr>
            <w:tcW w:w="2146"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规格型号</w:t>
            </w:r>
          </w:p>
        </w:tc>
        <w:tc>
          <w:tcPr>
            <w:tcW w:w="353"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353"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656" w:type="pct"/>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一</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制浆系统</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脱硫剂粉仓</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满足 3 天最大耗量，气化板 4 块，含平台楼梯</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手动插板阀</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DN200</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电动插板阀</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DN200</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回转卸料阀</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石灰石浆液箱</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碳钢衬玻璃鳞片</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石灰石浆液箱搅拌器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顶进式；碳钢衬胶，功率 5.5kw</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石灰石浆液泵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离心式，流量:10m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/h，扬程:32m，机械密封</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仓顶除尘器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流化风机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流量:2.81Nm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/min,压力： 68.6kPa</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流化风电加热器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电加热器</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二</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烟气系统</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原烟道膨胀节</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承压±6500Pa</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吸收塔入口膨胀节</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承压±6500Pa</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吸收塔出口膨胀节</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3000×1500×400；承压±6500Pa</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净烟道膨胀节</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3500×1500×400；承压±6500Pa</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原烟道</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碳钢；承压±6500Pa</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净烟道</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碳钢陈鳞片；承压±6500Pa</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烟道防腐</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玻璃鳞片</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三</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吸收系统</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w:t>
            </w:r>
          </w:p>
        </w:tc>
        <w:tc>
          <w:tcPr>
            <w:tcW w:w="2146" w:type="pct"/>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浆池直径：5.5m；吸收区直径 4.2m；正常液位高:5m；浆池容积:120m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；塔高 24m；壳体:碳钢衬玻璃鳞片</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含支撑梁、平台楼梯等</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喷淋层</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材质 FRP，主管直径 DN300</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层</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喷嘴</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每层喷嘴数:20，喷嘴形式:空心锥，2 个/塔备用；浆液喷嘴: 碳化硅</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个</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66</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氧化喷枪</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氧化空气喷枪；材质：FRP， DN65，3 根</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事故喷淋</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塔前冷却喷嘴：5 个；冷却喷嘴 2205</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个</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除雾器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 层屋脊式，高效除尘除雾器, 冲洗喷嘴压力:0.2MPa；出口烟气含水量:﹤20mg/Nm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(dry)</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吸收塔循环泵 A/B/C</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离心式，流量:400m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/h；扬程:17.8/19.8/21.8m；</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吸收塔氧化风机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罗茨风机;流量:500m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/h,升压98kPa,配进出口消声器、隔音室、过滤器</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吸收塔氧化风机 A/B 隔声罩排气扇</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吸收塔区排水坑</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2000×2000×2000； 砼衬 FRP</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件</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吸收塔区排水坑搅拌器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顶进式；碳钢衬胶，电机功率4kw</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吸收塔区排水坑泵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离心式，流量：25m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 25m；</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吸收塔搅拌器 A/B/C</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侧进式，材质：合金，功率： 5.5kw</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吸收塔排出泵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离心式，流量:25m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/h,扬程:50m</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循环泵电动检修葫芦</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电动单梁式；起重量：5t，起升高度:10m,跨度：6m</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循环泵入口滤网</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材质 FRP，主管管径：DN300</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排除泵入口滤网</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材质 FRP，主管管径：DN80</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18</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合金托盘</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材质 2205，</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吸收塔防腐</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玻璃鳞片</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四</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石膏脱水系统</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石膏旋流器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处理能力:25m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/h,进口浓度:15%；溢流浓度:4.0%，底流浓度:50%；备用 1 个旋流子； 材质：碳钢衬胶；旋流子：聚氨酯</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真空皮带脱水机</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处理能力：3t/h(含水 10%的湿石膏)；</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真空泵</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水环式， 运行真空：-35~40kPa</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气液分离器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Φ1400×2200；运行压力：-70kPa，容积：4m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，设Φ600 的人孔；材质：碳钢衬胶</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滤布冲洗水箱</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Φ1400×1500；全容积：2.3m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 xml:space="preserve"> 碳钢</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滤布冲洗水泵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离心式，流量：12m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/h，扬程35m</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滤液箱</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Φ2900×3500；全容积 22m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 碳钢衬玻璃鳞片</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滤液箱搅拌器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顶进式；碳钢衬胶，功率：4kw</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滤液回收泵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真空皮带机检修电动葫芦</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起重量：3t，起升高度：20m</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溢流箱</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Φ2000×1500；全容积：4.5m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 xml:space="preserve"> 碳钢衬玻璃鳞片</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溢流箱搅拌器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顶进式；碳钢衬胶</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废水旋流器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处理能力:20m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/h,进口浓 度:2.17%,溢流浓度:1.2%，底流浓度:12.88%，备用 1 个旋流子</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废水旋流器给料泵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/h,H=32m</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脱水区排水坑</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地下式；全容积：12.5m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，2500×2500×2000；砼衬 FRP</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个</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脱水区排水坑搅拌器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顶进式；碳钢衬胶</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脱水区排水坑泵</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五</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事故浆液系统</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事故浆液箱</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有效容积：120m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；碳钢衬玻璃鳞片</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事故浆液箱搅拌器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顶进式；碳钢衬胶，功率：15kw</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个</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事故浆液返回泵</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离心式，流量：30m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/h；扬程25m</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六</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工艺水系统</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工艺水箱</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有效容积：10m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；碳钢衬环氧树脂</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工艺水泵 A/B</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离心式；流量:20m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/h,扬程:65mH2O；铸铁</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仪用空气储罐</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公称容积:1m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，设计压力： 1.0MPa；Q345R</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个</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七</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保温、管道材料</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阀门</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管道</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保温及油漆</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硅酸铝</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八</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钢结构材料</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烟道支架</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烟道检修平台、楼梯</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管道支架</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九</w:t>
            </w:r>
          </w:p>
        </w:tc>
        <w:tc>
          <w:tcPr>
            <w:tcW w:w="1145"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其他</w:t>
            </w:r>
          </w:p>
        </w:tc>
        <w:tc>
          <w:tcPr>
            <w:tcW w:w="2146"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65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r>
        <w:tblPrEx>
          <w:tblCellMar>
            <w:top w:w="0" w:type="dxa"/>
            <w:left w:w="108" w:type="dxa"/>
            <w:bottom w:w="0" w:type="dxa"/>
            <w:right w:w="108" w:type="dxa"/>
          </w:tblCellMar>
        </w:tblPrEx>
        <w:trPr>
          <w:trHeight w:val="400" w:hRule="atLeast"/>
          <w:jc w:val="center"/>
        </w:trPr>
        <w:tc>
          <w:tcPr>
            <w:tcW w:w="343" w:type="pct"/>
            <w:tcBorders>
              <w:top w:val="nil"/>
              <w:left w:val="single" w:color="auto" w:sz="8" w:space="0"/>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45" w:type="pct"/>
            <w:tcBorders>
              <w:top w:val="nil"/>
              <w:left w:val="nil"/>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标识牌</w:t>
            </w:r>
          </w:p>
        </w:tc>
        <w:tc>
          <w:tcPr>
            <w:tcW w:w="2146" w:type="pct"/>
            <w:tcBorders>
              <w:top w:val="nil"/>
              <w:left w:val="nil"/>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w:t>
            </w:r>
          </w:p>
        </w:tc>
        <w:tc>
          <w:tcPr>
            <w:tcW w:w="353" w:type="pct"/>
            <w:tcBorders>
              <w:top w:val="nil"/>
              <w:left w:val="nil"/>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套</w:t>
            </w:r>
          </w:p>
        </w:tc>
        <w:tc>
          <w:tcPr>
            <w:tcW w:w="353" w:type="pct"/>
            <w:tcBorders>
              <w:top w:val="nil"/>
              <w:left w:val="nil"/>
              <w:bottom w:val="single" w:color="auto" w:sz="8"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tcBorders>
              <w:top w:val="nil"/>
              <w:left w:val="nil"/>
              <w:bottom w:val="single" w:color="auto" w:sz="8"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新增</w:t>
            </w:r>
          </w:p>
        </w:tc>
      </w:tr>
    </w:tbl>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eastAsia="zh-CN"/>
        </w:rPr>
        <w:t>表</w:t>
      </w:r>
      <w:r>
        <w:rPr>
          <w:rFonts w:hint="eastAsia" w:ascii="Times New Roman" w:hAnsi="Times New Roman" w:eastAsia="宋体" w:cs="Times New Roman"/>
          <w:b/>
          <w:sz w:val="21"/>
          <w:szCs w:val="21"/>
          <w:lang w:val="en-US" w:eastAsia="zh-CN"/>
        </w:rPr>
        <w:t>3.</w:t>
      </w:r>
      <w:r>
        <w:rPr>
          <w:rFonts w:hint="eastAsia" w:cs="Times New Roman"/>
          <w:b/>
          <w:sz w:val="21"/>
          <w:szCs w:val="21"/>
          <w:lang w:val="en-US" w:eastAsia="zh-CN"/>
        </w:rPr>
        <w:t xml:space="preserve">2-12  </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rPr>
        <w:t>技改后通风设备一览表</w:t>
      </w:r>
    </w:p>
    <w:tbl>
      <w:tblPr>
        <w:tblStyle w:val="31"/>
        <w:tblW w:w="4997" w:type="pct"/>
        <w:jc w:val="center"/>
        <w:tblLayout w:type="autofit"/>
        <w:tblCellMar>
          <w:top w:w="0" w:type="dxa"/>
          <w:left w:w="108" w:type="dxa"/>
          <w:bottom w:w="0" w:type="dxa"/>
          <w:right w:w="108" w:type="dxa"/>
        </w:tblCellMar>
      </w:tblPr>
      <w:tblGrid>
        <w:gridCol w:w="565"/>
        <w:gridCol w:w="2015"/>
        <w:gridCol w:w="2145"/>
        <w:gridCol w:w="527"/>
        <w:gridCol w:w="527"/>
        <w:gridCol w:w="966"/>
        <w:gridCol w:w="966"/>
        <w:gridCol w:w="804"/>
      </w:tblGrid>
      <w:tr>
        <w:tblPrEx>
          <w:tblCellMar>
            <w:top w:w="0" w:type="dxa"/>
            <w:left w:w="108" w:type="dxa"/>
            <w:bottom w:w="0" w:type="dxa"/>
            <w:right w:w="108" w:type="dxa"/>
          </w:tblCellMar>
        </w:tblPrEx>
        <w:trPr>
          <w:trHeight w:val="495" w:hRule="atLeast"/>
          <w:jc w:val="center"/>
        </w:trPr>
        <w:tc>
          <w:tcPr>
            <w:tcW w:w="366" w:type="pct"/>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序号</w:t>
            </w:r>
          </w:p>
        </w:tc>
        <w:tc>
          <w:tcPr>
            <w:tcW w:w="1217"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设备名称</w:t>
            </w:r>
          </w:p>
        </w:tc>
        <w:tc>
          <w:tcPr>
            <w:tcW w:w="1293"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型号规格</w:t>
            </w:r>
          </w:p>
        </w:tc>
        <w:tc>
          <w:tcPr>
            <w:tcW w:w="344"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数量</w:t>
            </w:r>
          </w:p>
        </w:tc>
        <w:tc>
          <w:tcPr>
            <w:tcW w:w="344"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单位</w:t>
            </w:r>
          </w:p>
        </w:tc>
        <w:tc>
          <w:tcPr>
            <w:tcW w:w="463"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单机功率（kW）</w:t>
            </w:r>
          </w:p>
        </w:tc>
        <w:tc>
          <w:tcPr>
            <w:tcW w:w="463"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总功率（kW）</w:t>
            </w:r>
          </w:p>
        </w:tc>
        <w:tc>
          <w:tcPr>
            <w:tcW w:w="506" w:type="pct"/>
            <w:tcBorders>
              <w:top w:val="single" w:color="auto" w:sz="8" w:space="0"/>
              <w:left w:val="nil"/>
              <w:bottom w:val="single" w:color="auto" w:sz="4" w:space="0"/>
              <w:right w:val="single" w:color="auto" w:sz="8"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r>
      <w:tr>
        <w:tblPrEx>
          <w:tblCellMar>
            <w:top w:w="0" w:type="dxa"/>
            <w:left w:w="108" w:type="dxa"/>
            <w:bottom w:w="0" w:type="dxa"/>
            <w:right w:w="108" w:type="dxa"/>
          </w:tblCellMar>
        </w:tblPrEx>
        <w:trPr>
          <w:trHeight w:val="495" w:hRule="atLeast"/>
          <w:jc w:val="center"/>
        </w:trPr>
        <w:tc>
          <w:tcPr>
            <w:tcW w:w="366" w:type="pct"/>
            <w:tcBorders>
              <w:top w:val="nil"/>
              <w:left w:val="single" w:color="auto" w:sz="8"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217"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轴流风机</w:t>
            </w:r>
          </w:p>
        </w:tc>
        <w:tc>
          <w:tcPr>
            <w:tcW w:w="1293"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T35-11-8 N=1.5KW 风量20737m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重量90.87kg</w:t>
            </w:r>
          </w:p>
        </w:tc>
        <w:tc>
          <w:tcPr>
            <w:tcW w:w="3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w:t>
            </w:r>
          </w:p>
        </w:tc>
        <w:tc>
          <w:tcPr>
            <w:tcW w:w="344"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台</w:t>
            </w:r>
          </w:p>
        </w:tc>
        <w:tc>
          <w:tcPr>
            <w:tcW w:w="463"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463" w:type="pct"/>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w:t>
            </w:r>
          </w:p>
        </w:tc>
        <w:tc>
          <w:tcPr>
            <w:tcW w:w="506" w:type="pct"/>
            <w:tcBorders>
              <w:top w:val="nil"/>
              <w:left w:val="nil"/>
              <w:bottom w:val="single" w:color="auto" w:sz="4" w:space="0"/>
              <w:right w:val="single" w:color="auto" w:sz="8"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新增</w:t>
            </w:r>
          </w:p>
        </w:tc>
      </w:tr>
      <w:bookmarkEnd w:id="107"/>
    </w:tbl>
    <w:p>
      <w:pPr>
        <w:pStyle w:val="6"/>
        <w:numPr>
          <w:ilvl w:val="2"/>
          <w:numId w:val="15"/>
        </w:numPr>
        <w:tabs>
          <w:tab w:val="left" w:pos="1241"/>
        </w:tabs>
        <w:adjustRightInd w:val="0"/>
        <w:snapToGrid w:val="0"/>
        <w:spacing w:line="360" w:lineRule="auto"/>
        <w:ind w:left="0" w:firstLine="530" w:firstLineChars="200"/>
        <w:jc w:val="both"/>
      </w:pPr>
      <w:r>
        <w:rPr>
          <w:spacing w:val="-1"/>
          <w:w w:val="95"/>
        </w:rPr>
        <w:t>公用工程</w:t>
      </w:r>
    </w:p>
    <w:p>
      <w:pPr>
        <w:pStyle w:val="41"/>
        <w:numPr>
          <w:ilvl w:val="0"/>
          <w:numId w:val="0"/>
        </w:numPr>
        <w:tabs>
          <w:tab w:val="left" w:pos="1320"/>
        </w:tabs>
        <w:adjustRightInd w:val="0"/>
        <w:snapToGrid w:val="0"/>
        <w:spacing w:before="0" w:line="360" w:lineRule="auto"/>
        <w:ind w:leftChars="200"/>
        <w:jc w:val="both"/>
        <w:rPr>
          <w:b/>
          <w:bCs/>
          <w:sz w:val="24"/>
        </w:rPr>
      </w:pPr>
      <w:bookmarkStart w:id="108" w:name="3.1.5.1_给水工程"/>
      <w:bookmarkEnd w:id="108"/>
      <w:r>
        <w:rPr>
          <w:rFonts w:hint="eastAsia"/>
          <w:b/>
          <w:bCs/>
          <w:sz w:val="24"/>
          <w:lang w:val="en-US" w:eastAsia="zh-CN"/>
        </w:rPr>
        <w:t xml:space="preserve">3.2.5.1 </w:t>
      </w:r>
      <w:r>
        <w:rPr>
          <w:b/>
          <w:bCs/>
          <w:sz w:val="24"/>
        </w:rPr>
        <w:t>给水工程</w:t>
      </w:r>
    </w:p>
    <w:p>
      <w:pPr>
        <w:bidi w:val="0"/>
        <w:rPr>
          <w:color w:val="auto"/>
          <w:highlight w:val="none"/>
        </w:rPr>
      </w:pPr>
      <w:r>
        <w:rPr>
          <w:color w:val="auto"/>
          <w:highlight w:val="none"/>
        </w:rPr>
        <w:t>本项目给水由市政管网供给，能够满足新建锅炉房的生产、生活及消防用水需求。</w:t>
      </w:r>
    </w:p>
    <w:p>
      <w:pPr>
        <w:pStyle w:val="14"/>
        <w:adjustRightInd w:val="0"/>
        <w:snapToGrid w:val="0"/>
        <w:spacing w:line="360" w:lineRule="auto"/>
        <w:ind w:left="0" w:firstLine="480" w:firstLineChars="200"/>
        <w:jc w:val="both"/>
      </w:pPr>
      <w:r>
        <w:rPr>
          <w:color w:val="auto"/>
          <w:highlight w:val="none"/>
        </w:rPr>
        <w:t>项目给水包括锅炉用水、脱硫系统用水、</w:t>
      </w:r>
      <w:r>
        <w:rPr>
          <w:rFonts w:hint="eastAsia"/>
          <w:color w:val="auto"/>
          <w:highlight w:val="none"/>
          <w:lang w:eastAsia="zh-CN"/>
        </w:rPr>
        <w:t>脱硝系统用水</w:t>
      </w:r>
      <w:r>
        <w:rPr>
          <w:color w:val="auto"/>
          <w:highlight w:val="none"/>
        </w:rPr>
        <w:t>、循环冷却系统用水及生活用水</w:t>
      </w:r>
      <w:r>
        <w:rPr>
          <w:rFonts w:hint="eastAsia"/>
          <w:color w:val="auto"/>
          <w:highlight w:val="none"/>
        </w:rPr>
        <w:t>等</w:t>
      </w:r>
      <w:r>
        <w:rPr>
          <w:color w:val="auto"/>
          <w:highlight w:val="none"/>
        </w:rPr>
        <w:t>。</w:t>
      </w:r>
    </w:p>
    <w:p>
      <w:pPr>
        <w:pStyle w:val="41"/>
        <w:numPr>
          <w:ilvl w:val="0"/>
          <w:numId w:val="0"/>
        </w:numPr>
        <w:tabs>
          <w:tab w:val="left" w:pos="1320"/>
        </w:tabs>
        <w:adjustRightInd w:val="0"/>
        <w:snapToGrid w:val="0"/>
        <w:spacing w:before="0" w:line="360" w:lineRule="auto"/>
        <w:ind w:leftChars="200"/>
        <w:jc w:val="both"/>
        <w:rPr>
          <w:b/>
          <w:bCs/>
          <w:sz w:val="24"/>
        </w:rPr>
      </w:pPr>
      <w:bookmarkStart w:id="109" w:name="3.1.5.2_排水工程"/>
      <w:bookmarkEnd w:id="109"/>
      <w:r>
        <w:rPr>
          <w:rFonts w:hint="eastAsia"/>
          <w:b/>
          <w:bCs/>
          <w:sz w:val="24"/>
          <w:lang w:val="en-US" w:eastAsia="zh-CN"/>
        </w:rPr>
        <w:t xml:space="preserve">3.2.5.2 </w:t>
      </w:r>
      <w:r>
        <w:rPr>
          <w:b/>
          <w:bCs/>
          <w:sz w:val="24"/>
        </w:rPr>
        <w:t>排水工程</w:t>
      </w:r>
    </w:p>
    <w:p>
      <w:pPr>
        <w:bidi w:val="0"/>
        <w:rPr>
          <w:rFonts w:hint="eastAsia"/>
          <w:color w:val="auto"/>
          <w:highlight w:val="none"/>
          <w:lang w:eastAsia="zh-CN"/>
        </w:rPr>
      </w:pPr>
      <w:r>
        <w:rPr>
          <w:color w:val="auto"/>
          <w:highlight w:val="none"/>
        </w:rPr>
        <w:t>本项目废水主要生产废水</w:t>
      </w:r>
      <w:r>
        <w:rPr>
          <w:rFonts w:hint="eastAsia"/>
          <w:color w:val="auto"/>
          <w:highlight w:val="none"/>
          <w:lang w:eastAsia="zh-CN"/>
        </w:rPr>
        <w:t>和生活污水。</w:t>
      </w:r>
    </w:p>
    <w:p>
      <w:pPr>
        <w:bidi w:val="0"/>
      </w:pPr>
      <w:r>
        <w:rPr>
          <w:color w:val="auto"/>
          <w:highlight w:val="none"/>
        </w:rPr>
        <w:t>生产废水主要为锅炉排污水、锅炉房软水制备废水、</w:t>
      </w:r>
      <w:r>
        <w:rPr>
          <w:color w:val="auto"/>
          <w:sz w:val="24"/>
          <w:szCs w:val="24"/>
          <w:highlight w:val="none"/>
          <w:lang w:val="de-DE"/>
        </w:rPr>
        <w:t>循环冷却系统</w:t>
      </w:r>
      <w:r>
        <w:rPr>
          <w:rFonts w:hint="eastAsia"/>
          <w:color w:val="auto"/>
          <w:sz w:val="24"/>
          <w:szCs w:val="24"/>
          <w:highlight w:val="none"/>
          <w:lang w:val="de-DE"/>
        </w:rPr>
        <w:t>排污</w:t>
      </w:r>
      <w:r>
        <w:rPr>
          <w:rFonts w:hint="eastAsia"/>
          <w:color w:val="auto"/>
          <w:sz w:val="24"/>
          <w:szCs w:val="24"/>
          <w:highlight w:val="none"/>
          <w:lang w:val="de-DE" w:eastAsia="zh-CN"/>
        </w:rPr>
        <w:t>水</w:t>
      </w:r>
      <w:r>
        <w:rPr>
          <w:color w:val="auto"/>
          <w:highlight w:val="none"/>
        </w:rPr>
        <w:t>，</w:t>
      </w:r>
      <w:r>
        <w:rPr>
          <w:rFonts w:hint="eastAsia"/>
          <w:color w:val="auto"/>
          <w:highlight w:val="none"/>
          <w:lang w:eastAsia="zh-CN"/>
        </w:rPr>
        <w:t>生产废水</w:t>
      </w:r>
      <w:r>
        <w:rPr>
          <w:color w:val="auto"/>
          <w:highlight w:val="none"/>
        </w:rPr>
        <w:t>经沉淀后进入除渣系统，循环利用不外排。</w:t>
      </w:r>
      <w:r>
        <w:rPr>
          <w:color w:val="auto"/>
          <w:sz w:val="24"/>
          <w:highlight w:val="none"/>
        </w:rPr>
        <w:t>生活</w:t>
      </w:r>
      <w:r>
        <w:rPr>
          <w:rFonts w:hint="eastAsia"/>
          <w:color w:val="auto"/>
          <w:sz w:val="24"/>
          <w:highlight w:val="none"/>
          <w:lang w:eastAsia="zh-CN"/>
        </w:rPr>
        <w:t>污水排入市政下水管网，最终进入</w:t>
      </w:r>
      <w:r>
        <w:rPr>
          <w:rFonts w:hint="eastAsia"/>
          <w:color w:val="auto"/>
          <w:sz w:val="24"/>
          <w:highlight w:val="none"/>
          <w:lang w:val="en-US" w:eastAsia="zh-CN"/>
        </w:rPr>
        <w:t>额敏县污水处理厂。</w:t>
      </w:r>
    </w:p>
    <w:p>
      <w:pPr>
        <w:pStyle w:val="41"/>
        <w:numPr>
          <w:ilvl w:val="0"/>
          <w:numId w:val="0"/>
        </w:numPr>
        <w:tabs>
          <w:tab w:val="left" w:pos="1320"/>
        </w:tabs>
        <w:spacing w:before="0" w:line="360" w:lineRule="auto"/>
        <w:ind w:leftChars="200"/>
        <w:jc w:val="both"/>
        <w:rPr>
          <w:b/>
          <w:bCs/>
          <w:sz w:val="24"/>
        </w:rPr>
      </w:pPr>
      <w:bookmarkStart w:id="110" w:name="3.1.5.3_供电工程"/>
      <w:bookmarkEnd w:id="110"/>
      <w:r>
        <w:rPr>
          <w:rFonts w:hint="eastAsia"/>
          <w:b/>
          <w:bCs/>
          <w:sz w:val="24"/>
          <w:lang w:val="en-US" w:eastAsia="zh-CN"/>
        </w:rPr>
        <w:t xml:space="preserve">3.2.5.3 </w:t>
      </w:r>
      <w:r>
        <w:rPr>
          <w:b/>
          <w:bCs/>
          <w:sz w:val="24"/>
        </w:rPr>
        <w:t>供电工程</w:t>
      </w:r>
    </w:p>
    <w:p>
      <w:pPr>
        <w:pStyle w:val="14"/>
        <w:spacing w:line="360" w:lineRule="auto"/>
        <w:ind w:left="0" w:firstLine="460" w:firstLineChars="200"/>
        <w:jc w:val="both"/>
        <w:rPr>
          <w:rFonts w:hint="eastAsia"/>
          <w:spacing w:val="-5"/>
          <w:lang w:eastAsia="zh-CN"/>
        </w:rPr>
      </w:pPr>
      <w:r>
        <w:rPr>
          <w:spacing w:val="-5"/>
        </w:rPr>
        <w:t>项目区供电由</w:t>
      </w:r>
      <w:r>
        <w:rPr>
          <w:rFonts w:hint="eastAsia"/>
          <w:spacing w:val="-5"/>
          <w:lang w:eastAsia="zh-CN"/>
        </w:rPr>
        <w:t>市政电网供给，可以满足厂区用电。</w:t>
      </w:r>
    </w:p>
    <w:p>
      <w:pPr>
        <w:pStyle w:val="14"/>
        <w:spacing w:line="360" w:lineRule="auto"/>
        <w:ind w:left="0" w:firstLine="462" w:firstLineChars="200"/>
        <w:jc w:val="both"/>
        <w:rPr>
          <w:rFonts w:hint="default"/>
          <w:b/>
          <w:bCs/>
          <w:spacing w:val="-5"/>
          <w:lang w:val="en-US" w:eastAsia="zh-CN"/>
        </w:rPr>
      </w:pPr>
      <w:r>
        <w:rPr>
          <w:rFonts w:hint="eastAsia"/>
          <w:b/>
          <w:bCs/>
          <w:spacing w:val="-5"/>
          <w:lang w:val="en-US" w:eastAsia="zh-CN"/>
        </w:rPr>
        <w:t>3.2.5.4 在线监测</w:t>
      </w:r>
    </w:p>
    <w:p>
      <w:pPr>
        <w:widowControl/>
        <w:spacing w:line="360" w:lineRule="auto"/>
        <w:ind w:firstLine="420"/>
        <w:rPr>
          <w:color w:val="auto"/>
          <w:kern w:val="0"/>
          <w:sz w:val="24"/>
          <w:szCs w:val="24"/>
          <w:highlight w:val="none"/>
          <w:lang w:bidi="ar"/>
        </w:rPr>
      </w:pPr>
      <w:r>
        <w:rPr>
          <w:rFonts w:hint="eastAsia"/>
          <w:color w:val="auto"/>
          <w:kern w:val="0"/>
          <w:sz w:val="24"/>
          <w:szCs w:val="24"/>
          <w:highlight w:val="none"/>
          <w:lang w:bidi="ar"/>
        </w:rPr>
        <w:t>根据《污</w:t>
      </w:r>
      <w:r>
        <w:rPr>
          <w:color w:val="auto"/>
          <w:kern w:val="0"/>
          <w:sz w:val="24"/>
          <w:szCs w:val="24"/>
          <w:highlight w:val="none"/>
          <w:lang w:bidi="ar"/>
        </w:rPr>
        <w:t>染源自动监控管理办法》（国家环保总局令第28号），本项目</w:t>
      </w:r>
      <w:r>
        <w:rPr>
          <w:rFonts w:hint="eastAsia"/>
          <w:color w:val="auto"/>
          <w:kern w:val="0"/>
          <w:sz w:val="24"/>
          <w:szCs w:val="24"/>
          <w:highlight w:val="none"/>
          <w:lang w:bidi="ar"/>
        </w:rPr>
        <w:t>要求</w:t>
      </w:r>
      <w:r>
        <w:rPr>
          <w:color w:val="auto"/>
          <w:kern w:val="0"/>
          <w:sz w:val="24"/>
          <w:szCs w:val="24"/>
          <w:highlight w:val="none"/>
          <w:lang w:bidi="ar"/>
        </w:rPr>
        <w:t>在烟气总排口处需安装</w:t>
      </w:r>
      <w:r>
        <w:rPr>
          <w:rFonts w:hint="eastAsia"/>
          <w:color w:val="auto"/>
          <w:kern w:val="0"/>
          <w:sz w:val="24"/>
          <w:szCs w:val="24"/>
          <w:highlight w:val="none"/>
          <w:lang w:bidi="ar"/>
        </w:rPr>
        <w:t>1套</w:t>
      </w:r>
      <w:r>
        <w:rPr>
          <w:color w:val="auto"/>
          <w:kern w:val="0"/>
          <w:sz w:val="24"/>
          <w:szCs w:val="24"/>
          <w:highlight w:val="none"/>
          <w:lang w:bidi="ar"/>
        </w:rPr>
        <w:t>烟气连续在线监测系统。</w:t>
      </w:r>
    </w:p>
    <w:p>
      <w:pPr>
        <w:pStyle w:val="14"/>
        <w:spacing w:line="360" w:lineRule="auto"/>
        <w:ind w:left="0" w:firstLine="480" w:firstLineChars="200"/>
        <w:jc w:val="both"/>
        <w:rPr>
          <w:rFonts w:hint="eastAsia"/>
          <w:spacing w:val="-5"/>
          <w:lang w:eastAsia="zh-CN"/>
        </w:rPr>
      </w:pPr>
      <w:r>
        <w:rPr>
          <w:rFonts w:hint="eastAsia"/>
          <w:color w:val="auto"/>
          <w:kern w:val="0"/>
          <w:sz w:val="24"/>
          <w:szCs w:val="24"/>
          <w:highlight w:val="none"/>
          <w:lang w:bidi="ar"/>
        </w:rPr>
        <w:t>烟气连续监测符合《固定污染源烟气（SO</w:t>
      </w:r>
      <w:r>
        <w:rPr>
          <w:rFonts w:hint="eastAsia"/>
          <w:color w:val="auto"/>
          <w:kern w:val="0"/>
          <w:sz w:val="24"/>
          <w:szCs w:val="24"/>
          <w:highlight w:val="none"/>
          <w:vertAlign w:val="subscript"/>
          <w:lang w:bidi="ar"/>
        </w:rPr>
        <w:t>2</w:t>
      </w:r>
      <w:r>
        <w:rPr>
          <w:rFonts w:hint="eastAsia"/>
          <w:color w:val="auto"/>
          <w:kern w:val="0"/>
          <w:sz w:val="24"/>
          <w:szCs w:val="24"/>
          <w:highlight w:val="none"/>
          <w:lang w:bidi="ar"/>
        </w:rPr>
        <w:t>、NO</w:t>
      </w:r>
      <w:r>
        <w:rPr>
          <w:rFonts w:hint="eastAsia"/>
          <w:color w:val="auto"/>
          <w:kern w:val="0"/>
          <w:sz w:val="24"/>
          <w:szCs w:val="24"/>
          <w:highlight w:val="none"/>
          <w:vertAlign w:val="subscript"/>
          <w:lang w:val="en-US" w:eastAsia="zh-CN" w:bidi="ar"/>
        </w:rPr>
        <w:t>X</w:t>
      </w:r>
      <w:r>
        <w:rPr>
          <w:rFonts w:hint="eastAsia"/>
          <w:color w:val="auto"/>
          <w:kern w:val="0"/>
          <w:sz w:val="24"/>
          <w:szCs w:val="24"/>
          <w:highlight w:val="none"/>
          <w:lang w:bidi="ar"/>
        </w:rPr>
        <w:t>、颗粒物）排放连续监测技术规范》（HJ75-2017）和《固定污染源烟气排放连续监测系统技术要求及检测方法（试行）》（HJ76-2017）。</w:t>
      </w:r>
      <w:r>
        <w:rPr>
          <w:color w:val="auto"/>
          <w:kern w:val="0"/>
          <w:sz w:val="24"/>
          <w:szCs w:val="24"/>
          <w:highlight w:val="none"/>
          <w:lang w:bidi="ar"/>
        </w:rPr>
        <w:t>主要监测因子包括：颗粒物、SO</w:t>
      </w:r>
      <w:r>
        <w:rPr>
          <w:color w:val="auto"/>
          <w:kern w:val="0"/>
          <w:sz w:val="24"/>
          <w:szCs w:val="24"/>
          <w:highlight w:val="none"/>
          <w:vertAlign w:val="subscript"/>
          <w:lang w:bidi="ar"/>
        </w:rPr>
        <w:t>2</w:t>
      </w:r>
      <w:r>
        <w:rPr>
          <w:color w:val="auto"/>
          <w:kern w:val="0"/>
          <w:sz w:val="24"/>
          <w:szCs w:val="24"/>
          <w:highlight w:val="none"/>
          <w:lang w:bidi="ar"/>
        </w:rPr>
        <w:t>、NO</w:t>
      </w:r>
      <w:r>
        <w:rPr>
          <w:rFonts w:hint="eastAsia"/>
          <w:color w:val="auto"/>
          <w:kern w:val="0"/>
          <w:sz w:val="24"/>
          <w:szCs w:val="24"/>
          <w:highlight w:val="none"/>
          <w:vertAlign w:val="subscript"/>
          <w:lang w:val="en-US" w:eastAsia="zh-CN" w:bidi="ar"/>
        </w:rPr>
        <w:t>X</w:t>
      </w:r>
      <w:r>
        <w:rPr>
          <w:color w:val="auto"/>
          <w:kern w:val="0"/>
          <w:sz w:val="24"/>
          <w:szCs w:val="24"/>
          <w:highlight w:val="none"/>
          <w:lang w:bidi="ar"/>
        </w:rPr>
        <w:t>的排放浓度、排放速率，烟气流量，烟气温度、</w:t>
      </w:r>
      <w:r>
        <w:rPr>
          <w:rFonts w:hint="eastAsia"/>
          <w:color w:val="auto"/>
          <w:kern w:val="0"/>
          <w:sz w:val="24"/>
          <w:szCs w:val="24"/>
          <w:highlight w:val="none"/>
          <w:lang w:eastAsia="zh-CN" w:bidi="ar"/>
        </w:rPr>
        <w:t>烟气湿度、氧含量</w:t>
      </w:r>
      <w:r>
        <w:rPr>
          <w:color w:val="auto"/>
          <w:kern w:val="0"/>
          <w:sz w:val="24"/>
          <w:szCs w:val="24"/>
          <w:highlight w:val="none"/>
          <w:lang w:bidi="ar"/>
        </w:rPr>
        <w:t>等。</w:t>
      </w:r>
    </w:p>
    <w:p>
      <w:pPr>
        <w:pStyle w:val="6"/>
        <w:numPr>
          <w:ilvl w:val="2"/>
          <w:numId w:val="15"/>
        </w:numPr>
        <w:tabs>
          <w:tab w:val="left" w:pos="1241"/>
        </w:tabs>
        <w:adjustRightInd w:val="0"/>
        <w:snapToGrid w:val="0"/>
        <w:spacing w:line="360" w:lineRule="auto"/>
        <w:ind w:left="0" w:firstLine="530" w:firstLineChars="200"/>
        <w:jc w:val="both"/>
        <w:rPr>
          <w:spacing w:val="-1"/>
          <w:w w:val="95"/>
        </w:rPr>
      </w:pPr>
      <w:bookmarkStart w:id="111" w:name="3.1.5.4_供暖工程"/>
      <w:bookmarkEnd w:id="111"/>
      <w:bookmarkStart w:id="112" w:name="3.1.5.6_通风降温"/>
      <w:bookmarkEnd w:id="112"/>
      <w:bookmarkStart w:id="113" w:name="3.1.6_主要原辅材料及能耗"/>
      <w:bookmarkEnd w:id="113"/>
      <w:bookmarkStart w:id="114" w:name="3.1.7_生产工艺流程"/>
      <w:bookmarkEnd w:id="114"/>
      <w:r>
        <w:rPr>
          <w:spacing w:val="-1"/>
          <w:w w:val="95"/>
        </w:rPr>
        <w:t>生产工艺流程</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pacing w:val="-8"/>
        </w:rPr>
      </w:pPr>
      <w:bookmarkStart w:id="115" w:name="3.1.7.1_饲料加工流程简述"/>
      <w:bookmarkEnd w:id="115"/>
      <w:bookmarkStart w:id="116" w:name="_Hlk133259365"/>
      <w:r>
        <w:rPr>
          <w:rFonts w:hint="default" w:ascii="Times New Roman" w:hAnsi="Times New Roman" w:eastAsia="宋体" w:cs="Times New Roman"/>
          <w:kern w:val="0"/>
          <w:szCs w:val="21"/>
        </w:rPr>
        <w:t>在厂区内现有动力车间东面的预留扩建位置新建1×90t/h中温中压循环流化床锅炉</w:t>
      </w:r>
      <w:bookmarkEnd w:id="116"/>
      <w:r>
        <w:rPr>
          <w:rFonts w:hint="default" w:ascii="Times New Roman" w:hAnsi="Times New Roman" w:eastAsia="宋体" w:cs="Times New Roman"/>
          <w:kern w:val="0"/>
          <w:szCs w:val="21"/>
        </w:rPr>
        <w:t>。所产蒸汽全部进入汽轮机做功后在进入制糖工艺生产用汽点</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rPr>
        <w:t>依据糖厂历年统计报表，糖厂正常生产用电量为4460kW.h，正常生产用汽负荷为80t/h（其中制糖生产耗汽75t/h，动力车间自用汽5t/h）；极端寒冷天气生产用电量为4800kW.h，极端寒冷天气生产用汽负荷为85t/h。</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auto"/>
        <w:rPr>
          <w:rFonts w:hint="default" w:ascii="Times New Roman" w:hAnsi="Times New Roman" w:eastAsia="宋体" w:cs="Times New Roman"/>
          <w:kern w:val="0"/>
          <w:szCs w:val="20"/>
        </w:rPr>
      </w:pPr>
      <w:r>
        <w:rPr>
          <w:rFonts w:hint="default" w:ascii="Times New Roman" w:hAnsi="Times New Roman" w:eastAsia="宋体" w:cs="Times New Roman"/>
          <w:kern w:val="0"/>
          <w:szCs w:val="20"/>
        </w:rPr>
        <w:t>本项目</w:t>
      </w:r>
      <w:r>
        <w:rPr>
          <w:rFonts w:hint="default" w:ascii="Times New Roman" w:hAnsi="Times New Roman" w:eastAsia="宋体" w:cs="Times New Roman"/>
          <w:kern w:val="0"/>
          <w:szCs w:val="21"/>
        </w:rPr>
        <w:t>锅炉上煤系在现有输煤系统基础上增加1条3#上煤皮带机（TD75 单机功率11kW）</w:t>
      </w:r>
      <w:r>
        <w:rPr>
          <w:rFonts w:hint="eastAsia" w:ascii="Times New Roman" w:hAnsi="Times New Roman" w:eastAsia="宋体" w:cs="Times New Roman"/>
          <w:kern w:val="0"/>
          <w:szCs w:val="21"/>
          <w:lang w:eastAsia="zh-CN"/>
        </w:rPr>
        <w:t>，</w:t>
      </w:r>
      <w:r>
        <w:rPr>
          <w:rFonts w:hint="default" w:ascii="Times New Roman" w:hAnsi="Times New Roman" w:eastAsia="宋体" w:cs="Times New Roman"/>
          <w:kern w:val="0"/>
          <w:szCs w:val="21"/>
        </w:rPr>
        <w:t>可以满足更新后的使用要求，其他</w:t>
      </w:r>
      <w:r>
        <w:rPr>
          <w:rFonts w:hint="default" w:ascii="Times New Roman" w:hAnsi="Times New Roman" w:eastAsia="宋体" w:cs="Times New Roman"/>
          <w:kern w:val="0"/>
          <w:szCs w:val="20"/>
        </w:rPr>
        <w:t>输煤系统不变。汽车来煤卸至煤场后，由推土机将煤推至地下受煤斗，再由电磁振动给料机送到皮带上，经1号带式输送机直接落到2号带式输送机上，再由2号带式输送机送至主厂房煤仓间3号带式输送机上，再由犁式卸料器分到原煤斗中，系统最大出力Q=200t/h，本期每天按3班运行。</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auto"/>
        <w:rPr>
          <w:rFonts w:eastAsia="仿宋_GB2312"/>
          <w:kern w:val="0"/>
          <w:szCs w:val="20"/>
        </w:rPr>
      </w:pPr>
      <w:r>
        <w:rPr>
          <w:rFonts w:hint="default" w:ascii="Times New Roman" w:hAnsi="Times New Roman" w:eastAsia="宋体" w:cs="Times New Roman"/>
          <w:kern w:val="0"/>
          <w:szCs w:val="20"/>
        </w:rPr>
        <w:t>锅炉配一个钢制原煤仓，每个原煤仓下设落煤口与螺旋给煤机相连。两个原煤仓可储存近8-10小时燃煤量，满足规范要求。</w:t>
      </w:r>
    </w:p>
    <w:p>
      <w:pPr>
        <w:pStyle w:val="41"/>
        <w:numPr>
          <w:ilvl w:val="0"/>
          <w:numId w:val="0"/>
        </w:numPr>
        <w:tabs>
          <w:tab w:val="left" w:pos="1621"/>
        </w:tabs>
        <w:spacing w:before="0" w:line="360" w:lineRule="auto"/>
        <w:ind w:leftChars="200"/>
        <w:jc w:val="both"/>
        <w:rPr>
          <w:rFonts w:hint="eastAsia" w:eastAsia="宋体"/>
          <w:sz w:val="24"/>
          <w:szCs w:val="24"/>
          <w:lang w:eastAsia="zh-CN"/>
        </w:rPr>
      </w:pPr>
      <w:r>
        <w:rPr>
          <w:rFonts w:hint="eastAsia" w:eastAsia="宋体"/>
          <w:sz w:val="24"/>
          <w:szCs w:val="24"/>
          <w:lang w:eastAsia="zh-CN"/>
        </w:rPr>
        <w:drawing>
          <wp:inline distT="0" distB="0" distL="114300" distR="114300">
            <wp:extent cx="5270500" cy="2751455"/>
            <wp:effectExtent l="0" t="0" r="6350" b="10795"/>
            <wp:docPr id="8" name="图片 8" descr="微信图片_2024011819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118193725"/>
                    <pic:cNvPicPr>
                      <a:picLocks noChangeAspect="1"/>
                    </pic:cNvPicPr>
                  </pic:nvPicPr>
                  <pic:blipFill>
                    <a:blip r:embed="rId34"/>
                    <a:stretch>
                      <a:fillRect/>
                    </a:stretch>
                  </pic:blipFill>
                  <pic:spPr>
                    <a:xfrm>
                      <a:off x="0" y="0"/>
                      <a:ext cx="5270500" cy="2751455"/>
                    </a:xfrm>
                    <a:prstGeom prst="rect">
                      <a:avLst/>
                    </a:prstGeom>
                  </pic:spPr>
                </pic:pic>
              </a:graphicData>
            </a:graphic>
          </wp:inline>
        </w:drawing>
      </w:r>
    </w:p>
    <w:p>
      <w:pPr>
        <w:pStyle w:val="41"/>
        <w:numPr>
          <w:ilvl w:val="0"/>
          <w:numId w:val="0"/>
        </w:numPr>
        <w:tabs>
          <w:tab w:val="left" w:pos="1621"/>
        </w:tabs>
        <w:spacing w:before="0" w:line="360" w:lineRule="auto"/>
        <w:ind w:leftChars="200"/>
        <w:jc w:val="center"/>
        <w:rPr>
          <w:rFonts w:hint="default" w:eastAsia="宋体"/>
          <w:b/>
          <w:bCs/>
          <w:sz w:val="24"/>
          <w:szCs w:val="24"/>
          <w:lang w:val="en-US" w:eastAsia="zh-CN"/>
        </w:rPr>
      </w:pPr>
      <w:r>
        <w:rPr>
          <w:rFonts w:hint="eastAsia"/>
          <w:b/>
          <w:bCs/>
          <w:sz w:val="24"/>
          <w:szCs w:val="24"/>
          <w:lang w:eastAsia="zh-CN"/>
        </w:rPr>
        <w:t>图</w:t>
      </w:r>
      <w:r>
        <w:rPr>
          <w:rFonts w:hint="eastAsia"/>
          <w:b/>
          <w:bCs/>
          <w:sz w:val="24"/>
          <w:szCs w:val="24"/>
          <w:lang w:val="en-US" w:eastAsia="zh-CN"/>
        </w:rPr>
        <w:t>3.2-1 工艺流程示意图</w:t>
      </w:r>
    </w:p>
    <w:p>
      <w:pPr>
        <w:pStyle w:val="41"/>
        <w:numPr>
          <w:ilvl w:val="0"/>
          <w:numId w:val="0"/>
        </w:numPr>
        <w:tabs>
          <w:tab w:val="left" w:pos="1621"/>
        </w:tabs>
        <w:spacing w:before="0" w:line="360" w:lineRule="auto"/>
        <w:ind w:leftChars="200"/>
        <w:jc w:val="both"/>
        <w:rPr>
          <w:rFonts w:hint="default" w:eastAsia="宋体"/>
          <w:b/>
          <w:bCs/>
          <w:sz w:val="24"/>
          <w:szCs w:val="24"/>
          <w:lang w:val="en-US" w:eastAsia="zh-CN"/>
        </w:rPr>
      </w:pPr>
      <w:r>
        <w:rPr>
          <w:rFonts w:hint="eastAsia"/>
          <w:b/>
          <w:bCs/>
          <w:sz w:val="24"/>
          <w:szCs w:val="24"/>
          <w:lang w:val="en-US" w:eastAsia="zh-CN"/>
        </w:rPr>
        <w:t>3.2.6.1 脱硫系统</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00B050"/>
          <w:kern w:val="0"/>
          <w:szCs w:val="20"/>
        </w:rPr>
      </w:pPr>
      <w:r>
        <w:rPr>
          <w:rFonts w:hint="eastAsia" w:cs="Times New Roman"/>
          <w:color w:val="00B050"/>
          <w:kern w:val="0"/>
          <w:szCs w:val="20"/>
          <w:lang w:eastAsia="zh-CN"/>
        </w:rPr>
        <w:t>本项目采用石灰石膏法脱硫工艺，</w:t>
      </w:r>
      <w:r>
        <w:rPr>
          <w:rFonts w:hint="default" w:ascii="Times New Roman" w:hAnsi="Times New Roman" w:eastAsia="宋体" w:cs="Times New Roman"/>
          <w:color w:val="00B050"/>
          <w:kern w:val="0"/>
          <w:szCs w:val="20"/>
        </w:rPr>
        <w:t>主要包括吸收剂制备系统、烟气系统、吸收反应系统、石膏脱水系统、废水处理系统、工艺水系统、电气系统和控制系统等，其中烟气系统和吸收反应系统是脱硫工程的核心。</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00B050"/>
          <w:kern w:val="0"/>
          <w:szCs w:val="20"/>
        </w:rPr>
      </w:pPr>
      <w:r>
        <w:rPr>
          <w:rFonts w:hint="default" w:ascii="Times New Roman" w:hAnsi="Times New Roman" w:eastAsia="宋体" w:cs="Times New Roman"/>
          <w:color w:val="00B050"/>
          <w:kern w:val="0"/>
          <w:szCs w:val="20"/>
        </w:rPr>
        <w:t>该法是以石灰石为脱硫吸收剂，通过向吸收塔内喷入吸收剂浆液，使之与烟气充分接触、混合，并对烟气进行洗涤，使得烟气中的 SO</w:t>
      </w:r>
      <w:r>
        <w:rPr>
          <w:rFonts w:hint="default" w:ascii="Times New Roman" w:hAnsi="Times New Roman" w:eastAsia="宋体" w:cs="Times New Roman"/>
          <w:color w:val="00B050"/>
          <w:kern w:val="0"/>
          <w:szCs w:val="20"/>
          <w:vertAlign w:val="subscript"/>
        </w:rPr>
        <w:t>2</w:t>
      </w:r>
      <w:r>
        <w:rPr>
          <w:rFonts w:hint="default" w:ascii="Times New Roman" w:hAnsi="Times New Roman" w:eastAsia="宋体" w:cs="Times New Roman"/>
          <w:color w:val="00B050"/>
          <w:kern w:val="0"/>
          <w:szCs w:val="20"/>
        </w:rPr>
        <w:t xml:space="preserve"> 与浆液中的碳酸钙以及鼓入的强制氧化空气发生化学反应，最后生成石膏，从而达到脱除 SO</w:t>
      </w:r>
      <w:r>
        <w:rPr>
          <w:rFonts w:hint="default" w:ascii="Times New Roman" w:hAnsi="Times New Roman" w:eastAsia="宋体" w:cs="Times New Roman"/>
          <w:color w:val="00B050"/>
          <w:kern w:val="0"/>
          <w:szCs w:val="20"/>
          <w:vertAlign w:val="subscript"/>
        </w:rPr>
        <w:t>2</w:t>
      </w:r>
      <w:r>
        <w:rPr>
          <w:rFonts w:hint="default" w:ascii="Times New Roman" w:hAnsi="Times New Roman" w:eastAsia="宋体" w:cs="Times New Roman"/>
          <w:color w:val="00B050"/>
          <w:kern w:val="0"/>
          <w:szCs w:val="20"/>
        </w:rPr>
        <w:t xml:space="preserve"> 的目的。</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00B050"/>
          <w:kern w:val="0"/>
          <w:szCs w:val="20"/>
        </w:rPr>
      </w:pPr>
      <w:r>
        <w:rPr>
          <w:rFonts w:hint="default" w:ascii="Times New Roman" w:hAnsi="Times New Roman" w:eastAsia="宋体" w:cs="Times New Roman"/>
          <w:color w:val="00B050"/>
          <w:kern w:val="0"/>
          <w:szCs w:val="20"/>
        </w:rPr>
        <w:t>该工艺具有脱硫率高、运行可靠性高、吸收剂利用率高、能适应大容量机组和高浓度 SO</w:t>
      </w:r>
      <w:r>
        <w:rPr>
          <w:rFonts w:hint="default" w:ascii="Times New Roman" w:hAnsi="Times New Roman" w:eastAsia="宋体" w:cs="Times New Roman"/>
          <w:color w:val="00B050"/>
          <w:kern w:val="0"/>
          <w:szCs w:val="20"/>
          <w:vertAlign w:val="subscript"/>
        </w:rPr>
        <w:t>2</w:t>
      </w:r>
      <w:r>
        <w:rPr>
          <w:rFonts w:hint="default" w:ascii="Times New Roman" w:hAnsi="Times New Roman" w:eastAsia="宋体" w:cs="Times New Roman"/>
          <w:color w:val="00B050"/>
          <w:kern w:val="0"/>
          <w:szCs w:val="20"/>
        </w:rPr>
        <w:t xml:space="preserve"> 烟气条件、副产品具有综合利用的商业价值等特点。</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textAlignment w:val="auto"/>
        <w:rPr>
          <w:rFonts w:eastAsia="仿宋_GB2312"/>
          <w:kern w:val="0"/>
          <w:szCs w:val="20"/>
        </w:rPr>
      </w:pPr>
      <w:r>
        <w:rPr>
          <w:rFonts w:hint="default" w:ascii="Times New Roman" w:hAnsi="Times New Roman" w:eastAsia="宋体" w:cs="Times New Roman"/>
          <w:kern w:val="0"/>
          <w:szCs w:val="20"/>
        </w:rPr>
        <w:t>工艺流程如下图：</w:t>
      </w:r>
    </w:p>
    <w:p>
      <w:pPr>
        <w:pStyle w:val="15"/>
        <w:spacing w:after="0" w:line="288" w:lineRule="auto"/>
        <w:ind w:left="0" w:leftChars="0" w:firstLine="480" w:firstLineChars="200"/>
        <w:rPr>
          <w:rFonts w:eastAsia="仿宋_GB2312"/>
          <w:kern w:val="0"/>
          <w:szCs w:val="20"/>
        </w:rPr>
      </w:pPr>
      <w:r>
        <w:rPr>
          <w:rFonts w:hint="default" w:ascii="Times New Roman" w:hAnsi="Times New Roman" w:eastAsia="宋体" w:cs="Times New Roman"/>
          <w:kern w:val="0"/>
          <w:szCs w:val="20"/>
        </w:rPr>
        <w:drawing>
          <wp:anchor distT="0" distB="0" distL="114300" distR="114300" simplePos="0" relativeHeight="251693056" behindDoc="1" locked="0" layoutInCell="1" allowOverlap="1">
            <wp:simplePos x="0" y="0"/>
            <wp:positionH relativeFrom="page">
              <wp:posOffset>1139825</wp:posOffset>
            </wp:positionH>
            <wp:positionV relativeFrom="paragraph">
              <wp:posOffset>43815</wp:posOffset>
            </wp:positionV>
            <wp:extent cx="5327015" cy="3599815"/>
            <wp:effectExtent l="0" t="0" r="6985" b="635"/>
            <wp:wrapNone/>
            <wp:docPr id="1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a:picLocks noChangeAspect="1"/>
                    </pic:cNvPicPr>
                  </pic:nvPicPr>
                  <pic:blipFill>
                    <a:blip r:embed="rId35"/>
                    <a:stretch>
                      <a:fillRect/>
                    </a:stretch>
                  </pic:blipFill>
                  <pic:spPr>
                    <a:xfrm>
                      <a:off x="0" y="0"/>
                      <a:ext cx="5327015" cy="3599815"/>
                    </a:xfrm>
                    <a:prstGeom prst="rect">
                      <a:avLst/>
                    </a:prstGeom>
                    <a:noFill/>
                    <a:ln>
                      <a:noFill/>
                    </a:ln>
                  </pic:spPr>
                </pic:pic>
              </a:graphicData>
            </a:graphic>
          </wp:anchor>
        </w:drawing>
      </w: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80" w:firstLineChars="200"/>
        <w:rPr>
          <w:rFonts w:eastAsia="仿宋_GB2312"/>
          <w:kern w:val="0"/>
          <w:szCs w:val="20"/>
        </w:rPr>
      </w:pPr>
    </w:p>
    <w:p>
      <w:pPr>
        <w:pStyle w:val="15"/>
        <w:spacing w:after="0" w:line="288" w:lineRule="auto"/>
        <w:ind w:left="0" w:leftChars="0" w:firstLine="422" w:firstLineChars="20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val="en-US" w:eastAsia="zh-CN"/>
        </w:rPr>
        <w:t xml:space="preserve">图3.2-2  </w:t>
      </w:r>
      <w:r>
        <w:rPr>
          <w:rFonts w:hint="default" w:ascii="Times New Roman" w:hAnsi="Times New Roman" w:eastAsia="宋体" w:cs="Times New Roman"/>
          <w:b/>
          <w:bCs/>
          <w:sz w:val="21"/>
          <w:szCs w:val="21"/>
        </w:rPr>
        <w:t>脱硫工艺流程图</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00B050"/>
          <w:lang w:eastAsia="zh-CN"/>
        </w:rPr>
      </w:pPr>
      <w:r>
        <w:rPr>
          <w:rFonts w:ascii="Times New Roman" w:hAnsi="Times New Roman" w:cs="Times New Roman"/>
          <w:color w:val="00B050"/>
          <w:sz w:val="24"/>
          <w:szCs w:val="24"/>
          <w:highlight w:val="none"/>
        </w:rPr>
        <w:t>综上所述</w:t>
      </w:r>
      <w:r>
        <w:rPr>
          <w:rFonts w:hint="eastAsia" w:cs="Times New Roman"/>
          <w:color w:val="00B050"/>
          <w:sz w:val="24"/>
          <w:szCs w:val="24"/>
          <w:highlight w:val="none"/>
          <w:lang w:eastAsia="zh-CN"/>
        </w:rPr>
        <w:t>石灰石膏法</w:t>
      </w:r>
      <w:r>
        <w:rPr>
          <w:rFonts w:ascii="Times New Roman" w:hAnsi="Times New Roman" w:cs="Times New Roman"/>
          <w:color w:val="00B050"/>
          <w:sz w:val="24"/>
          <w:szCs w:val="24"/>
          <w:highlight w:val="none"/>
        </w:rPr>
        <w:t>是一种技术成熟可靠的脱硫方法，</w:t>
      </w:r>
      <w:r>
        <w:rPr>
          <w:rFonts w:hint="eastAsia" w:ascii="Times New Roman" w:hAnsi="Times New Roman" w:cs="Times New Roman"/>
          <w:color w:val="00B050"/>
          <w:sz w:val="24"/>
          <w:szCs w:val="24"/>
          <w:highlight w:val="none"/>
          <w:lang w:eastAsia="zh-CN"/>
        </w:rPr>
        <w:t>并且在</w:t>
      </w:r>
      <w:r>
        <w:rPr>
          <w:rFonts w:ascii="Times New Roman" w:hAnsi="Times New Roman" w:cs="Times New Roman"/>
          <w:color w:val="00B050"/>
          <w:sz w:val="24"/>
          <w:szCs w:val="24"/>
          <w:highlight w:val="none"/>
        </w:rPr>
        <w:t>喷淋过程中，还具有很好的除尘效果，除尘效率可以达到</w:t>
      </w:r>
      <w:r>
        <w:rPr>
          <w:rFonts w:hint="eastAsia" w:cs="Times New Roman"/>
          <w:color w:val="00B050"/>
          <w:sz w:val="24"/>
          <w:szCs w:val="24"/>
          <w:highlight w:val="none"/>
          <w:lang w:val="en-US" w:eastAsia="zh-CN"/>
        </w:rPr>
        <w:t>50</w:t>
      </w:r>
      <w:r>
        <w:rPr>
          <w:rFonts w:ascii="Times New Roman" w:hAnsi="Times New Roman" w:cs="Times New Roman"/>
          <w:color w:val="00B050"/>
          <w:sz w:val="24"/>
          <w:szCs w:val="24"/>
          <w:highlight w:val="none"/>
        </w:rPr>
        <w:t>%，脱硫效率可以达到</w:t>
      </w:r>
      <w:r>
        <w:rPr>
          <w:rFonts w:hint="eastAsia" w:cs="Times New Roman"/>
          <w:color w:val="00B050"/>
          <w:sz w:val="24"/>
          <w:szCs w:val="24"/>
          <w:highlight w:val="none"/>
          <w:lang w:val="en-US" w:eastAsia="zh-CN"/>
        </w:rPr>
        <w:t>90</w:t>
      </w:r>
      <w:r>
        <w:rPr>
          <w:rFonts w:ascii="Times New Roman" w:hAnsi="Times New Roman" w:cs="Times New Roman"/>
          <w:color w:val="00B050"/>
          <w:sz w:val="24"/>
          <w:szCs w:val="24"/>
          <w:highlight w:val="none"/>
        </w:rPr>
        <w:t>%</w:t>
      </w:r>
      <w:r>
        <w:rPr>
          <w:rFonts w:hint="eastAsia" w:ascii="Times New Roman" w:hAnsi="Times New Roman" w:cs="Times New Roman"/>
          <w:color w:val="00B050"/>
          <w:sz w:val="24"/>
          <w:szCs w:val="24"/>
          <w:highlight w:val="none"/>
          <w:lang w:eastAsia="zh-CN"/>
        </w:rPr>
        <w:t>以上</w:t>
      </w:r>
      <w:r>
        <w:rPr>
          <w:rFonts w:ascii="Times New Roman" w:hAnsi="Times New Roman" w:cs="Times New Roman"/>
          <w:color w:val="00B050"/>
          <w:sz w:val="24"/>
          <w:szCs w:val="24"/>
          <w:highlight w:val="none"/>
        </w:rPr>
        <w:t>，具有较好的经济技术可行性。</w:t>
      </w:r>
      <w:r>
        <w:rPr>
          <w:rFonts w:hint="eastAsia" w:ascii="Times New Roman" w:hAnsi="Times New Roman" w:cs="Times New Roman"/>
          <w:color w:val="00B050"/>
          <w:sz w:val="24"/>
          <w:szCs w:val="24"/>
          <w:highlight w:val="none"/>
          <w:lang w:eastAsia="zh-CN"/>
        </w:rPr>
        <w:t>本项目脱硫效率按</w:t>
      </w:r>
      <w:r>
        <w:rPr>
          <w:rFonts w:hint="eastAsia" w:cs="Times New Roman"/>
          <w:color w:val="00B050"/>
          <w:sz w:val="24"/>
          <w:szCs w:val="24"/>
          <w:highlight w:val="none"/>
          <w:lang w:val="en-US" w:eastAsia="zh-CN"/>
        </w:rPr>
        <w:t>85</w:t>
      </w:r>
      <w:r>
        <w:rPr>
          <w:rFonts w:hint="eastAsia" w:ascii="Times New Roman" w:hAnsi="Times New Roman" w:cs="Times New Roman"/>
          <w:color w:val="00B050"/>
          <w:sz w:val="24"/>
          <w:szCs w:val="24"/>
          <w:highlight w:val="none"/>
          <w:lang w:val="en-US" w:eastAsia="zh-CN"/>
        </w:rPr>
        <w:t>%计。</w:t>
      </w:r>
    </w:p>
    <w:p>
      <w:pPr>
        <w:pStyle w:val="41"/>
        <w:numPr>
          <w:ilvl w:val="0"/>
          <w:numId w:val="0"/>
        </w:numPr>
        <w:tabs>
          <w:tab w:val="left" w:pos="1621"/>
        </w:tabs>
        <w:spacing w:before="0" w:line="360" w:lineRule="auto"/>
        <w:ind w:leftChars="200"/>
        <w:jc w:val="both"/>
        <w:rPr>
          <w:rFonts w:hint="default" w:eastAsia="宋体"/>
          <w:b/>
          <w:bCs/>
          <w:sz w:val="24"/>
          <w:szCs w:val="24"/>
          <w:lang w:val="en-US" w:eastAsia="zh-CN"/>
        </w:rPr>
      </w:pPr>
      <w:r>
        <w:rPr>
          <w:rFonts w:hint="eastAsia"/>
          <w:b/>
          <w:bCs/>
          <w:sz w:val="24"/>
          <w:szCs w:val="24"/>
          <w:lang w:val="en-US" w:eastAsia="zh-CN"/>
        </w:rPr>
        <w:t>3.2.6.2 脱硝系统</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szCs w:val="24"/>
          <w:highlight w:val="none"/>
        </w:rPr>
        <w:t>根据</w:t>
      </w:r>
      <w:r>
        <w:rPr>
          <w:rFonts w:hint="eastAsia"/>
          <w:color w:val="auto"/>
          <w:sz w:val="24"/>
          <w:szCs w:val="24"/>
          <w:highlight w:val="none"/>
          <w:lang w:eastAsia="zh-CN"/>
        </w:rPr>
        <w:t>《</w:t>
      </w:r>
      <w:r>
        <w:rPr>
          <w:rFonts w:hint="eastAsia"/>
          <w:color w:val="auto"/>
          <w:sz w:val="24"/>
          <w:szCs w:val="24"/>
          <w:highlight w:val="none"/>
          <w:lang w:val="en-US" w:eastAsia="zh-CN"/>
        </w:rPr>
        <w:t>污染源源强核实技术指南 锅炉</w:t>
      </w:r>
      <w:r>
        <w:rPr>
          <w:rFonts w:hint="eastAsia"/>
          <w:color w:val="auto"/>
          <w:sz w:val="24"/>
          <w:szCs w:val="24"/>
          <w:highlight w:val="none"/>
          <w:lang w:eastAsia="zh-CN"/>
        </w:rPr>
        <w:t>》（</w:t>
      </w:r>
      <w:r>
        <w:rPr>
          <w:rFonts w:hint="eastAsia"/>
          <w:color w:val="auto"/>
          <w:sz w:val="24"/>
          <w:szCs w:val="24"/>
          <w:highlight w:val="none"/>
          <w:lang w:val="en-US" w:eastAsia="zh-CN"/>
        </w:rPr>
        <w:t>HJ991-2018）中附录B 流化床</w:t>
      </w:r>
      <w:r>
        <w:rPr>
          <w:color w:val="auto"/>
          <w:sz w:val="24"/>
          <w:szCs w:val="24"/>
          <w:highlight w:val="none"/>
        </w:rPr>
        <w:t>SNCR脱硝</w:t>
      </w:r>
      <w:r>
        <w:rPr>
          <w:rFonts w:hint="eastAsia"/>
          <w:color w:val="auto"/>
          <w:sz w:val="24"/>
          <w:szCs w:val="24"/>
          <w:highlight w:val="none"/>
          <w:lang w:val="en-US" w:eastAsia="zh-CN"/>
        </w:rPr>
        <w:t>效率60-80%，</w:t>
      </w:r>
      <w:r>
        <w:rPr>
          <w:rFonts w:ascii="宋体" w:hAnsi="宋体" w:eastAsia="宋体" w:cs="宋体"/>
          <w:color w:val="auto"/>
          <w:spacing w:val="-8"/>
          <w:sz w:val="24"/>
          <w:szCs w:val="24"/>
          <w:highlight w:val="none"/>
        </w:rPr>
        <w:t>根据</w:t>
      </w:r>
      <w:r>
        <w:rPr>
          <w:rFonts w:hint="default" w:ascii="Times New Roman" w:hAnsi="Times New Roman" w:eastAsia="宋体" w:cs="Times New Roman"/>
          <w:color w:val="auto"/>
          <w:sz w:val="24"/>
          <w:szCs w:val="24"/>
          <w:highlight w:val="none"/>
        </w:rPr>
        <w:t>《环境保护综合名录》</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2021年版</w:t>
      </w:r>
      <w:r>
        <w:rPr>
          <w:rFonts w:hint="eastAsia" w:ascii="Times New Roman" w:hAnsi="Times New Roman" w:eastAsia="宋体" w:cs="Times New Roman"/>
          <w:color w:val="auto"/>
          <w:sz w:val="24"/>
          <w:szCs w:val="24"/>
          <w:highlight w:val="none"/>
          <w:lang w:eastAsia="zh-CN"/>
        </w:rPr>
        <w:t>）中</w:t>
      </w:r>
      <w:r>
        <w:rPr>
          <w:rFonts w:hint="eastAsia" w:ascii="Times New Roman" w:hAnsi="Times New Roman" w:eastAsia="宋体" w:cs="Times New Roman"/>
          <w:color w:val="auto"/>
          <w:sz w:val="24"/>
          <w:szCs w:val="24"/>
          <w:highlight w:val="none"/>
          <w:lang w:val="en-US" w:eastAsia="zh-CN"/>
        </w:rPr>
        <w:t>选择性非催化还原（SNCR）脱硝成套设备性能参数</w:t>
      </w:r>
      <w:r>
        <w:rPr>
          <w:rFonts w:hint="eastAsia" w:ascii="Times New Roman" w:hAnsi="Times New Roman" w:eastAsia="宋体" w:cs="Times New Roman"/>
          <w:color w:val="auto"/>
          <w:sz w:val="24"/>
          <w:szCs w:val="24"/>
          <w:highlight w:val="none"/>
          <w:lang w:eastAsia="zh-CN"/>
        </w:rPr>
        <w:t>，脱硝效率为</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eastAsia="zh-CN"/>
        </w:rPr>
        <w:t>%～60%，</w:t>
      </w:r>
      <w:r>
        <w:rPr>
          <w:rFonts w:hint="default" w:ascii="Times New Roman" w:hAnsi="Times New Roman" w:eastAsia="宋体" w:cs="Times New Roman"/>
          <w:color w:val="auto"/>
          <w:sz w:val="24"/>
          <w:szCs w:val="24"/>
          <w:highlight w:val="none"/>
          <w:lang w:val="en-US" w:eastAsia="zh-CN"/>
        </w:rPr>
        <w:t>氨逃逸率&lt;8ppm。</w:t>
      </w:r>
      <w:r>
        <w:rPr>
          <w:rFonts w:hint="eastAsia"/>
          <w:color w:val="auto"/>
          <w:sz w:val="24"/>
          <w:szCs w:val="24"/>
          <w:highlight w:val="none"/>
        </w:rPr>
        <w:t>本</w:t>
      </w:r>
      <w:r>
        <w:rPr>
          <w:rFonts w:hint="eastAsia"/>
          <w:color w:val="auto"/>
          <w:sz w:val="24"/>
          <w:szCs w:val="24"/>
          <w:highlight w:val="none"/>
          <w:lang w:val="en-US" w:eastAsia="zh-CN"/>
        </w:rPr>
        <w:t>流化床</w:t>
      </w:r>
      <w:r>
        <w:rPr>
          <w:color w:val="auto"/>
          <w:sz w:val="24"/>
          <w:szCs w:val="24"/>
          <w:highlight w:val="none"/>
        </w:rPr>
        <w:t>烟气脱硝采用SNCR工艺，</w:t>
      </w:r>
      <w:r>
        <w:rPr>
          <w:rFonts w:hint="eastAsia"/>
          <w:color w:val="auto"/>
          <w:sz w:val="24"/>
          <w:szCs w:val="24"/>
          <w:highlight w:val="none"/>
          <w:lang w:val="en-US" w:eastAsia="zh-CN"/>
        </w:rPr>
        <w:t>本项目设计</w:t>
      </w:r>
      <w:r>
        <w:rPr>
          <w:color w:val="auto"/>
          <w:sz w:val="24"/>
          <w:szCs w:val="24"/>
          <w:highlight w:val="none"/>
        </w:rPr>
        <w:t>脱硝效率≥</w:t>
      </w:r>
      <w:r>
        <w:rPr>
          <w:rFonts w:hint="eastAsia"/>
          <w:color w:val="auto"/>
          <w:sz w:val="24"/>
          <w:szCs w:val="24"/>
          <w:highlight w:val="none"/>
          <w:lang w:val="en-US" w:eastAsia="zh-CN"/>
        </w:rPr>
        <w:t>6</w:t>
      </w:r>
      <w:r>
        <w:rPr>
          <w:color w:val="auto"/>
          <w:sz w:val="24"/>
          <w:szCs w:val="24"/>
          <w:highlight w:val="none"/>
        </w:rPr>
        <w:t>0%</w:t>
      </w:r>
      <w:r>
        <w:rPr>
          <w:rFonts w:hint="eastAsia"/>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氨逃逸率&lt;8</w:t>
      </w:r>
      <w:r>
        <w:rPr>
          <w:rFonts w:hint="eastAsia" w:ascii="Times New Roman" w:hAnsi="Times New Roman" w:eastAsia="宋体" w:cs="Times New Roman"/>
          <w:color w:val="auto"/>
          <w:sz w:val="24"/>
          <w:szCs w:val="24"/>
          <w:highlight w:val="none"/>
          <w:lang w:val="en-US" w:eastAsia="zh-CN"/>
        </w:rPr>
        <w:t>mg/m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color w:val="auto"/>
          <w:sz w:val="24"/>
          <w:szCs w:val="24"/>
          <w:highlight w:val="none"/>
        </w:rPr>
        <w:t>选择性非催化还原是指无催化剂的作用下，在适合脱硝反应的“温度窗口”内喷入还原剂将烟气中的氮氧化物还原为无害的氮气和水。该技术采用炉内喷尿素作为还原剂还原NO</w:t>
      </w:r>
      <w:r>
        <w:rPr>
          <w:rFonts w:hint="eastAsia"/>
          <w:color w:val="auto"/>
          <w:sz w:val="24"/>
          <w:szCs w:val="24"/>
          <w:highlight w:val="none"/>
          <w:vertAlign w:val="subscript"/>
          <w:lang w:val="en-US" w:eastAsia="zh-CN"/>
        </w:rPr>
        <w:t>X</w:t>
      </w:r>
      <w:r>
        <w:rPr>
          <w:color w:val="auto"/>
          <w:sz w:val="24"/>
          <w:szCs w:val="24"/>
          <w:highlight w:val="none"/>
        </w:rPr>
        <w:t>。还原剂只和烟气中的NO</w:t>
      </w:r>
      <w:r>
        <w:rPr>
          <w:rFonts w:hint="eastAsia"/>
          <w:color w:val="auto"/>
          <w:sz w:val="24"/>
          <w:szCs w:val="24"/>
          <w:highlight w:val="none"/>
          <w:vertAlign w:val="subscript"/>
          <w:lang w:val="en-US" w:eastAsia="zh-CN"/>
        </w:rPr>
        <w:t>X</w:t>
      </w:r>
      <w:r>
        <w:rPr>
          <w:color w:val="auto"/>
          <w:sz w:val="24"/>
          <w:szCs w:val="24"/>
          <w:highlight w:val="none"/>
        </w:rPr>
        <w:t>反应，一般不与氧反应，该技术不采用催化剂，所以这种方法被称为选择性非催化还原法（SNCR）。由于该工艺不用催化剂，因此必须在高温区加入还原剂。还原剂喷入炉膛温度为850~1100℃的区域，迅速热分解成NH</w:t>
      </w:r>
      <w:r>
        <w:rPr>
          <w:color w:val="auto"/>
          <w:sz w:val="24"/>
          <w:szCs w:val="24"/>
          <w:highlight w:val="none"/>
          <w:vertAlign w:val="subscript"/>
        </w:rPr>
        <w:t>3</w:t>
      </w:r>
      <w:r>
        <w:rPr>
          <w:color w:val="auto"/>
          <w:sz w:val="24"/>
          <w:szCs w:val="24"/>
          <w:highlight w:val="none"/>
        </w:rPr>
        <w:t>，与烟气中的NO</w:t>
      </w:r>
      <w:r>
        <w:rPr>
          <w:rFonts w:hint="eastAsia"/>
          <w:color w:val="auto"/>
          <w:sz w:val="24"/>
          <w:szCs w:val="24"/>
          <w:highlight w:val="none"/>
          <w:vertAlign w:val="subscript"/>
          <w:lang w:val="en-US" w:eastAsia="zh-CN"/>
        </w:rPr>
        <w:t>X</w:t>
      </w:r>
      <w:r>
        <w:rPr>
          <w:color w:val="auto"/>
          <w:sz w:val="24"/>
          <w:szCs w:val="24"/>
          <w:highlight w:val="none"/>
        </w:rPr>
        <w:t>反应生成N</w:t>
      </w:r>
      <w:r>
        <w:rPr>
          <w:color w:val="auto"/>
          <w:sz w:val="24"/>
          <w:szCs w:val="24"/>
          <w:highlight w:val="none"/>
          <w:vertAlign w:val="subscript"/>
        </w:rPr>
        <w:t>2</w:t>
      </w:r>
      <w:r>
        <w:rPr>
          <w:color w:val="auto"/>
          <w:sz w:val="24"/>
          <w:szCs w:val="24"/>
          <w:highlight w:val="none"/>
        </w:rPr>
        <w:t>和水。</w:t>
      </w:r>
    </w:p>
    <w:p>
      <w:pPr>
        <w:widowControl/>
        <w:kinsoku w:val="0"/>
        <w:autoSpaceDE w:val="0"/>
        <w:autoSpaceDN w:val="0"/>
        <w:spacing w:line="360" w:lineRule="auto"/>
        <w:ind w:firstLine="480" w:firstLineChars="200"/>
        <w:textAlignment w:val="baseline"/>
        <w:rPr>
          <w:color w:val="auto"/>
          <w:sz w:val="24"/>
          <w:szCs w:val="24"/>
          <w:highlight w:val="none"/>
        </w:rPr>
      </w:pPr>
      <w:r>
        <w:rPr>
          <w:color w:val="auto"/>
          <w:sz w:val="24"/>
          <w:szCs w:val="24"/>
          <w:highlight w:val="none"/>
        </w:rPr>
        <w:t>本项目新建SNCR脱硝系统，采用尿素作为还原剂。尿素通过溶解系统溶解后打到尿素储罐储存待用。在进行SNCR脱硝时，</w:t>
      </w:r>
      <w:r>
        <w:rPr>
          <w:rFonts w:hint="eastAsia"/>
          <w:color w:val="auto"/>
          <w:sz w:val="24"/>
          <w:szCs w:val="24"/>
          <w:highlight w:val="none"/>
          <w:lang w:val="en-US" w:eastAsia="zh-CN"/>
        </w:rPr>
        <w:t>10</w:t>
      </w:r>
      <w:r>
        <w:rPr>
          <w:color w:val="auto"/>
          <w:sz w:val="24"/>
          <w:szCs w:val="24"/>
          <w:highlight w:val="none"/>
        </w:rPr>
        <w:t>%的</w:t>
      </w:r>
      <w:r>
        <w:rPr>
          <w:rFonts w:hint="eastAsia"/>
          <w:color w:val="auto"/>
          <w:sz w:val="24"/>
          <w:szCs w:val="24"/>
          <w:highlight w:val="none"/>
        </w:rPr>
        <w:t>尿素溶液经尿素溶液输送泵输送，在喷入炉膛之前，再经过计量分配装置的精确计量分配至每个喷枪，然后经喷枪喷入炉膛，</w:t>
      </w:r>
      <w:r>
        <w:rPr>
          <w:color w:val="auto"/>
          <w:sz w:val="24"/>
          <w:szCs w:val="24"/>
          <w:highlight w:val="none"/>
        </w:rPr>
        <w:t>与烟气中的氮氧化物发生化学反应，生成氮气，去除氮氧化物，从而达到脱硝目的。</w:t>
      </w:r>
    </w:p>
    <w:p>
      <w:pPr>
        <w:widowControl/>
        <w:kinsoku w:val="0"/>
        <w:autoSpaceDE w:val="0"/>
        <w:autoSpaceDN w:val="0"/>
        <w:spacing w:line="360" w:lineRule="auto"/>
        <w:ind w:firstLine="480" w:firstLineChars="200"/>
        <w:textAlignment w:val="baseline"/>
        <w:rPr>
          <w:color w:val="auto"/>
          <w:sz w:val="24"/>
          <w:szCs w:val="24"/>
          <w:highlight w:val="none"/>
        </w:rPr>
      </w:pPr>
      <w:r>
        <w:rPr>
          <w:color w:val="auto"/>
          <w:sz w:val="24"/>
          <w:szCs w:val="24"/>
          <w:highlight w:val="none"/>
        </w:rPr>
        <w:t>整套尿素SNCR脱硝装置由尿素溶解与储存系统、尿素输送系统、稀释水系统、混合分配系统、喷射系统、自动控制系统组成。</w:t>
      </w:r>
    </w:p>
    <w:p>
      <w:pPr>
        <w:widowControl/>
        <w:kinsoku w:val="0"/>
        <w:autoSpaceDE w:val="0"/>
        <w:autoSpaceDN w:val="0"/>
        <w:spacing w:line="360" w:lineRule="auto"/>
        <w:ind w:firstLine="480" w:firstLineChars="200"/>
        <w:textAlignment w:val="baseline"/>
        <w:rPr>
          <w:color w:val="auto"/>
          <w:sz w:val="24"/>
          <w:szCs w:val="24"/>
          <w:highlight w:val="none"/>
        </w:rPr>
      </w:pPr>
      <w:r>
        <w:rPr>
          <w:color w:val="auto"/>
          <w:sz w:val="24"/>
          <w:szCs w:val="24"/>
          <w:highlight w:val="none"/>
        </w:rPr>
        <w:t>主要反应如下：</w:t>
      </w:r>
    </w:p>
    <w:p>
      <w:pPr>
        <w:pStyle w:val="14"/>
        <w:rPr>
          <w:rFonts w:ascii="Times New Roman" w:hAnsi="Times New Roman" w:cs="Times New Roman"/>
          <w:color w:val="auto"/>
          <w:kern w:val="2"/>
          <w:highlight w:val="none"/>
        </w:rPr>
      </w:pPr>
      <w:r>
        <w:rPr>
          <w:rFonts w:ascii="Times New Roman" w:hAnsi="Times New Roman" w:cs="Times New Roman"/>
          <w:color w:val="auto"/>
          <w:kern w:val="2"/>
          <w:highlight w:val="none"/>
        </w:rPr>
        <w:drawing>
          <wp:inline distT="0" distB="0" distL="114300" distR="114300">
            <wp:extent cx="2951480" cy="1001395"/>
            <wp:effectExtent l="0" t="0" r="1270" b="8255"/>
            <wp:docPr id="12" name="图片 3" descr="1633794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633794281(1)"/>
                    <pic:cNvPicPr>
                      <a:picLocks noChangeAspect="1"/>
                    </pic:cNvPicPr>
                  </pic:nvPicPr>
                  <pic:blipFill>
                    <a:blip r:embed="rId36"/>
                    <a:stretch>
                      <a:fillRect/>
                    </a:stretch>
                  </pic:blipFill>
                  <pic:spPr>
                    <a:xfrm>
                      <a:off x="0" y="0"/>
                      <a:ext cx="2951480" cy="1001395"/>
                    </a:xfrm>
                    <a:prstGeom prst="rect">
                      <a:avLst/>
                    </a:prstGeom>
                    <a:noFill/>
                    <a:ln>
                      <a:noFill/>
                    </a:ln>
                  </pic:spPr>
                </pic:pic>
              </a:graphicData>
            </a:graphic>
          </wp:inline>
        </w:drawing>
      </w:r>
    </w:p>
    <w:p>
      <w:pPr>
        <w:widowControl/>
        <w:kinsoku w:val="0"/>
        <w:autoSpaceDE w:val="0"/>
        <w:autoSpaceDN w:val="0"/>
        <w:spacing w:line="360" w:lineRule="auto"/>
        <w:ind w:firstLine="480" w:firstLineChars="200"/>
        <w:textAlignment w:val="baseline"/>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）尿素储存与尿素溶液制备系统</w:t>
      </w:r>
    </w:p>
    <w:p>
      <w:pPr>
        <w:widowControl/>
        <w:kinsoku w:val="0"/>
        <w:autoSpaceDE w:val="0"/>
        <w:autoSpaceDN w:val="0"/>
        <w:spacing w:line="360" w:lineRule="auto"/>
        <w:ind w:firstLine="480" w:firstLineChars="200"/>
        <w:textAlignment w:val="baseline"/>
        <w:rPr>
          <w:rFonts w:hint="eastAsia"/>
          <w:color w:val="auto"/>
          <w:sz w:val="24"/>
          <w:szCs w:val="24"/>
          <w:highlight w:val="none"/>
        </w:rPr>
      </w:pPr>
      <w:r>
        <w:rPr>
          <w:color w:val="auto"/>
          <w:sz w:val="24"/>
          <w:szCs w:val="24"/>
          <w:highlight w:val="none"/>
        </w:rPr>
        <w:t>尿素为固体颗粒。</w:t>
      </w:r>
      <w:r>
        <w:rPr>
          <w:rFonts w:hint="eastAsia"/>
          <w:color w:val="auto"/>
          <w:sz w:val="24"/>
          <w:szCs w:val="24"/>
          <w:highlight w:val="none"/>
        </w:rPr>
        <w:t>作为还原剂的固体尿素，被溶解制备成浓度为10％的尿素溶液，尿素溶液经尿素溶液输送泵输送，在喷入炉膛之前，再经过计量分配装置的精确计量分配至每个喷枪，然后经喷枪喷入炉膛，进行脱氮反应。</w:t>
      </w:r>
    </w:p>
    <w:p>
      <w:pPr>
        <w:widowControl/>
        <w:kinsoku w:val="0"/>
        <w:autoSpaceDE w:val="0"/>
        <w:autoSpaceDN w:val="0"/>
        <w:spacing w:line="360" w:lineRule="auto"/>
        <w:ind w:firstLine="480" w:firstLineChars="200"/>
        <w:textAlignment w:val="baseline"/>
        <w:rPr>
          <w:rFonts w:hint="eastAsia"/>
          <w:color w:val="auto"/>
          <w:sz w:val="24"/>
          <w:szCs w:val="24"/>
          <w:highlight w:val="none"/>
        </w:rPr>
      </w:pPr>
      <w:r>
        <w:rPr>
          <w:rFonts w:hint="eastAsia"/>
          <w:color w:val="auto"/>
          <w:sz w:val="24"/>
          <w:szCs w:val="24"/>
          <w:highlight w:val="none"/>
        </w:rPr>
        <w:t>固体尿素运送到现场后，进入尿素储存仓内进行储备。尿素储存仓的容积可按照足够脱硝系统运行七天所需要的尿素量。</w:t>
      </w:r>
    </w:p>
    <w:p>
      <w:pPr>
        <w:widowControl/>
        <w:kinsoku w:val="0"/>
        <w:autoSpaceDE w:val="0"/>
        <w:autoSpaceDN w:val="0"/>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）尿素溶液输送系统</w:t>
      </w:r>
    </w:p>
    <w:p>
      <w:pPr>
        <w:bidi w:val="0"/>
        <w:rPr>
          <w:rFonts w:hint="default" w:ascii="Times New Roman" w:hAnsi="Times New Roman" w:eastAsia="宋体" w:cs="Times New Roman"/>
          <w:color w:val="auto"/>
          <w:sz w:val="24"/>
          <w:szCs w:val="24"/>
          <w:highlight w:val="none"/>
        </w:rPr>
      </w:pPr>
      <w:r>
        <w:rPr>
          <w:rFonts w:hint="default"/>
          <w:color w:val="auto"/>
          <w:highlight w:val="none"/>
        </w:rPr>
        <w:t>尿素溶液输送泵采用多级离心泵。输送泵设有一备一用，对于输送供给系统，输送泵应采用2×100%方案考虑。输送供给系统做保温，减少尿素溶液输送途中</w:t>
      </w:r>
      <w:r>
        <w:rPr>
          <w:rFonts w:hint="default" w:ascii="Times New Roman" w:hAnsi="Times New Roman" w:eastAsia="宋体" w:cs="Times New Roman"/>
          <w:color w:val="auto"/>
          <w:sz w:val="24"/>
          <w:szCs w:val="24"/>
          <w:highlight w:val="none"/>
        </w:rPr>
        <w:t>热量的损失。为避免杂物对泵机及喷嘴的损坏，溶解池到输送泵入口设有过滤器。</w:t>
      </w:r>
      <w:r>
        <w:rPr>
          <w:rFonts w:hint="eastAsia" w:cs="Times New Roman"/>
          <w:color w:val="auto"/>
          <w:sz w:val="24"/>
          <w:szCs w:val="24"/>
          <w:highlight w:val="none"/>
          <w:lang w:eastAsia="zh-CN"/>
        </w:rPr>
        <w:t>输送</w:t>
      </w:r>
      <w:r>
        <w:rPr>
          <w:rFonts w:hint="default" w:ascii="Times New Roman" w:hAnsi="Times New Roman" w:eastAsia="宋体" w:cs="Times New Roman"/>
          <w:color w:val="auto"/>
          <w:sz w:val="24"/>
          <w:szCs w:val="24"/>
          <w:highlight w:val="none"/>
        </w:rPr>
        <w:t>泵设有2台，一用一备。</w:t>
      </w:r>
    </w:p>
    <w:p>
      <w:pPr>
        <w:widowControl/>
        <w:kinsoku w:val="0"/>
        <w:autoSpaceDE w:val="0"/>
        <w:autoSpaceDN w:val="0"/>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尿素溶液喷射系统</w:t>
      </w:r>
    </w:p>
    <w:p>
      <w:pPr>
        <w:widowControl/>
        <w:kinsoku w:val="0"/>
        <w:autoSpaceDE w:val="0"/>
        <w:autoSpaceDN w:val="0"/>
        <w:spacing w:line="360" w:lineRule="auto"/>
        <w:ind w:firstLine="480" w:firstLineChars="200"/>
        <w:textAlignment w:val="baseline"/>
        <w:rPr>
          <w:color w:val="auto"/>
          <w:sz w:val="24"/>
          <w:szCs w:val="24"/>
          <w:highlight w:val="none"/>
        </w:rPr>
      </w:pPr>
      <w:r>
        <w:rPr>
          <w:color w:val="auto"/>
          <w:sz w:val="24"/>
          <w:szCs w:val="24"/>
          <w:highlight w:val="none"/>
        </w:rPr>
        <w:t>在线配制稀释好的尿素溶液将送到各喷射点，喷射采用固定喷枪方式，不采用推进器系统。喷枪喷射所需的雾化介质采用压缩空气。炉前压缩空气总管上设有流量</w:t>
      </w:r>
      <w:r>
        <w:rPr>
          <w:rFonts w:ascii="Times New Roman" w:hAnsi="Times New Roman" w:eastAsia="宋体" w:cs="Times New Roman"/>
          <w:color w:val="auto"/>
          <w:sz w:val="24"/>
          <w:szCs w:val="24"/>
          <w:highlight w:val="none"/>
        </w:rPr>
        <w:t>压力测量，分几路通到各喷射点，每个喷射点的雾化压缩空气总管设有压力调节、压力测量、流量测量，再通往各个喷枪。</w:t>
      </w:r>
    </w:p>
    <w:p>
      <w:pPr>
        <w:widowControl/>
        <w:kinsoku w:val="0"/>
        <w:autoSpaceDE w:val="0"/>
        <w:autoSpaceDN w:val="0"/>
        <w:spacing w:line="360" w:lineRule="auto"/>
        <w:ind w:firstLine="480" w:firstLineChars="200"/>
        <w:textAlignment w:val="baseline"/>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）仪表和控制系统</w:t>
      </w:r>
    </w:p>
    <w:p>
      <w:pPr>
        <w:bidi w:val="0"/>
        <w:rPr>
          <w:color w:val="auto"/>
          <w:highlight w:val="none"/>
        </w:rPr>
      </w:pPr>
      <w:r>
        <w:rPr>
          <w:rFonts w:hint="eastAsia"/>
          <w:color w:val="auto"/>
          <w:highlight w:val="none"/>
        </w:rPr>
        <w:t>控制系统根据采集的相关信号，控制、调节各个设备的运行，实现高效脱硝。控制方式有现场自动控制、现场手动控制、中控自动控制、中控手动控制，方便各个工况下的操作。系统设有必要的报警</w:t>
      </w:r>
      <w:r>
        <w:rPr>
          <w:color w:val="auto"/>
          <w:highlight w:val="none"/>
        </w:rPr>
        <w:t>。</w:t>
      </w:r>
    </w:p>
    <w:p>
      <w:pPr>
        <w:bidi w:val="0"/>
        <w:rPr>
          <w:rFonts w:hint="default"/>
          <w:color w:val="auto"/>
          <w:highlight w:val="none"/>
          <w:lang w:val="en-US" w:eastAsia="zh-CN"/>
        </w:rPr>
      </w:pPr>
      <w:r>
        <w:rPr>
          <w:rFonts w:hint="eastAsia"/>
          <w:color w:val="auto"/>
          <w:highlight w:val="none"/>
          <w:lang w:val="en-US" w:eastAsia="zh-CN"/>
        </w:rPr>
        <w:t>（5）稀释水系统</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olor w:val="auto"/>
          <w:highlight w:val="none"/>
        </w:rPr>
        <w:t>当锅炉负荷或炉膛出口的NO</w:t>
      </w:r>
      <w:r>
        <w:rPr>
          <w:rFonts w:hint="eastAsia"/>
          <w:color w:val="auto"/>
          <w:highlight w:val="none"/>
          <w:vertAlign w:val="subscript"/>
          <w:lang w:val="en-US" w:eastAsia="zh-CN"/>
        </w:rPr>
        <w:t>X</w:t>
      </w:r>
      <w:r>
        <w:rPr>
          <w:rFonts w:hint="eastAsia"/>
          <w:color w:val="auto"/>
          <w:highlight w:val="none"/>
        </w:rPr>
        <w:t>浓度变化时，送入炉膛的氨水量也应随之变化，这将导致送入喷射器的流量发生变化。若喷射器的流量变化太大，将会影响到雾化喷射效果，从而影响脱硝率和氨残余。因此，设计了稀释水系统，用来保证在运行工况变化时，喷嘴中流体流量基本不变。</w:t>
      </w:r>
    </w:p>
    <w:p>
      <w:pPr>
        <w:pStyle w:val="41"/>
        <w:numPr>
          <w:ilvl w:val="0"/>
          <w:numId w:val="0"/>
        </w:numPr>
        <w:tabs>
          <w:tab w:val="left" w:pos="1621"/>
        </w:tabs>
        <w:spacing w:before="0" w:line="360" w:lineRule="auto"/>
        <w:ind w:leftChars="200"/>
        <w:jc w:val="both"/>
        <w:rPr>
          <w:rFonts w:hint="default" w:eastAsia="宋体"/>
          <w:b/>
          <w:bCs/>
          <w:sz w:val="24"/>
          <w:szCs w:val="24"/>
          <w:lang w:val="en-US" w:eastAsia="zh-CN"/>
        </w:rPr>
      </w:pPr>
      <w:r>
        <w:rPr>
          <w:rFonts w:hint="eastAsia"/>
          <w:b/>
          <w:bCs/>
          <w:sz w:val="24"/>
          <w:szCs w:val="24"/>
          <w:lang w:val="en-US" w:eastAsia="zh-CN"/>
        </w:rPr>
        <w:t>3.2.6.3 除尘系统</w:t>
      </w:r>
    </w:p>
    <w:p>
      <w:pPr>
        <w:pStyle w:val="62"/>
        <w:keepNext w:val="0"/>
        <w:keepLines w:val="0"/>
        <w:pageBreakBefore w:val="0"/>
        <w:kinsoku/>
        <w:wordWrap/>
        <w:overflowPunct/>
        <w:topLinePunct w:val="0"/>
        <w:autoSpaceDE w:val="0"/>
        <w:autoSpaceDN w:val="0"/>
        <w:bidi w:val="0"/>
        <w:adjustRightInd w:val="0"/>
        <w:snapToGrid w:val="0"/>
        <w:ind w:leftChars="0" w:firstLine="480" w:firstLineChars="200"/>
        <w:jc w:val="both"/>
        <w:textAlignment w:val="auto"/>
        <w:rPr>
          <w:rFonts w:ascii="Times New Roman" w:hAnsi="Times New Roman"/>
          <w:color w:val="auto"/>
          <w:kern w:val="2"/>
          <w:highlight w:val="none"/>
        </w:rPr>
      </w:pPr>
      <w:r>
        <w:rPr>
          <w:rFonts w:hint="eastAsia" w:ascii="Times New Roman" w:hAnsi="Times New Roman"/>
          <w:color w:val="auto"/>
          <w:kern w:val="2"/>
          <w:highlight w:val="none"/>
        </w:rPr>
        <w:t>锅炉产生的烟气经脱硝系统处理后，进入袋式</w:t>
      </w:r>
      <w:r>
        <w:rPr>
          <w:rFonts w:ascii="Times New Roman" w:hAnsi="Times New Roman"/>
          <w:color w:val="auto"/>
          <w:kern w:val="2"/>
          <w:highlight w:val="none"/>
        </w:rPr>
        <w:t>除尘器，烟气经</w:t>
      </w:r>
      <w:r>
        <w:rPr>
          <w:rFonts w:hint="eastAsia" w:ascii="Times New Roman" w:hAnsi="Times New Roman"/>
          <w:color w:val="auto"/>
          <w:kern w:val="2"/>
          <w:highlight w:val="none"/>
        </w:rPr>
        <w:t>袋式除尘器</w:t>
      </w:r>
      <w:r>
        <w:rPr>
          <w:rFonts w:ascii="Times New Roman" w:hAnsi="Times New Roman"/>
          <w:color w:val="auto"/>
          <w:kern w:val="2"/>
          <w:highlight w:val="none"/>
        </w:rPr>
        <w:t>后进入脱硫装置。本项目</w:t>
      </w:r>
      <w:r>
        <w:rPr>
          <w:rFonts w:hint="eastAsia" w:ascii="Times New Roman" w:hAnsi="Times New Roman"/>
          <w:color w:val="auto"/>
          <w:kern w:val="2"/>
          <w:highlight w:val="none"/>
        </w:rPr>
        <w:t>设计</w:t>
      </w:r>
      <w:r>
        <w:rPr>
          <w:rFonts w:ascii="Times New Roman" w:hAnsi="Times New Roman"/>
          <w:color w:val="auto"/>
          <w:kern w:val="2"/>
          <w:highlight w:val="none"/>
        </w:rPr>
        <w:t>除尘效率9</w:t>
      </w:r>
      <w:r>
        <w:rPr>
          <w:rFonts w:hint="eastAsia" w:ascii="Times New Roman" w:hAnsi="Times New Roman"/>
          <w:color w:val="auto"/>
          <w:kern w:val="2"/>
          <w:highlight w:val="none"/>
        </w:rPr>
        <w:t>9.5</w:t>
      </w:r>
      <w:r>
        <w:rPr>
          <w:rFonts w:ascii="Times New Roman" w:hAnsi="Times New Roman"/>
          <w:color w:val="auto"/>
          <w:kern w:val="2"/>
          <w:highlight w:val="none"/>
        </w:rPr>
        <w:t>%。</w:t>
      </w:r>
    </w:p>
    <w:p>
      <w:pPr>
        <w:pStyle w:val="41"/>
        <w:keepNext w:val="0"/>
        <w:keepLines w:val="0"/>
        <w:pageBreakBefore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eastAsia" w:eastAsia="宋体"/>
          <w:sz w:val="24"/>
          <w:szCs w:val="24"/>
          <w:lang w:eastAsia="zh-CN"/>
        </w:rPr>
      </w:pPr>
      <w:r>
        <w:rPr>
          <w:rFonts w:hint="eastAsia"/>
          <w:color w:val="auto"/>
          <w:highlight w:val="none"/>
        </w:rPr>
        <w:t>除尘工艺流程：含尘气体在引风机吸引力的作用下进入灰斗，经导流板后被均匀分配到各条滤袋上，粉尘被拦截在滤袋外表面，气体则穿过除尘器滤袋，除尘后的废气进入脱硫系统，除尘灰经反吹落入灰斗，除尘器灰斗中的除尘灰经仓泵气动输送，经除灰</w:t>
      </w:r>
      <w:r>
        <w:rPr>
          <w:rFonts w:hint="eastAsia"/>
          <w:color w:val="auto"/>
          <w:highlight w:val="none"/>
          <w:lang w:eastAsia="zh-CN"/>
        </w:rPr>
        <w:t>供热管网</w:t>
      </w:r>
      <w:r>
        <w:rPr>
          <w:rFonts w:hint="eastAsia"/>
          <w:color w:val="auto"/>
          <w:highlight w:val="none"/>
        </w:rPr>
        <w:t>送入厂区内的槽沟中调湿，排入全封闭灰渣储存间中。</w:t>
      </w:r>
    </w:p>
    <w:p>
      <w:pPr>
        <w:pStyle w:val="6"/>
        <w:numPr>
          <w:ilvl w:val="2"/>
          <w:numId w:val="15"/>
        </w:numPr>
        <w:tabs>
          <w:tab w:val="left" w:pos="1241"/>
        </w:tabs>
        <w:adjustRightInd w:val="0"/>
        <w:snapToGrid w:val="0"/>
        <w:spacing w:line="360" w:lineRule="auto"/>
        <w:ind w:left="0" w:firstLine="530" w:firstLineChars="200"/>
        <w:jc w:val="both"/>
        <w:rPr>
          <w:color w:val="0000FF"/>
          <w:spacing w:val="-1"/>
          <w:w w:val="95"/>
        </w:rPr>
      </w:pPr>
      <w:bookmarkStart w:id="117" w:name="3.1.7.2_养殖工艺流程"/>
      <w:bookmarkEnd w:id="117"/>
      <w:bookmarkStart w:id="118" w:name="3.1.10_工程平面布置"/>
      <w:bookmarkEnd w:id="118"/>
      <w:r>
        <w:rPr>
          <w:rFonts w:hint="eastAsia"/>
          <w:color w:val="0000FF"/>
          <w:spacing w:val="-1"/>
          <w:w w:val="95"/>
          <w:lang w:eastAsia="zh-CN"/>
        </w:rPr>
        <w:t>硫平衡分析</w:t>
      </w:r>
    </w:p>
    <w:p>
      <w:pPr>
        <w:tabs>
          <w:tab w:val="left" w:pos="6798"/>
        </w:tabs>
        <w:spacing w:line="460" w:lineRule="exact"/>
        <w:ind w:firstLine="520" w:firstLineChars="200"/>
        <w:rPr>
          <w:rFonts w:hint="eastAsia" w:hAnsi="宋体"/>
          <w:color w:val="0070C0"/>
          <w:sz w:val="26"/>
          <w:szCs w:val="26"/>
        </w:rPr>
      </w:pPr>
      <w:r>
        <w:rPr>
          <w:rFonts w:hint="eastAsia" w:hAnsi="宋体"/>
          <w:bCs/>
          <w:snapToGrid w:val="0"/>
          <w:color w:val="0070C0"/>
          <w:sz w:val="26"/>
          <w:szCs w:val="26"/>
        </w:rPr>
        <w:t>项目硫平衡情况见表</w:t>
      </w:r>
      <w:r>
        <w:rPr>
          <w:rFonts w:hint="eastAsia"/>
          <w:color w:val="0070C0"/>
          <w:sz w:val="26"/>
          <w:szCs w:val="26"/>
          <w:lang w:val="en-US" w:eastAsia="zh-CN"/>
        </w:rPr>
        <w:t>3.2-13</w:t>
      </w:r>
      <w:r>
        <w:rPr>
          <w:rFonts w:hAnsi="宋体"/>
          <w:color w:val="0070C0"/>
          <w:sz w:val="26"/>
          <w:szCs w:val="26"/>
        </w:rPr>
        <w:t>。</w:t>
      </w:r>
    </w:p>
    <w:p>
      <w:pPr>
        <w:pStyle w:val="15"/>
        <w:spacing w:after="0" w:line="288" w:lineRule="auto"/>
        <w:ind w:left="0" w:leftChars="0" w:firstLine="422" w:firstLineChars="200"/>
        <w:jc w:val="center"/>
        <w:rPr>
          <w:rFonts w:hint="eastAsia" w:ascii="Times New Roman" w:hAnsi="Times New Roman" w:eastAsia="宋体" w:cs="Times New Roman"/>
          <w:b/>
          <w:bCs/>
          <w:color w:val="0070C0"/>
          <w:kern w:val="0"/>
          <w:sz w:val="21"/>
          <w:szCs w:val="21"/>
          <w:lang w:val="en-US" w:eastAsia="zh-CN"/>
        </w:rPr>
      </w:pPr>
      <w:r>
        <w:rPr>
          <w:rFonts w:hint="default" w:ascii="Times New Roman" w:hAnsi="Times New Roman" w:eastAsia="宋体" w:cs="Times New Roman"/>
          <w:b/>
          <w:bCs/>
          <w:color w:val="0070C0"/>
          <w:kern w:val="0"/>
          <w:sz w:val="21"/>
          <w:szCs w:val="21"/>
          <w:lang w:val="en-US" w:eastAsia="zh-CN"/>
        </w:rPr>
        <w:t>表</w:t>
      </w:r>
      <w:r>
        <w:rPr>
          <w:rFonts w:hint="eastAsia" w:ascii="Times New Roman" w:hAnsi="Times New Roman" w:eastAsia="宋体" w:cs="Times New Roman"/>
          <w:b/>
          <w:bCs/>
          <w:color w:val="0070C0"/>
          <w:kern w:val="0"/>
          <w:sz w:val="21"/>
          <w:szCs w:val="21"/>
          <w:lang w:val="en-US" w:eastAsia="zh-CN"/>
        </w:rPr>
        <w:t>3.2-13</w:t>
      </w:r>
      <w:r>
        <w:rPr>
          <w:rFonts w:hint="default" w:ascii="Times New Roman" w:hAnsi="Times New Roman" w:eastAsia="宋体" w:cs="Times New Roman"/>
          <w:b/>
          <w:bCs/>
          <w:color w:val="0070C0"/>
          <w:kern w:val="0"/>
          <w:sz w:val="21"/>
          <w:szCs w:val="21"/>
          <w:lang w:val="en-US" w:eastAsia="zh-CN"/>
        </w:rPr>
        <w:t xml:space="preserve">              </w:t>
      </w:r>
      <w:r>
        <w:rPr>
          <w:rFonts w:hint="eastAsia" w:ascii="Times New Roman" w:hAnsi="Times New Roman" w:eastAsia="宋体" w:cs="Times New Roman"/>
          <w:b/>
          <w:bCs/>
          <w:color w:val="0070C0"/>
          <w:kern w:val="0"/>
          <w:sz w:val="21"/>
          <w:szCs w:val="21"/>
          <w:lang w:val="en-US" w:eastAsia="zh-CN"/>
        </w:rPr>
        <w:t xml:space="preserve">  </w:t>
      </w:r>
      <w:r>
        <w:rPr>
          <w:rFonts w:hint="default" w:ascii="Times New Roman" w:hAnsi="Times New Roman" w:eastAsia="宋体" w:cs="Times New Roman"/>
          <w:b/>
          <w:bCs/>
          <w:color w:val="0070C0"/>
          <w:kern w:val="0"/>
          <w:sz w:val="21"/>
          <w:szCs w:val="21"/>
          <w:lang w:val="en-US" w:eastAsia="zh-CN"/>
        </w:rPr>
        <w:t>硫平衡表</w:t>
      </w:r>
    </w:p>
    <w:tbl>
      <w:tblPr>
        <w:tblStyle w:val="31"/>
        <w:tblW w:w="457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3"/>
        <w:gridCol w:w="869"/>
        <w:gridCol w:w="893"/>
        <w:gridCol w:w="811"/>
        <w:gridCol w:w="1351"/>
        <w:gridCol w:w="944"/>
        <w:gridCol w:w="1080"/>
        <w:gridCol w:w="11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113" w:type="pct"/>
            <w:gridSpan w:val="4"/>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b/>
                <w:bCs/>
                <w:color w:val="0070C0"/>
                <w:spacing w:val="-3"/>
                <w:sz w:val="21"/>
                <w:szCs w:val="21"/>
                <w:highlight w:val="none"/>
                <w:lang w:eastAsia="zh-CN"/>
              </w:rPr>
            </w:pPr>
            <w:r>
              <w:rPr>
                <w:rFonts w:hint="eastAsia" w:ascii="Times New Roman" w:hAnsi="Times New Roman" w:eastAsia="宋体" w:cs="宋体"/>
                <w:b/>
                <w:bCs/>
                <w:color w:val="0070C0"/>
                <w:spacing w:val="-3"/>
                <w:sz w:val="21"/>
                <w:szCs w:val="21"/>
                <w:highlight w:val="none"/>
                <w:lang w:eastAsia="zh-CN"/>
              </w:rPr>
              <w:t>入料</w:t>
            </w:r>
          </w:p>
        </w:tc>
        <w:tc>
          <w:tcPr>
            <w:tcW w:w="2886" w:type="pct"/>
            <w:gridSpan w:val="4"/>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b/>
                <w:bCs/>
                <w:color w:val="0070C0"/>
                <w:spacing w:val="-3"/>
                <w:sz w:val="21"/>
                <w:szCs w:val="21"/>
                <w:highlight w:val="none"/>
                <w:lang w:eastAsia="zh-CN"/>
              </w:rPr>
            </w:pPr>
            <w:r>
              <w:rPr>
                <w:rFonts w:hint="eastAsia" w:ascii="Times New Roman" w:hAnsi="Times New Roman" w:eastAsia="宋体" w:cs="宋体"/>
                <w:b/>
                <w:bCs/>
                <w:color w:val="0070C0"/>
                <w:spacing w:val="-3"/>
                <w:sz w:val="21"/>
                <w:szCs w:val="21"/>
                <w:highlight w:val="none"/>
                <w:lang w:eastAsia="zh-CN"/>
              </w:rPr>
              <w:t>出料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63"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宋体"/>
                <w:b/>
                <w:bCs/>
                <w:color w:val="0070C0"/>
                <w:spacing w:val="-3"/>
                <w:sz w:val="21"/>
                <w:szCs w:val="21"/>
                <w:highlight w:val="none"/>
              </w:rPr>
            </w:pPr>
            <w:r>
              <w:rPr>
                <w:rFonts w:ascii="Times New Roman" w:hAnsi="Times New Roman" w:eastAsia="宋体" w:cs="宋体"/>
                <w:b/>
                <w:bCs/>
                <w:color w:val="0070C0"/>
                <w:spacing w:val="-3"/>
                <w:sz w:val="21"/>
                <w:szCs w:val="21"/>
                <w:highlight w:val="none"/>
              </w:rPr>
              <w:t>名称</w:t>
            </w:r>
          </w:p>
        </w:tc>
        <w:tc>
          <w:tcPr>
            <w:tcW w:w="55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b/>
                <w:bCs/>
                <w:color w:val="0070C0"/>
                <w:spacing w:val="-3"/>
                <w:sz w:val="21"/>
                <w:szCs w:val="21"/>
                <w:highlight w:val="none"/>
                <w:lang w:eastAsia="zh-CN"/>
              </w:rPr>
            </w:pPr>
            <w:r>
              <w:rPr>
                <w:rFonts w:hint="eastAsia" w:ascii="Times New Roman" w:hAnsi="Times New Roman" w:eastAsia="宋体" w:cs="宋体"/>
                <w:b/>
                <w:bCs/>
                <w:color w:val="0070C0"/>
                <w:spacing w:val="-3"/>
                <w:sz w:val="21"/>
                <w:szCs w:val="21"/>
                <w:highlight w:val="none"/>
              </w:rPr>
              <w:t>数</w:t>
            </w:r>
            <w:r>
              <w:rPr>
                <w:rFonts w:ascii="Times New Roman" w:hAnsi="Times New Roman" w:eastAsia="宋体" w:cs="宋体"/>
                <w:b/>
                <w:bCs/>
                <w:color w:val="0070C0"/>
                <w:spacing w:val="-3"/>
                <w:sz w:val="21"/>
                <w:szCs w:val="21"/>
                <w:highlight w:val="none"/>
              </w:rPr>
              <w:t>量t</w:t>
            </w:r>
            <w:r>
              <w:rPr>
                <w:rFonts w:hint="eastAsia" w:ascii="Times New Roman" w:hAnsi="Times New Roman" w:eastAsia="宋体" w:cs="宋体"/>
                <w:b/>
                <w:bCs/>
                <w:color w:val="0070C0"/>
                <w:spacing w:val="-3"/>
                <w:sz w:val="21"/>
                <w:szCs w:val="21"/>
                <w:highlight w:val="none"/>
              </w:rPr>
              <w:t>/</w:t>
            </w:r>
            <w:r>
              <w:rPr>
                <w:rFonts w:hint="eastAsia" w:ascii="Times New Roman" w:hAnsi="Times New Roman" w:eastAsia="宋体" w:cs="宋体"/>
                <w:b/>
                <w:bCs/>
                <w:color w:val="0070C0"/>
                <w:spacing w:val="-3"/>
                <w:sz w:val="21"/>
                <w:szCs w:val="21"/>
                <w:highlight w:val="none"/>
                <w:lang w:val="en-US" w:eastAsia="zh-CN"/>
              </w:rPr>
              <w:t>a</w:t>
            </w:r>
          </w:p>
        </w:tc>
        <w:tc>
          <w:tcPr>
            <w:tcW w:w="57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b/>
                <w:bCs/>
                <w:color w:val="0070C0"/>
                <w:spacing w:val="-3"/>
                <w:sz w:val="21"/>
                <w:szCs w:val="21"/>
                <w:highlight w:val="none"/>
                <w:lang w:eastAsia="zh-CN"/>
              </w:rPr>
            </w:pPr>
            <w:r>
              <w:rPr>
                <w:rFonts w:ascii="Times New Roman" w:hAnsi="Times New Roman" w:eastAsia="宋体" w:cs="宋体"/>
                <w:b/>
                <w:bCs/>
                <w:color w:val="0070C0"/>
                <w:spacing w:val="-3"/>
                <w:sz w:val="21"/>
                <w:szCs w:val="21"/>
                <w:highlight w:val="none"/>
              </w:rPr>
              <w:t>含</w:t>
            </w:r>
            <w:r>
              <w:rPr>
                <w:rFonts w:hint="eastAsia" w:ascii="Times New Roman" w:hAnsi="Times New Roman" w:eastAsia="宋体" w:cs="宋体"/>
                <w:b/>
                <w:bCs/>
                <w:color w:val="0070C0"/>
                <w:spacing w:val="-3"/>
                <w:sz w:val="21"/>
                <w:szCs w:val="21"/>
                <w:highlight w:val="none"/>
              </w:rPr>
              <w:t>硫率</w:t>
            </w:r>
            <w:r>
              <w:rPr>
                <w:rFonts w:hint="eastAsia" w:ascii="Times New Roman" w:hAnsi="Times New Roman" w:eastAsia="宋体" w:cs="宋体"/>
                <w:b/>
                <w:bCs/>
                <w:color w:val="0070C0"/>
                <w:spacing w:val="-3"/>
                <w:sz w:val="21"/>
                <w:szCs w:val="21"/>
                <w:highlight w:val="none"/>
                <w:lang w:val="en-US" w:eastAsia="zh-CN"/>
              </w:rPr>
              <w:t>%</w:t>
            </w:r>
          </w:p>
        </w:tc>
        <w:tc>
          <w:tcPr>
            <w:tcW w:w="52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b/>
                <w:bCs/>
                <w:color w:val="0070C0"/>
                <w:spacing w:val="-3"/>
                <w:sz w:val="21"/>
                <w:szCs w:val="21"/>
                <w:highlight w:val="none"/>
                <w:lang w:eastAsia="zh-CN"/>
              </w:rPr>
            </w:pPr>
            <w:r>
              <w:rPr>
                <w:rFonts w:ascii="Times New Roman" w:hAnsi="Times New Roman" w:eastAsia="宋体" w:cs="宋体"/>
                <w:b/>
                <w:bCs/>
                <w:color w:val="0070C0"/>
                <w:spacing w:val="-3"/>
                <w:sz w:val="21"/>
                <w:szCs w:val="21"/>
                <w:highlight w:val="none"/>
              </w:rPr>
              <w:t>含硫量</w:t>
            </w:r>
            <w:r>
              <w:rPr>
                <w:rFonts w:hint="eastAsia" w:ascii="Times New Roman" w:hAnsi="Times New Roman" w:eastAsia="宋体" w:cs="宋体"/>
                <w:b/>
                <w:bCs/>
                <w:color w:val="0070C0"/>
                <w:spacing w:val="-3"/>
                <w:sz w:val="21"/>
                <w:szCs w:val="21"/>
                <w:highlight w:val="none"/>
              </w:rPr>
              <w:t>t/</w:t>
            </w:r>
            <w:r>
              <w:rPr>
                <w:rFonts w:hint="eastAsia" w:ascii="Times New Roman" w:hAnsi="Times New Roman" w:eastAsia="宋体" w:cs="宋体"/>
                <w:b/>
                <w:bCs/>
                <w:color w:val="0070C0"/>
                <w:spacing w:val="-3"/>
                <w:sz w:val="21"/>
                <w:szCs w:val="21"/>
                <w:highlight w:val="none"/>
                <w:lang w:val="en-US" w:eastAsia="zh-CN"/>
              </w:rPr>
              <w:t>a</w:t>
            </w:r>
          </w:p>
        </w:tc>
        <w:tc>
          <w:tcPr>
            <w:tcW w:w="866"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宋体"/>
                <w:b/>
                <w:bCs/>
                <w:color w:val="0070C0"/>
                <w:spacing w:val="-3"/>
                <w:sz w:val="21"/>
                <w:szCs w:val="21"/>
                <w:highlight w:val="none"/>
              </w:rPr>
            </w:pPr>
            <w:r>
              <w:rPr>
                <w:rFonts w:ascii="Times New Roman" w:hAnsi="Times New Roman" w:eastAsia="宋体" w:cs="宋体"/>
                <w:b/>
                <w:bCs/>
                <w:color w:val="0070C0"/>
                <w:spacing w:val="-3"/>
                <w:sz w:val="21"/>
                <w:szCs w:val="21"/>
                <w:highlight w:val="none"/>
              </w:rPr>
              <w:t>名称</w:t>
            </w:r>
          </w:p>
        </w:tc>
        <w:tc>
          <w:tcPr>
            <w:tcW w:w="605"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b/>
                <w:bCs/>
                <w:color w:val="0070C0"/>
                <w:spacing w:val="-3"/>
                <w:sz w:val="21"/>
                <w:szCs w:val="21"/>
                <w:highlight w:val="none"/>
                <w:lang w:eastAsia="zh-CN"/>
              </w:rPr>
            </w:pPr>
            <w:r>
              <w:rPr>
                <w:rFonts w:hint="eastAsia" w:ascii="Times New Roman" w:hAnsi="Times New Roman" w:eastAsia="宋体" w:cs="宋体"/>
                <w:b/>
                <w:bCs/>
                <w:color w:val="0070C0"/>
                <w:spacing w:val="-3"/>
                <w:sz w:val="21"/>
                <w:szCs w:val="21"/>
                <w:highlight w:val="none"/>
              </w:rPr>
              <w:t>数</w:t>
            </w:r>
            <w:r>
              <w:rPr>
                <w:rFonts w:ascii="Times New Roman" w:hAnsi="Times New Roman" w:eastAsia="宋体" w:cs="宋体"/>
                <w:b/>
                <w:bCs/>
                <w:color w:val="0070C0"/>
                <w:spacing w:val="-3"/>
                <w:sz w:val="21"/>
                <w:szCs w:val="21"/>
                <w:highlight w:val="none"/>
              </w:rPr>
              <w:t>量t</w:t>
            </w:r>
            <w:r>
              <w:rPr>
                <w:rFonts w:hint="eastAsia" w:ascii="Times New Roman" w:hAnsi="Times New Roman" w:eastAsia="宋体" w:cs="宋体"/>
                <w:b/>
                <w:bCs/>
                <w:color w:val="0070C0"/>
                <w:spacing w:val="-3"/>
                <w:sz w:val="21"/>
                <w:szCs w:val="21"/>
                <w:highlight w:val="none"/>
              </w:rPr>
              <w:t>/</w:t>
            </w:r>
            <w:r>
              <w:rPr>
                <w:rFonts w:hint="eastAsia" w:ascii="Times New Roman" w:hAnsi="Times New Roman" w:eastAsia="宋体" w:cs="宋体"/>
                <w:b/>
                <w:bCs/>
                <w:color w:val="0070C0"/>
                <w:spacing w:val="-3"/>
                <w:sz w:val="21"/>
                <w:szCs w:val="21"/>
                <w:highlight w:val="none"/>
                <w:lang w:val="en-US" w:eastAsia="zh-CN"/>
              </w:rPr>
              <w:t>a</w:t>
            </w:r>
          </w:p>
        </w:tc>
        <w:tc>
          <w:tcPr>
            <w:tcW w:w="692"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b/>
                <w:bCs/>
                <w:color w:val="0070C0"/>
                <w:spacing w:val="-3"/>
                <w:sz w:val="21"/>
                <w:szCs w:val="21"/>
                <w:highlight w:val="none"/>
              </w:rPr>
            </w:pPr>
            <w:r>
              <w:rPr>
                <w:rFonts w:ascii="Times New Roman" w:hAnsi="Times New Roman" w:eastAsia="宋体" w:cs="宋体"/>
                <w:b/>
                <w:bCs/>
                <w:color w:val="0070C0"/>
                <w:spacing w:val="-3"/>
                <w:sz w:val="21"/>
                <w:szCs w:val="21"/>
                <w:highlight w:val="none"/>
              </w:rPr>
              <w:t>含</w:t>
            </w:r>
            <w:r>
              <w:rPr>
                <w:rFonts w:hint="eastAsia" w:ascii="Times New Roman" w:hAnsi="Times New Roman" w:eastAsia="宋体" w:cs="宋体"/>
                <w:b/>
                <w:bCs/>
                <w:color w:val="0070C0"/>
                <w:spacing w:val="-3"/>
                <w:sz w:val="21"/>
                <w:szCs w:val="21"/>
                <w:highlight w:val="none"/>
              </w:rPr>
              <w:t>硫率</w:t>
            </w:r>
            <w:r>
              <w:rPr>
                <w:rFonts w:hint="eastAsia" w:ascii="Times New Roman" w:hAnsi="Times New Roman" w:eastAsia="宋体" w:cs="宋体"/>
                <w:b/>
                <w:bCs/>
                <w:color w:val="0070C0"/>
                <w:spacing w:val="-3"/>
                <w:sz w:val="21"/>
                <w:szCs w:val="21"/>
                <w:highlight w:val="none"/>
                <w:lang w:val="en-US" w:eastAsia="zh-CN"/>
              </w:rPr>
              <w:t>%</w:t>
            </w:r>
          </w:p>
        </w:tc>
        <w:tc>
          <w:tcPr>
            <w:tcW w:w="72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b/>
                <w:bCs/>
                <w:color w:val="0070C0"/>
                <w:spacing w:val="-3"/>
                <w:sz w:val="21"/>
                <w:szCs w:val="21"/>
                <w:highlight w:val="none"/>
                <w:lang w:eastAsia="zh-CN"/>
              </w:rPr>
            </w:pPr>
            <w:r>
              <w:rPr>
                <w:rFonts w:ascii="Times New Roman" w:hAnsi="Times New Roman" w:eastAsia="宋体" w:cs="宋体"/>
                <w:b/>
                <w:bCs/>
                <w:color w:val="0070C0"/>
                <w:spacing w:val="-3"/>
                <w:sz w:val="21"/>
                <w:szCs w:val="21"/>
                <w:highlight w:val="none"/>
              </w:rPr>
              <w:t>含硫量</w:t>
            </w:r>
            <w:r>
              <w:rPr>
                <w:rFonts w:hint="eastAsia" w:ascii="Times New Roman" w:hAnsi="Times New Roman" w:eastAsia="宋体" w:cs="宋体"/>
                <w:b/>
                <w:bCs/>
                <w:color w:val="0070C0"/>
                <w:spacing w:val="-3"/>
                <w:sz w:val="21"/>
                <w:szCs w:val="21"/>
                <w:highlight w:val="none"/>
              </w:rPr>
              <w:t>t/</w:t>
            </w:r>
            <w:r>
              <w:rPr>
                <w:rFonts w:hint="eastAsia" w:ascii="Times New Roman" w:hAnsi="Times New Roman" w:eastAsia="宋体" w:cs="宋体"/>
                <w:b/>
                <w:bCs/>
                <w:color w:val="0070C0"/>
                <w:spacing w:val="-3"/>
                <w:sz w:val="21"/>
                <w:szCs w:val="21"/>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63"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color w:val="0070C0"/>
                <w:spacing w:val="-3"/>
                <w:sz w:val="21"/>
                <w:szCs w:val="21"/>
                <w:highlight w:val="none"/>
                <w:lang w:eastAsia="zh-CN"/>
              </w:rPr>
            </w:pPr>
            <w:r>
              <w:rPr>
                <w:rFonts w:hint="eastAsia" w:ascii="Times New Roman" w:hAnsi="Times New Roman" w:eastAsia="宋体" w:cs="宋体"/>
                <w:color w:val="0070C0"/>
                <w:spacing w:val="-3"/>
                <w:sz w:val="21"/>
                <w:szCs w:val="21"/>
                <w:highlight w:val="none"/>
                <w:lang w:eastAsia="zh-CN"/>
              </w:rPr>
              <w:t>燃煤</w:t>
            </w:r>
          </w:p>
        </w:tc>
        <w:tc>
          <w:tcPr>
            <w:tcW w:w="55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39469.13</w:t>
            </w:r>
          </w:p>
        </w:tc>
        <w:tc>
          <w:tcPr>
            <w:tcW w:w="57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0.09</w:t>
            </w:r>
          </w:p>
        </w:tc>
        <w:tc>
          <w:tcPr>
            <w:tcW w:w="52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35.52</w:t>
            </w:r>
          </w:p>
        </w:tc>
        <w:tc>
          <w:tcPr>
            <w:tcW w:w="866"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color w:val="0070C0"/>
                <w:spacing w:val="-3"/>
                <w:sz w:val="21"/>
                <w:szCs w:val="21"/>
                <w:highlight w:val="none"/>
                <w:lang w:eastAsia="zh-CN"/>
              </w:rPr>
            </w:pPr>
            <w:r>
              <w:rPr>
                <w:rFonts w:hint="eastAsia" w:ascii="Times New Roman" w:hAnsi="Times New Roman" w:eastAsia="宋体" w:cs="宋体"/>
                <w:color w:val="0070C0"/>
                <w:spacing w:val="-3"/>
                <w:sz w:val="21"/>
                <w:szCs w:val="21"/>
                <w:highlight w:val="none"/>
                <w:lang w:eastAsia="zh-CN"/>
              </w:rPr>
              <w:t>脱硫渣</w:t>
            </w:r>
          </w:p>
        </w:tc>
        <w:tc>
          <w:tcPr>
            <w:tcW w:w="605"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144.26</w:t>
            </w:r>
          </w:p>
        </w:tc>
        <w:tc>
          <w:tcPr>
            <w:tcW w:w="692"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w:t>
            </w:r>
          </w:p>
        </w:tc>
        <w:tc>
          <w:tcPr>
            <w:tcW w:w="72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29.77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63"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color w:val="0070C0"/>
                <w:spacing w:val="-3"/>
                <w:sz w:val="21"/>
                <w:szCs w:val="21"/>
                <w:highlight w:val="none"/>
              </w:rPr>
            </w:pPr>
          </w:p>
        </w:tc>
        <w:tc>
          <w:tcPr>
            <w:tcW w:w="55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宋体"/>
                <w:color w:val="0070C0"/>
                <w:spacing w:val="-3"/>
                <w:sz w:val="21"/>
                <w:szCs w:val="21"/>
                <w:highlight w:val="none"/>
              </w:rPr>
            </w:pPr>
          </w:p>
        </w:tc>
        <w:tc>
          <w:tcPr>
            <w:tcW w:w="57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宋体"/>
                <w:color w:val="0070C0"/>
                <w:spacing w:val="-3"/>
                <w:sz w:val="21"/>
                <w:szCs w:val="21"/>
                <w:highlight w:val="none"/>
              </w:rPr>
            </w:pPr>
          </w:p>
        </w:tc>
        <w:tc>
          <w:tcPr>
            <w:tcW w:w="52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宋体"/>
                <w:color w:val="0070C0"/>
                <w:spacing w:val="-3"/>
                <w:sz w:val="21"/>
                <w:szCs w:val="21"/>
                <w:highlight w:val="none"/>
              </w:rPr>
            </w:pPr>
          </w:p>
        </w:tc>
        <w:tc>
          <w:tcPr>
            <w:tcW w:w="866"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color w:val="0070C0"/>
                <w:spacing w:val="-3"/>
                <w:sz w:val="21"/>
                <w:szCs w:val="21"/>
                <w:highlight w:val="none"/>
                <w:lang w:eastAsia="zh-CN"/>
              </w:rPr>
            </w:pPr>
            <w:r>
              <w:rPr>
                <w:rFonts w:hint="eastAsia" w:ascii="Times New Roman" w:hAnsi="Times New Roman" w:eastAsia="宋体" w:cs="宋体"/>
                <w:color w:val="0070C0"/>
                <w:spacing w:val="-3"/>
                <w:sz w:val="21"/>
                <w:szCs w:val="21"/>
                <w:highlight w:val="none"/>
                <w:lang w:eastAsia="zh-CN"/>
              </w:rPr>
              <w:t>废气</w:t>
            </w:r>
          </w:p>
        </w:tc>
        <w:tc>
          <w:tcPr>
            <w:tcW w:w="605"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w:t>
            </w:r>
          </w:p>
        </w:tc>
        <w:tc>
          <w:tcPr>
            <w:tcW w:w="692"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w:t>
            </w:r>
          </w:p>
        </w:tc>
        <w:tc>
          <w:tcPr>
            <w:tcW w:w="72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5.75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63"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合计</w:t>
            </w:r>
          </w:p>
        </w:tc>
        <w:tc>
          <w:tcPr>
            <w:tcW w:w="557"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宋体"/>
                <w:color w:val="0070C0"/>
                <w:spacing w:val="-3"/>
                <w:sz w:val="21"/>
                <w:szCs w:val="21"/>
                <w:highlight w:val="none"/>
              </w:rPr>
            </w:pPr>
          </w:p>
        </w:tc>
        <w:tc>
          <w:tcPr>
            <w:tcW w:w="57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宋体"/>
                <w:color w:val="0070C0"/>
                <w:spacing w:val="-3"/>
                <w:sz w:val="21"/>
                <w:szCs w:val="21"/>
                <w:highlight w:val="none"/>
              </w:rPr>
            </w:pPr>
          </w:p>
        </w:tc>
        <w:tc>
          <w:tcPr>
            <w:tcW w:w="520"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35.52</w:t>
            </w:r>
          </w:p>
        </w:tc>
        <w:tc>
          <w:tcPr>
            <w:tcW w:w="866"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color w:val="0070C0"/>
                <w:spacing w:val="-3"/>
                <w:sz w:val="21"/>
                <w:szCs w:val="21"/>
                <w:highlight w:val="none"/>
              </w:rPr>
            </w:pPr>
          </w:p>
        </w:tc>
        <w:tc>
          <w:tcPr>
            <w:tcW w:w="605"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ascii="Times New Roman" w:hAnsi="Times New Roman" w:eastAsia="宋体" w:cs="宋体"/>
                <w:color w:val="0070C0"/>
                <w:spacing w:val="-3"/>
                <w:sz w:val="21"/>
                <w:szCs w:val="21"/>
                <w:highlight w:val="none"/>
              </w:rPr>
            </w:pPr>
          </w:p>
        </w:tc>
        <w:tc>
          <w:tcPr>
            <w:tcW w:w="692"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宋体"/>
                <w:color w:val="0070C0"/>
                <w:spacing w:val="-3"/>
                <w:sz w:val="21"/>
                <w:szCs w:val="21"/>
                <w:highlight w:val="none"/>
              </w:rPr>
            </w:pPr>
          </w:p>
        </w:tc>
        <w:tc>
          <w:tcPr>
            <w:tcW w:w="722"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宋体"/>
                <w:color w:val="0070C0"/>
                <w:spacing w:val="-3"/>
                <w:sz w:val="21"/>
                <w:szCs w:val="21"/>
                <w:highlight w:val="none"/>
                <w:lang w:val="en-US" w:eastAsia="zh-CN"/>
              </w:rPr>
            </w:pPr>
            <w:r>
              <w:rPr>
                <w:rFonts w:hint="eastAsia" w:ascii="Times New Roman" w:hAnsi="Times New Roman" w:eastAsia="宋体" w:cs="宋体"/>
                <w:color w:val="0070C0"/>
                <w:spacing w:val="-3"/>
                <w:sz w:val="21"/>
                <w:szCs w:val="21"/>
                <w:highlight w:val="none"/>
                <w:lang w:val="en-US" w:eastAsia="zh-CN"/>
              </w:rPr>
              <w:t>35.52</w:t>
            </w:r>
          </w:p>
        </w:tc>
      </w:tr>
    </w:tbl>
    <w:p>
      <w:pPr>
        <w:pStyle w:val="6"/>
        <w:numPr>
          <w:ilvl w:val="2"/>
          <w:numId w:val="15"/>
        </w:numPr>
        <w:tabs>
          <w:tab w:val="left" w:pos="1241"/>
        </w:tabs>
        <w:adjustRightInd w:val="0"/>
        <w:snapToGrid w:val="0"/>
        <w:spacing w:line="360" w:lineRule="auto"/>
        <w:ind w:left="0" w:firstLine="530" w:firstLineChars="200"/>
        <w:jc w:val="both"/>
        <w:rPr>
          <w:color w:val="0000FF"/>
          <w:spacing w:val="-1"/>
          <w:w w:val="95"/>
        </w:rPr>
      </w:pPr>
      <w:r>
        <w:rPr>
          <w:color w:val="0000FF"/>
          <w:spacing w:val="-1"/>
          <w:w w:val="95"/>
        </w:rPr>
        <w:t>工程平面布置</w:t>
      </w:r>
    </w:p>
    <w:p>
      <w:pPr>
        <w:bidi w:val="0"/>
        <w:rPr>
          <w:rFonts w:hint="default"/>
          <w:b/>
          <w:bCs/>
          <w:color w:val="auto"/>
          <w:highlight w:val="none"/>
          <w:lang w:val="en-US" w:eastAsia="zh-CN"/>
        </w:rPr>
      </w:pPr>
      <w:r>
        <w:rPr>
          <w:rFonts w:hint="eastAsia"/>
          <w:b/>
          <w:bCs/>
          <w:color w:val="auto"/>
          <w:highlight w:val="none"/>
          <w:lang w:val="en-US" w:eastAsia="zh-CN"/>
        </w:rPr>
        <w:t>3.2.7.1工程平面布置</w:t>
      </w:r>
    </w:p>
    <w:p>
      <w:pPr>
        <w:bidi w:val="0"/>
        <w:rPr>
          <w:rFonts w:hint="eastAsia"/>
          <w:color w:val="auto"/>
          <w:highlight w:val="none"/>
          <w:lang w:val="en-US" w:eastAsia="zh-CN"/>
        </w:rPr>
      </w:pPr>
      <w:r>
        <w:rPr>
          <w:rFonts w:hint="eastAsia"/>
          <w:color w:val="auto"/>
          <w:highlight w:val="none"/>
          <w:lang w:val="en-US" w:eastAsia="zh-CN"/>
        </w:rPr>
        <w:t>本项目位于塔城地区额敏县桥南中粮路21号中粮糖业控股股份有限公司额敏糖业分公司厂区内，动力车间东侧，占地面积为1492平方米。新建锅炉房北侧为石头焦炭场，东侧为石灰窑，南侧为制糖车间，西侧为动力车间，煤场位于动力车间西侧。</w:t>
      </w:r>
    </w:p>
    <w:p>
      <w:pPr>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厂区平面布置便于锅炉房运煤除渣，</w:t>
      </w:r>
      <w:r>
        <w:rPr>
          <w:rFonts w:hint="eastAsia" w:ascii="Times New Roman" w:hAnsi="Times New Roman"/>
          <w:color w:val="auto"/>
          <w:highlight w:val="none"/>
          <w:lang w:val="en-US" w:eastAsia="zh-CN"/>
        </w:rPr>
        <w:t>厂区</w:t>
      </w:r>
      <w:r>
        <w:rPr>
          <w:rFonts w:hint="eastAsia" w:ascii="Times New Roman" w:hAnsi="Times New Roman"/>
          <w:color w:val="auto"/>
          <w:highlight w:val="none"/>
        </w:rPr>
        <w:t>内部设环形道路，</w:t>
      </w:r>
      <w:r>
        <w:rPr>
          <w:rFonts w:hint="eastAsia" w:ascii="Times New Roman" w:hAnsi="Times New Roman" w:cs="Times New Roman"/>
          <w:color w:val="auto"/>
          <w:highlight w:val="none"/>
          <w:lang w:val="en-US" w:eastAsia="zh-CN"/>
        </w:rPr>
        <w:t>满足消防及生产工艺使用功能，交通</w:t>
      </w:r>
      <w:r>
        <w:rPr>
          <w:rFonts w:hint="default" w:ascii="Times New Roman" w:hAnsi="Times New Roman" w:cs="Times New Roman"/>
          <w:color w:val="auto"/>
          <w:highlight w:val="none"/>
          <w:lang w:val="en-US" w:eastAsia="zh-CN"/>
        </w:rPr>
        <w:t>较方便。</w:t>
      </w:r>
      <w:r>
        <w:rPr>
          <w:rFonts w:hint="default" w:ascii="Times New Roman" w:hAnsi="Times New Roman" w:cs="Times New Roman"/>
          <w:color w:val="auto"/>
          <w:highlight w:val="none"/>
        </w:rPr>
        <w:t>外围以围墙、林木围护，充分利用道路两侧及围墙周围等区域进行绿化，以改善厂区环境。项目</w:t>
      </w:r>
      <w:r>
        <w:rPr>
          <w:rFonts w:hint="default" w:ascii="Times New Roman" w:hAnsi="Times New Roman" w:cs="Times New Roman"/>
          <w:color w:val="auto"/>
          <w:highlight w:val="none"/>
          <w:lang w:eastAsia="zh-CN"/>
        </w:rPr>
        <w:t>厂区</w:t>
      </w:r>
      <w:r>
        <w:rPr>
          <w:rFonts w:hint="default" w:ascii="Times New Roman" w:hAnsi="Times New Roman" w:cs="Times New Roman"/>
          <w:color w:val="auto"/>
          <w:highlight w:val="none"/>
        </w:rPr>
        <w:t>总平面布置图见图3.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pPr>
        <w:bidi w:val="0"/>
        <w:rPr>
          <w:rFonts w:hint="default" w:ascii="Times New Roman" w:hAnsi="Times New Roman" w:cs="Times New Roman"/>
          <w:b/>
          <w:bCs/>
          <w:color w:val="0000FF"/>
          <w:highlight w:val="none"/>
        </w:rPr>
      </w:pPr>
      <w:r>
        <w:rPr>
          <w:rFonts w:hint="eastAsia" w:cs="Times New Roman"/>
          <w:b/>
          <w:bCs/>
          <w:color w:val="0000FF"/>
          <w:highlight w:val="none"/>
          <w:lang w:val="en-US" w:eastAsia="zh-CN"/>
        </w:rPr>
        <w:t>3.2.7.2</w:t>
      </w:r>
      <w:r>
        <w:rPr>
          <w:rFonts w:hint="default" w:ascii="Times New Roman" w:hAnsi="Times New Roman" w:cs="Times New Roman"/>
          <w:b/>
          <w:bCs/>
          <w:color w:val="0000FF"/>
          <w:highlight w:val="none"/>
        </w:rPr>
        <w:t>平面布置合理性分析</w:t>
      </w:r>
    </w:p>
    <w:p>
      <w:pPr>
        <w:bidi w:val="0"/>
        <w:rPr>
          <w:rFonts w:hint="default" w:ascii="Times New Roman" w:hAnsi="Times New Roman" w:cs="Times New Roman"/>
          <w:color w:val="0000FF"/>
          <w:highlight w:val="none"/>
        </w:rPr>
      </w:pPr>
      <w:r>
        <w:rPr>
          <w:rFonts w:hint="default" w:ascii="Times New Roman" w:hAnsi="Times New Roman" w:cs="Times New Roman"/>
          <w:color w:val="0000FF"/>
          <w:highlight w:val="none"/>
        </w:rPr>
        <w:t>项目</w:t>
      </w:r>
      <w:r>
        <w:rPr>
          <w:rFonts w:hint="eastAsia" w:cs="Times New Roman"/>
          <w:color w:val="0000FF"/>
          <w:highlight w:val="none"/>
          <w:lang w:eastAsia="zh-CN"/>
        </w:rPr>
        <w:t>区</w:t>
      </w:r>
      <w:r>
        <w:rPr>
          <w:rFonts w:hint="default" w:ascii="Times New Roman" w:hAnsi="Times New Roman" w:cs="Times New Roman"/>
          <w:color w:val="0000FF"/>
          <w:highlight w:val="none"/>
        </w:rPr>
        <w:t>周围不存在高大建筑物的影响，局部区域的自然通风和采光条件较好，有利于烟尘和气体污染物的扩散，可以减轻对项目</w:t>
      </w:r>
      <w:r>
        <w:rPr>
          <w:rFonts w:hint="eastAsia" w:cs="Times New Roman"/>
          <w:color w:val="0000FF"/>
          <w:highlight w:val="none"/>
          <w:lang w:eastAsia="zh-CN"/>
        </w:rPr>
        <w:t>区</w:t>
      </w:r>
      <w:r>
        <w:rPr>
          <w:rFonts w:hint="default" w:ascii="Times New Roman" w:hAnsi="Times New Roman" w:cs="Times New Roman"/>
          <w:color w:val="0000FF"/>
          <w:highlight w:val="none"/>
        </w:rPr>
        <w:t>周围居</w:t>
      </w:r>
      <w:r>
        <w:rPr>
          <w:rFonts w:hint="eastAsia" w:cs="Times New Roman"/>
          <w:color w:val="0000FF"/>
          <w:highlight w:val="none"/>
          <w:lang w:eastAsia="zh-CN"/>
        </w:rPr>
        <w:t>民</w:t>
      </w:r>
      <w:r>
        <w:rPr>
          <w:rFonts w:hint="default" w:ascii="Times New Roman" w:hAnsi="Times New Roman" w:cs="Times New Roman"/>
          <w:color w:val="0000FF"/>
          <w:highlight w:val="none"/>
        </w:rPr>
        <w:t>区的影响。</w:t>
      </w:r>
    </w:p>
    <w:p>
      <w:pPr>
        <w:bidi w:val="0"/>
        <w:rPr>
          <w:rFonts w:hint="default" w:ascii="Times New Roman" w:hAnsi="Times New Roman" w:cs="Times New Roman"/>
          <w:color w:val="0000FF"/>
          <w:highlight w:val="none"/>
        </w:rPr>
      </w:pPr>
      <w:r>
        <w:rPr>
          <w:rFonts w:hint="default" w:ascii="Times New Roman" w:hAnsi="Times New Roman" w:cs="Times New Roman"/>
          <w:color w:val="0000FF"/>
          <w:highlight w:val="none"/>
        </w:rPr>
        <w:t>西侧为</w:t>
      </w:r>
      <w:r>
        <w:rPr>
          <w:rFonts w:hint="eastAsia" w:cs="Times New Roman"/>
          <w:color w:val="0000FF"/>
          <w:highlight w:val="none"/>
          <w:lang w:eastAsia="zh-CN"/>
        </w:rPr>
        <w:t>住宅区，东侧为生产区；</w:t>
      </w:r>
      <w:r>
        <w:rPr>
          <w:rFonts w:hint="default" w:ascii="Times New Roman" w:hAnsi="Times New Roman" w:cs="Times New Roman"/>
          <w:color w:val="0000FF"/>
          <w:highlight w:val="none"/>
        </w:rPr>
        <w:t>办公楼位于</w:t>
      </w:r>
      <w:r>
        <w:rPr>
          <w:rFonts w:hint="eastAsia" w:cs="Times New Roman"/>
          <w:color w:val="0000FF"/>
          <w:highlight w:val="none"/>
          <w:lang w:eastAsia="zh-CN"/>
        </w:rPr>
        <w:t>生产区南</w:t>
      </w:r>
      <w:r>
        <w:rPr>
          <w:rFonts w:hint="default" w:ascii="Times New Roman" w:hAnsi="Times New Roman" w:cs="Times New Roman"/>
          <w:color w:val="0000FF"/>
          <w:highlight w:val="none"/>
        </w:rPr>
        <w:t>侧位置，</w:t>
      </w:r>
      <w:r>
        <w:rPr>
          <w:rFonts w:hint="eastAsia" w:cs="Times New Roman"/>
          <w:color w:val="0000FF"/>
          <w:highlight w:val="none"/>
          <w:lang w:eastAsia="zh-CN"/>
        </w:rPr>
        <w:t>厂区大门位于南侧中部位置；现有</w:t>
      </w:r>
      <w:r>
        <w:rPr>
          <w:rFonts w:hint="default" w:ascii="Times New Roman" w:hAnsi="Times New Roman" w:cs="Times New Roman"/>
          <w:color w:val="0000FF"/>
          <w:highlight w:val="none"/>
        </w:rPr>
        <w:t>锅炉房位于</w:t>
      </w:r>
      <w:r>
        <w:rPr>
          <w:rFonts w:hint="eastAsia" w:cs="Times New Roman"/>
          <w:color w:val="0000FF"/>
          <w:highlight w:val="none"/>
          <w:lang w:eastAsia="zh-CN"/>
        </w:rPr>
        <w:t>生产区</w:t>
      </w:r>
      <w:r>
        <w:rPr>
          <w:rFonts w:hint="default" w:ascii="Times New Roman" w:hAnsi="Times New Roman" w:cs="Times New Roman"/>
          <w:color w:val="0000FF"/>
          <w:highlight w:val="none"/>
        </w:rPr>
        <w:t>中部，新建</w:t>
      </w:r>
      <w:r>
        <w:rPr>
          <w:rFonts w:hint="eastAsia" w:cs="Times New Roman"/>
          <w:color w:val="0000FF"/>
          <w:highlight w:val="none"/>
          <w:lang w:eastAsia="zh-CN"/>
        </w:rPr>
        <w:t>锅炉房位于现有锅炉房东侧；</w:t>
      </w:r>
      <w:r>
        <w:rPr>
          <w:rFonts w:hint="default" w:ascii="Times New Roman" w:hAnsi="Times New Roman" w:cs="Times New Roman"/>
          <w:color w:val="0000FF"/>
          <w:highlight w:val="none"/>
        </w:rPr>
        <w:t>厂区内四周均有绿化草坪及高大乔木，绿化率大于11.2%。本项目建设配套的除渣、脱硫</w:t>
      </w:r>
      <w:r>
        <w:rPr>
          <w:rFonts w:hint="eastAsia" w:cs="Times New Roman"/>
          <w:color w:val="0000FF"/>
          <w:highlight w:val="none"/>
          <w:lang w:eastAsia="zh-CN"/>
        </w:rPr>
        <w:t>、</w:t>
      </w:r>
      <w:r>
        <w:rPr>
          <w:rFonts w:hint="default" w:ascii="Times New Roman" w:hAnsi="Times New Roman" w:cs="Times New Roman"/>
          <w:color w:val="0000FF"/>
          <w:highlight w:val="none"/>
        </w:rPr>
        <w:t>除尘及脱硝设施，建成后污染物均能达标排放，对区域环境质量影响较小，不会改变区域环境质量功能。</w:t>
      </w:r>
    </w:p>
    <w:p>
      <w:pPr>
        <w:bidi w:val="0"/>
        <w:rPr>
          <w:rFonts w:hint="default" w:ascii="Times New Roman" w:hAnsi="Times New Roman" w:cs="Times New Roman"/>
          <w:color w:val="0000FF"/>
          <w:highlight w:val="none"/>
        </w:rPr>
      </w:pPr>
      <w:r>
        <w:rPr>
          <w:rFonts w:hint="default" w:ascii="Times New Roman" w:hAnsi="Times New Roman" w:cs="Times New Roman"/>
          <w:color w:val="0000FF"/>
          <w:highlight w:val="none"/>
        </w:rPr>
        <w:t>本项目平面布置是在满足生产工艺要求的前提下，结合场地实际情况，根据运输、消防、安全、环保等方面的要求，考虑到主要锅炉房、辅助生产设施及生产管理各自的功能和相互协作，充分利用建设场地力求紧凑合理，进而达到节省投资，有利生产、方便管理的目的。</w:t>
      </w:r>
      <w:r>
        <w:rPr>
          <w:rFonts w:hint="eastAsia" w:cs="Times New Roman"/>
          <w:color w:val="0000FF"/>
          <w:highlight w:val="none"/>
          <w:lang w:eastAsia="zh-CN"/>
        </w:rPr>
        <w:t>综合分析</w:t>
      </w:r>
      <w:r>
        <w:rPr>
          <w:rFonts w:hint="default" w:ascii="Times New Roman" w:hAnsi="Times New Roman" w:cs="Times New Roman"/>
          <w:color w:val="0000FF"/>
          <w:highlight w:val="none"/>
        </w:rPr>
        <w:t>项目总平面布置较合理。</w:t>
      </w:r>
    </w:p>
    <w:p>
      <w:pPr>
        <w:pStyle w:val="5"/>
        <w:keepNext w:val="0"/>
        <w:keepLines w:val="0"/>
        <w:pageBreakBefore w:val="0"/>
        <w:widowControl w:val="0"/>
        <w:numPr>
          <w:ilvl w:val="0"/>
          <w:numId w:val="0"/>
        </w:numPr>
        <w:tabs>
          <w:tab w:val="left" w:pos="1100"/>
        </w:tabs>
        <w:kinsoku/>
        <w:wordWrap/>
        <w:overflowPunct/>
        <w:topLinePunct w:val="0"/>
        <w:autoSpaceDE w:val="0"/>
        <w:autoSpaceDN w:val="0"/>
        <w:bidi w:val="0"/>
        <w:adjustRightInd w:val="0"/>
        <w:snapToGrid w:val="0"/>
        <w:spacing w:line="360" w:lineRule="auto"/>
        <w:ind w:leftChars="200"/>
        <w:jc w:val="both"/>
        <w:textAlignment w:val="auto"/>
        <w:rPr>
          <w:highlight w:val="none"/>
        </w:rPr>
      </w:pPr>
      <w:bookmarkStart w:id="119" w:name="3.1.12_施工组织方案"/>
      <w:bookmarkEnd w:id="119"/>
      <w:bookmarkStart w:id="120" w:name="_bookmark16"/>
      <w:bookmarkEnd w:id="120"/>
      <w:bookmarkStart w:id="121" w:name="3.2_工程分析"/>
      <w:bookmarkEnd w:id="121"/>
      <w:bookmarkStart w:id="122" w:name="_Toc20934"/>
      <w:bookmarkStart w:id="123" w:name="_Toc8951"/>
      <w:bookmarkStart w:id="124" w:name="_Toc24963"/>
      <w:r>
        <w:rPr>
          <w:rFonts w:hint="eastAsia"/>
          <w:highlight w:val="none"/>
          <w:lang w:val="en-US" w:eastAsia="zh-CN"/>
        </w:rPr>
        <w:t xml:space="preserve">3.3 </w:t>
      </w:r>
      <w:r>
        <w:rPr>
          <w:highlight w:val="none"/>
        </w:rPr>
        <w:t>工程分析</w:t>
      </w:r>
      <w:bookmarkEnd w:id="122"/>
      <w:bookmarkEnd w:id="123"/>
      <w:bookmarkEnd w:id="124"/>
    </w:p>
    <w:p>
      <w:pPr>
        <w:pStyle w:val="6"/>
        <w:numPr>
          <w:ilvl w:val="0"/>
          <w:numId w:val="0"/>
        </w:numPr>
        <w:tabs>
          <w:tab w:val="left" w:pos="1241"/>
        </w:tabs>
        <w:spacing w:line="360" w:lineRule="auto"/>
        <w:ind w:left="539" w:leftChars="0"/>
        <w:jc w:val="both"/>
        <w:rPr>
          <w:highlight w:val="none"/>
        </w:rPr>
      </w:pPr>
      <w:bookmarkStart w:id="125" w:name="3.2.1_施工期工程分析"/>
      <w:bookmarkEnd w:id="125"/>
      <w:r>
        <w:rPr>
          <w:rFonts w:hint="default" w:ascii="Times New Roman" w:hAnsi="Times New Roman" w:cs="Times New Roman"/>
          <w:highlight w:val="none"/>
          <w:lang w:val="en-US" w:eastAsia="zh-CN"/>
        </w:rPr>
        <w:t xml:space="preserve">3.3.1 </w:t>
      </w:r>
      <w:r>
        <w:rPr>
          <w:rFonts w:hint="default" w:ascii="Times New Roman" w:hAnsi="Times New Roman" w:cs="Times New Roman"/>
          <w:highlight w:val="none"/>
        </w:rPr>
        <w:t>施工期</w:t>
      </w:r>
      <w:r>
        <w:rPr>
          <w:rFonts w:hint="eastAsia"/>
          <w:highlight w:val="none"/>
          <w:lang w:eastAsia="zh-CN"/>
        </w:rPr>
        <w:t>产污环节和污染源分析</w:t>
      </w:r>
    </w:p>
    <w:p>
      <w:pPr>
        <w:pStyle w:val="63"/>
        <w:spacing w:line="360" w:lineRule="auto"/>
        <w:rPr>
          <w:color w:val="auto"/>
          <w:highlight w:val="none"/>
        </w:rPr>
      </w:pPr>
      <w:r>
        <w:rPr>
          <w:color w:val="auto"/>
          <w:highlight w:val="none"/>
        </w:rPr>
        <w:t>施工期</w:t>
      </w:r>
      <w:r>
        <w:rPr>
          <w:rFonts w:hint="eastAsia"/>
          <w:color w:val="auto"/>
          <w:highlight w:val="none"/>
        </w:rPr>
        <w:t>工程内容主要为基础工程、主体工程（锅炉房建设）和设备安装，期</w:t>
      </w:r>
      <w:r>
        <w:rPr>
          <w:color w:val="auto"/>
          <w:highlight w:val="none"/>
        </w:rPr>
        <w:t>间产生施工</w:t>
      </w:r>
      <w:r>
        <w:rPr>
          <w:rFonts w:hint="eastAsia"/>
          <w:color w:val="auto"/>
          <w:highlight w:val="none"/>
        </w:rPr>
        <w:t>扬尘、装修废气，</w:t>
      </w:r>
      <w:r>
        <w:rPr>
          <w:color w:val="auto"/>
          <w:highlight w:val="none"/>
        </w:rPr>
        <w:t>噪声、建筑垃圾</w:t>
      </w:r>
      <w:r>
        <w:rPr>
          <w:rFonts w:hint="eastAsia"/>
          <w:color w:val="auto"/>
          <w:highlight w:val="none"/>
        </w:rPr>
        <w:t>等，其生产工艺流程及产污节点见图3.</w:t>
      </w:r>
      <w:r>
        <w:rPr>
          <w:rFonts w:hint="eastAsia"/>
          <w:color w:val="auto"/>
          <w:highlight w:val="none"/>
          <w:lang w:val="en-US" w:eastAsia="zh-CN"/>
        </w:rPr>
        <w:t>3</w:t>
      </w:r>
      <w:r>
        <w:rPr>
          <w:rFonts w:hint="eastAsia"/>
          <w:color w:val="auto"/>
          <w:highlight w:val="none"/>
        </w:rPr>
        <w:t>-1。</w:t>
      </w:r>
    </w:p>
    <w:p>
      <w:pPr>
        <w:adjustRightInd w:val="0"/>
        <w:snapToGrid w:val="0"/>
        <w:spacing w:line="360" w:lineRule="auto"/>
        <w:ind w:left="0" w:lef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drawing>
          <wp:inline distT="0" distB="0" distL="114300" distR="114300">
            <wp:extent cx="5369560" cy="209804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7">
                      <a:clrChange>
                        <a:clrFrom>
                          <a:srgbClr val="FFFFFF"/>
                        </a:clrFrom>
                        <a:clrTo>
                          <a:srgbClr val="FFFFFF">
                            <a:alpha val="0"/>
                          </a:srgbClr>
                        </a:clrTo>
                      </a:clrChange>
                    </a:blip>
                    <a:stretch>
                      <a:fillRect/>
                    </a:stretch>
                  </pic:blipFill>
                  <pic:spPr>
                    <a:xfrm>
                      <a:off x="0" y="0"/>
                      <a:ext cx="5369560" cy="2098040"/>
                    </a:xfrm>
                    <a:prstGeom prst="rect">
                      <a:avLst/>
                    </a:prstGeom>
                    <a:noFill/>
                    <a:ln>
                      <a:noFill/>
                    </a:ln>
                  </pic:spPr>
                </pic:pic>
              </a:graphicData>
            </a:graphic>
          </wp:inline>
        </w:drawing>
      </w:r>
      <w:r>
        <w:rPr>
          <w:rFonts w:hint="default" w:ascii="Times New Roman" w:hAnsi="Times New Roman" w:eastAsia="宋体" w:cs="Times New Roman"/>
          <w:b/>
          <w:bCs/>
          <w:color w:val="auto"/>
          <w:sz w:val="21"/>
          <w:szCs w:val="21"/>
          <w:highlight w:val="none"/>
        </w:rPr>
        <w:t>图3.</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-1    施工工艺流程及产污节点图</w:t>
      </w:r>
    </w:p>
    <w:p>
      <w:pPr>
        <w:pStyle w:val="63"/>
        <w:spacing w:line="360" w:lineRule="auto"/>
        <w:rPr>
          <w:color w:val="auto"/>
          <w:highlight w:val="none"/>
        </w:rPr>
      </w:pPr>
      <w:r>
        <w:rPr>
          <w:rFonts w:hint="eastAsia" w:cs="Times New Roman"/>
          <w:color w:val="auto"/>
          <w:highlight w:val="none"/>
        </w:rPr>
        <w:t>（1）</w:t>
      </w:r>
      <w:r>
        <w:rPr>
          <w:rFonts w:hint="eastAsia"/>
          <w:color w:val="auto"/>
          <w:highlight w:val="none"/>
        </w:rPr>
        <w:t>扬尘、废气</w:t>
      </w:r>
    </w:p>
    <w:p>
      <w:pPr>
        <w:pStyle w:val="63"/>
        <w:spacing w:line="360" w:lineRule="auto"/>
        <w:rPr>
          <w:color w:val="auto"/>
          <w:highlight w:val="none"/>
        </w:rPr>
      </w:pPr>
      <w:r>
        <w:rPr>
          <w:rFonts w:hint="eastAsia"/>
          <w:color w:val="auto"/>
          <w:highlight w:val="none"/>
        </w:rPr>
        <w:t>①施工扬尘</w:t>
      </w:r>
    </w:p>
    <w:p>
      <w:pPr>
        <w:pStyle w:val="63"/>
        <w:spacing w:line="360" w:lineRule="auto"/>
        <w:rPr>
          <w:color w:val="auto"/>
          <w:highlight w:val="none"/>
        </w:rPr>
      </w:pPr>
      <w:r>
        <w:rPr>
          <w:rFonts w:hint="eastAsia"/>
          <w:color w:val="auto"/>
          <w:highlight w:val="none"/>
          <w:lang w:eastAsia="zh-CN"/>
        </w:rPr>
        <w:t>现有锅炉房拆除、新建锅炉房</w:t>
      </w:r>
      <w:r>
        <w:rPr>
          <w:color w:val="auto"/>
          <w:highlight w:val="none"/>
        </w:rPr>
        <w:t>基础开挖、</w:t>
      </w:r>
      <w:r>
        <w:rPr>
          <w:rFonts w:hint="eastAsia"/>
          <w:color w:val="auto"/>
          <w:highlight w:val="none"/>
          <w:lang w:eastAsia="zh-CN"/>
        </w:rPr>
        <w:t>土建</w:t>
      </w:r>
      <w:r>
        <w:rPr>
          <w:rFonts w:hint="eastAsia"/>
          <w:color w:val="auto"/>
          <w:highlight w:val="none"/>
        </w:rPr>
        <w:t>建设、</w:t>
      </w:r>
      <w:r>
        <w:rPr>
          <w:color w:val="auto"/>
          <w:highlight w:val="none"/>
        </w:rPr>
        <w:t>施工渣土堆场、进出车辆带</w:t>
      </w:r>
      <w:r>
        <w:rPr>
          <w:rFonts w:hint="eastAsia"/>
          <w:color w:val="auto"/>
          <w:highlight w:val="none"/>
        </w:rPr>
        <w:t>泥沙</w:t>
      </w:r>
      <w:r>
        <w:rPr>
          <w:color w:val="auto"/>
          <w:highlight w:val="none"/>
        </w:rPr>
        <w:t>量、水泥搬运</w:t>
      </w:r>
      <w:r>
        <w:rPr>
          <w:rFonts w:hint="eastAsia"/>
          <w:color w:val="auto"/>
          <w:highlight w:val="none"/>
        </w:rPr>
        <w:t>，砂石、混凝土等建筑材料运输、装卸</w:t>
      </w:r>
      <w:r>
        <w:rPr>
          <w:rFonts w:hint="eastAsia"/>
          <w:color w:val="auto"/>
          <w:highlight w:val="none"/>
          <w:lang w:eastAsia="zh-CN"/>
        </w:rPr>
        <w:t>（建筑废料装卸和运输）</w:t>
      </w:r>
      <w:r>
        <w:rPr>
          <w:rFonts w:hint="eastAsia"/>
          <w:color w:val="auto"/>
          <w:highlight w:val="none"/>
        </w:rPr>
        <w:t>等均可能产生扬尘，要求建设单位施工期间应严格遵守《防治城市扬尘污染技术规范》（</w:t>
      </w:r>
      <w:r>
        <w:rPr>
          <w:color w:val="auto"/>
          <w:highlight w:val="none"/>
        </w:rPr>
        <w:t>HJ/T393-2007</w:t>
      </w:r>
      <w:r>
        <w:rPr>
          <w:rFonts w:hint="eastAsia"/>
          <w:color w:val="auto"/>
          <w:highlight w:val="none"/>
        </w:rPr>
        <w:t>）的要求。</w:t>
      </w:r>
    </w:p>
    <w:p>
      <w:pPr>
        <w:pStyle w:val="63"/>
        <w:spacing w:line="360" w:lineRule="auto"/>
        <w:rPr>
          <w:color w:val="auto"/>
          <w:highlight w:val="none"/>
        </w:rPr>
      </w:pPr>
      <w:r>
        <w:rPr>
          <w:rFonts w:hint="eastAsia"/>
          <w:color w:val="auto"/>
          <w:highlight w:val="none"/>
        </w:rPr>
        <w:t>②废气</w:t>
      </w:r>
    </w:p>
    <w:p>
      <w:pPr>
        <w:pStyle w:val="63"/>
        <w:spacing w:line="360" w:lineRule="auto"/>
        <w:rPr>
          <w:color w:val="auto"/>
          <w:highlight w:val="none"/>
        </w:rPr>
      </w:pPr>
      <w:r>
        <w:rPr>
          <w:rFonts w:hint="eastAsia"/>
          <w:color w:val="auto"/>
          <w:highlight w:val="none"/>
        </w:rPr>
        <w:t>施工期运输机械运行时会产生一定量的尾气，其主要污染物为烃类、一氧化碳及氮氧化物等。</w:t>
      </w:r>
    </w:p>
    <w:p>
      <w:pPr>
        <w:pStyle w:val="63"/>
        <w:spacing w:line="360" w:lineRule="auto"/>
        <w:rPr>
          <w:color w:val="auto"/>
          <w:highlight w:val="none"/>
        </w:rPr>
      </w:pPr>
      <w:r>
        <w:rPr>
          <w:rFonts w:hint="eastAsia"/>
          <w:color w:val="auto"/>
          <w:highlight w:val="none"/>
        </w:rPr>
        <w:t>（2）</w:t>
      </w:r>
      <w:r>
        <w:rPr>
          <w:color w:val="auto"/>
          <w:highlight w:val="none"/>
        </w:rPr>
        <w:t>废水</w:t>
      </w:r>
    </w:p>
    <w:p>
      <w:pPr>
        <w:pStyle w:val="63"/>
        <w:spacing w:line="360" w:lineRule="auto"/>
        <w:rPr>
          <w:color w:val="auto"/>
          <w:highlight w:val="none"/>
        </w:rPr>
      </w:pPr>
      <w:r>
        <w:rPr>
          <w:rFonts w:hint="eastAsia"/>
          <w:color w:val="auto"/>
          <w:highlight w:val="none"/>
        </w:rPr>
        <w:t>①</w:t>
      </w:r>
      <w:r>
        <w:rPr>
          <w:color w:val="auto"/>
          <w:highlight w:val="none"/>
        </w:rPr>
        <w:t>施工废水</w:t>
      </w:r>
    </w:p>
    <w:p>
      <w:pPr>
        <w:pStyle w:val="63"/>
        <w:spacing w:line="360" w:lineRule="auto"/>
        <w:rPr>
          <w:color w:val="auto"/>
          <w:highlight w:val="none"/>
        </w:rPr>
      </w:pPr>
      <w:r>
        <w:rPr>
          <w:color w:val="auto"/>
          <w:highlight w:val="none"/>
        </w:rPr>
        <w:t>施工期产生的废水</w:t>
      </w:r>
      <w:r>
        <w:rPr>
          <w:rFonts w:hint="eastAsia"/>
          <w:color w:val="auto"/>
          <w:highlight w:val="none"/>
        </w:rPr>
        <w:t>包括</w:t>
      </w:r>
      <w:r>
        <w:rPr>
          <w:color w:val="auto"/>
          <w:highlight w:val="none"/>
        </w:rPr>
        <w:t>修建基础设施时地基的开挖、混凝土料的备制、建筑时砂石料冲洗及机械清洗</w:t>
      </w:r>
      <w:r>
        <w:rPr>
          <w:rFonts w:hint="eastAsia"/>
          <w:color w:val="auto"/>
          <w:highlight w:val="none"/>
        </w:rPr>
        <w:t>等废水</w:t>
      </w:r>
      <w:r>
        <w:rPr>
          <w:color w:val="auto"/>
          <w:highlight w:val="none"/>
        </w:rPr>
        <w:t>。项目施工产生的污水中主要</w:t>
      </w:r>
      <w:r>
        <w:rPr>
          <w:rFonts w:hint="eastAsia"/>
          <w:color w:val="auto"/>
          <w:highlight w:val="none"/>
        </w:rPr>
        <w:t>是</w:t>
      </w:r>
      <w:r>
        <w:rPr>
          <w:color w:val="auto"/>
          <w:highlight w:val="none"/>
        </w:rPr>
        <w:t>泥沙悬浮物含量较大。为此可以修建沉砂池沉淀后回用于施工过程。施工机械设备冲洗、施工车辆冲洗废水中主要污染物为石油类和悬浮物，</w:t>
      </w:r>
      <w:r>
        <w:rPr>
          <w:rFonts w:hint="eastAsia"/>
          <w:color w:val="auto"/>
          <w:highlight w:val="none"/>
        </w:rPr>
        <w:t>沉淀后用于施工场地抑尘</w:t>
      </w:r>
      <w:r>
        <w:rPr>
          <w:color w:val="auto"/>
          <w:highlight w:val="none"/>
        </w:rPr>
        <w:t>。</w:t>
      </w:r>
    </w:p>
    <w:p>
      <w:pPr>
        <w:pStyle w:val="63"/>
        <w:spacing w:line="360" w:lineRule="auto"/>
        <w:rPr>
          <w:color w:val="auto"/>
          <w:highlight w:val="none"/>
        </w:rPr>
      </w:pPr>
      <w:r>
        <w:rPr>
          <w:rFonts w:hint="eastAsia"/>
          <w:color w:val="auto"/>
          <w:highlight w:val="none"/>
        </w:rPr>
        <w:t>②</w:t>
      </w:r>
      <w:r>
        <w:rPr>
          <w:color w:val="auto"/>
          <w:highlight w:val="none"/>
        </w:rPr>
        <w:t>生活污水</w:t>
      </w:r>
    </w:p>
    <w:p>
      <w:pPr>
        <w:pStyle w:val="63"/>
        <w:spacing w:line="360" w:lineRule="auto"/>
        <w:jc w:val="both"/>
        <w:rPr>
          <w:color w:val="auto"/>
          <w:highlight w:val="none"/>
        </w:rPr>
      </w:pPr>
      <w:r>
        <w:rPr>
          <w:rFonts w:hint="eastAsia"/>
          <w:color w:val="auto"/>
          <w:highlight w:val="none"/>
        </w:rPr>
        <w:t>项目施工高峰期按施工人数3</w:t>
      </w:r>
      <w:r>
        <w:rPr>
          <w:color w:val="auto"/>
          <w:highlight w:val="none"/>
        </w:rPr>
        <w:t>0</w:t>
      </w:r>
      <w:r>
        <w:rPr>
          <w:rFonts w:hint="eastAsia"/>
          <w:color w:val="auto"/>
          <w:highlight w:val="none"/>
        </w:rPr>
        <w:t>人计，生活用水定额</w:t>
      </w:r>
      <w:r>
        <w:rPr>
          <w:color w:val="auto"/>
          <w:highlight w:val="none"/>
        </w:rPr>
        <w:t>50L/</w:t>
      </w:r>
      <w:r>
        <w:rPr>
          <w:rFonts w:hint="eastAsia"/>
          <w:color w:val="auto"/>
          <w:highlight w:val="none"/>
        </w:rPr>
        <w:t>人</w:t>
      </w:r>
      <w:r>
        <w:rPr>
          <w:color w:val="auto"/>
          <w:highlight w:val="none"/>
        </w:rPr>
        <w:t>.d</w:t>
      </w:r>
      <w:r>
        <w:rPr>
          <w:rFonts w:hint="eastAsia"/>
          <w:color w:val="auto"/>
          <w:highlight w:val="none"/>
        </w:rPr>
        <w:t>计取，</w:t>
      </w:r>
      <w:r>
        <w:rPr>
          <w:color w:val="auto"/>
          <w:highlight w:val="none"/>
        </w:rPr>
        <w:t>生活污水按用水量的8</w:t>
      </w:r>
      <w:r>
        <w:rPr>
          <w:rFonts w:hint="eastAsia"/>
          <w:color w:val="auto"/>
          <w:highlight w:val="none"/>
          <w:lang w:val="en-US" w:eastAsia="zh-CN"/>
        </w:rPr>
        <w:t>5</w:t>
      </w:r>
      <w:r>
        <w:rPr>
          <w:color w:val="auto"/>
          <w:highlight w:val="none"/>
        </w:rPr>
        <w:t>%计</w:t>
      </w:r>
      <w:r>
        <w:rPr>
          <w:rFonts w:hint="eastAsia"/>
          <w:color w:val="auto"/>
          <w:highlight w:val="none"/>
        </w:rPr>
        <w:t>，则施工期间产生的生活废水为</w:t>
      </w:r>
      <w:r>
        <w:rPr>
          <w:color w:val="auto"/>
          <w:highlight w:val="none"/>
        </w:rPr>
        <w:t>Q=</w:t>
      </w:r>
      <w:r>
        <w:rPr>
          <w:rFonts w:hint="eastAsia"/>
          <w:color w:val="auto"/>
          <w:highlight w:val="none"/>
        </w:rPr>
        <w:t>3</w:t>
      </w:r>
      <w:r>
        <w:rPr>
          <w:color w:val="auto"/>
          <w:highlight w:val="none"/>
        </w:rPr>
        <w:t>0</w:t>
      </w:r>
      <w:r>
        <w:rPr>
          <w:rFonts w:hint="eastAsia"/>
          <w:color w:val="auto"/>
          <w:highlight w:val="none"/>
        </w:rPr>
        <w:t>人</w:t>
      </w:r>
      <w:r>
        <w:rPr>
          <w:color w:val="auto"/>
          <w:highlight w:val="none"/>
        </w:rPr>
        <w:t>×50L/</w:t>
      </w:r>
      <w:r>
        <w:rPr>
          <w:rFonts w:hint="eastAsia"/>
          <w:color w:val="auto"/>
          <w:highlight w:val="none"/>
        </w:rPr>
        <w:t>人</w:t>
      </w:r>
      <w:r>
        <w:rPr>
          <w:rFonts w:cs="Times New Roman"/>
          <w:color w:val="auto"/>
          <w:highlight w:val="none"/>
        </w:rPr>
        <w:t>·</w:t>
      </w:r>
      <w:r>
        <w:rPr>
          <w:color w:val="auto"/>
          <w:highlight w:val="none"/>
        </w:rPr>
        <w:t>d×0.8</w:t>
      </w:r>
      <w:r>
        <w:rPr>
          <w:rFonts w:hint="eastAsia"/>
          <w:color w:val="auto"/>
          <w:highlight w:val="none"/>
          <w:lang w:val="en-US" w:eastAsia="zh-CN"/>
        </w:rPr>
        <w:t>5</w:t>
      </w:r>
      <w:r>
        <w:rPr>
          <w:color w:val="auto"/>
          <w:highlight w:val="none"/>
        </w:rPr>
        <w:t>=</w:t>
      </w:r>
      <w:r>
        <w:rPr>
          <w:rFonts w:hint="eastAsia"/>
          <w:color w:val="auto"/>
          <w:highlight w:val="none"/>
        </w:rPr>
        <w:t>1.2</w:t>
      </w:r>
      <w:r>
        <w:rPr>
          <w:rFonts w:hint="eastAsia"/>
          <w:color w:val="auto"/>
          <w:highlight w:val="none"/>
          <w:lang w:val="en-US" w:eastAsia="zh-CN"/>
        </w:rPr>
        <w:t>8</w:t>
      </w:r>
      <w:r>
        <w:rPr>
          <w:rFonts w:hint="eastAsia"/>
          <w:color w:val="auto"/>
          <w:highlight w:val="none"/>
        </w:rPr>
        <w:t>m</w:t>
      </w:r>
      <w:r>
        <w:rPr>
          <w:rFonts w:hint="eastAsia"/>
          <w:color w:val="auto"/>
          <w:highlight w:val="none"/>
          <w:vertAlign w:val="superscript"/>
        </w:rPr>
        <w:t>3</w:t>
      </w:r>
      <w:r>
        <w:rPr>
          <w:color w:val="auto"/>
          <w:highlight w:val="none"/>
        </w:rPr>
        <w:t>/d</w:t>
      </w:r>
      <w:r>
        <w:rPr>
          <w:rFonts w:hint="eastAsia"/>
          <w:color w:val="auto"/>
          <w:highlight w:val="none"/>
        </w:rPr>
        <w:t>，全部排入现有下水管网，由污水处理厂处置。</w:t>
      </w:r>
    </w:p>
    <w:p>
      <w:pPr>
        <w:pStyle w:val="63"/>
        <w:spacing w:line="360" w:lineRule="auto"/>
        <w:rPr>
          <w:color w:val="auto"/>
          <w:highlight w:val="none"/>
        </w:rPr>
      </w:pPr>
      <w:r>
        <w:rPr>
          <w:rFonts w:hint="eastAsia"/>
          <w:color w:val="auto"/>
          <w:highlight w:val="none"/>
        </w:rPr>
        <w:t>（3）</w:t>
      </w:r>
      <w:r>
        <w:rPr>
          <w:color w:val="auto"/>
          <w:highlight w:val="none"/>
        </w:rPr>
        <w:t>噪声</w:t>
      </w:r>
    </w:p>
    <w:p>
      <w:pPr>
        <w:pStyle w:val="63"/>
        <w:spacing w:line="360" w:lineRule="auto"/>
        <w:rPr>
          <w:color w:val="auto"/>
          <w:highlight w:val="none"/>
        </w:rPr>
      </w:pPr>
      <w:r>
        <w:rPr>
          <w:rFonts w:hint="eastAsia"/>
          <w:color w:val="auto"/>
          <w:highlight w:val="none"/>
        </w:rPr>
        <w:t>工程施工中的噪声源可分为连续噪声源和流动噪声源。连续噪声源主要是</w:t>
      </w:r>
      <w:r>
        <w:rPr>
          <w:color w:val="auto"/>
          <w:highlight w:val="none"/>
        </w:rPr>
        <w:t>砂石料加工、</w:t>
      </w:r>
      <w:r>
        <w:rPr>
          <w:rFonts w:hint="eastAsia"/>
          <w:color w:val="auto"/>
          <w:highlight w:val="none"/>
        </w:rPr>
        <w:t>空压机、搅拌机及其他各类机泵产生的噪声；流动噪声源主要是机动车辆、挖掘机及其他作业设备产生的噪声。</w:t>
      </w:r>
    </w:p>
    <w:p>
      <w:pPr>
        <w:pStyle w:val="63"/>
        <w:spacing w:line="360" w:lineRule="auto"/>
        <w:rPr>
          <w:color w:val="auto"/>
          <w:highlight w:val="none"/>
        </w:rPr>
      </w:pPr>
      <w:r>
        <w:rPr>
          <w:rFonts w:hint="eastAsia"/>
          <w:color w:val="auto"/>
          <w:highlight w:val="none"/>
        </w:rPr>
        <w:t>（4）</w:t>
      </w:r>
      <w:r>
        <w:rPr>
          <w:color w:val="auto"/>
          <w:highlight w:val="none"/>
        </w:rPr>
        <w:t>固体废物</w:t>
      </w:r>
    </w:p>
    <w:p>
      <w:pPr>
        <w:pStyle w:val="63"/>
        <w:spacing w:line="360" w:lineRule="auto"/>
        <w:rPr>
          <w:color w:val="auto"/>
          <w:highlight w:val="none"/>
        </w:rPr>
      </w:pPr>
      <w:r>
        <w:rPr>
          <w:rFonts w:hint="eastAsia"/>
          <w:color w:val="auto"/>
          <w:highlight w:val="none"/>
        </w:rPr>
        <w:t>①施工土石方及建筑垃圾</w:t>
      </w:r>
    </w:p>
    <w:p>
      <w:pPr>
        <w:pStyle w:val="63"/>
        <w:spacing w:line="360" w:lineRule="auto"/>
        <w:rPr>
          <w:rFonts w:cs="Times New Roman"/>
          <w:color w:val="auto"/>
          <w:highlight w:val="none"/>
        </w:rPr>
      </w:pPr>
      <w:r>
        <w:rPr>
          <w:rFonts w:cs="Times New Roman"/>
          <w:color w:val="auto"/>
          <w:highlight w:val="none"/>
        </w:rPr>
        <w:t>施工期基础开挖产生的土石方，产生量较少。</w:t>
      </w:r>
      <w:r>
        <w:rPr>
          <w:rFonts w:hint="eastAsia" w:cs="Times New Roman"/>
          <w:color w:val="auto"/>
          <w:highlight w:val="none"/>
        </w:rPr>
        <w:t>原有锅炉拆除产生少</w:t>
      </w:r>
      <w:r>
        <w:rPr>
          <w:rFonts w:hint="eastAsia" w:cs="Times New Roman"/>
          <w:color w:val="auto"/>
          <w:highlight w:val="none"/>
          <w:lang w:eastAsia="zh-CN"/>
        </w:rPr>
        <w:t>量</w:t>
      </w:r>
      <w:r>
        <w:rPr>
          <w:rFonts w:hint="eastAsia" w:cs="Times New Roman"/>
          <w:color w:val="auto"/>
          <w:highlight w:val="none"/>
        </w:rPr>
        <w:t>废旧金属。</w:t>
      </w:r>
      <w:r>
        <w:rPr>
          <w:rFonts w:cs="Times New Roman"/>
          <w:color w:val="auto"/>
          <w:highlight w:val="none"/>
        </w:rPr>
        <w:t>产生的建筑垃圾主要包括砂石、石块、碎砖瓦、废木料、废金属、废钢筋等杂物，可回收的应尽量回收，不能回收的经集中收集后由施工单位及时清运，以免影响施工和环境卫生。</w:t>
      </w:r>
    </w:p>
    <w:p>
      <w:pPr>
        <w:pStyle w:val="63"/>
        <w:spacing w:line="360" w:lineRule="auto"/>
        <w:rPr>
          <w:rFonts w:cs="Times New Roman"/>
          <w:color w:val="auto"/>
          <w:highlight w:val="none"/>
        </w:rPr>
      </w:pPr>
      <w:r>
        <w:rPr>
          <w:rFonts w:cs="Times New Roman"/>
          <w:color w:val="auto"/>
          <w:highlight w:val="none"/>
        </w:rPr>
        <w:t>②施工人员生活垃圾</w:t>
      </w:r>
    </w:p>
    <w:p>
      <w:pPr>
        <w:pStyle w:val="14"/>
        <w:spacing w:line="360" w:lineRule="auto"/>
        <w:ind w:left="0" w:firstLine="480" w:firstLineChars="200"/>
        <w:jc w:val="both"/>
      </w:pPr>
      <w:r>
        <w:rPr>
          <w:color w:val="auto"/>
          <w:highlight w:val="none"/>
        </w:rPr>
        <w:t>施工期间项目施工高峰期施工人员按</w:t>
      </w:r>
      <w:r>
        <w:rPr>
          <w:rFonts w:hint="eastAsia"/>
          <w:color w:val="auto"/>
          <w:highlight w:val="none"/>
        </w:rPr>
        <w:t>3</w:t>
      </w:r>
      <w:r>
        <w:rPr>
          <w:color w:val="auto"/>
          <w:highlight w:val="none"/>
        </w:rPr>
        <w:t>0人计，生活垃圾按0.50kg/人·d计，则施工期间生活垃圾日产生量约</w:t>
      </w:r>
      <w:r>
        <w:rPr>
          <w:rFonts w:hint="eastAsia"/>
          <w:color w:val="auto"/>
          <w:highlight w:val="none"/>
        </w:rPr>
        <w:t>1</w:t>
      </w:r>
      <w:r>
        <w:rPr>
          <w:color w:val="auto"/>
          <w:highlight w:val="none"/>
        </w:rPr>
        <w:t>5kg/d。</w:t>
      </w:r>
      <w:r>
        <w:rPr>
          <w:rFonts w:hint="eastAsia"/>
          <w:color w:val="auto"/>
          <w:highlight w:val="none"/>
          <w:lang w:eastAsia="zh-CN"/>
        </w:rPr>
        <w:t>生活</w:t>
      </w:r>
      <w:r>
        <w:rPr>
          <w:color w:val="auto"/>
          <w:highlight w:val="none"/>
        </w:rPr>
        <w:t>垃圾经收集后委托环卫部门统一清运至垃圾</w:t>
      </w:r>
      <w:r>
        <w:rPr>
          <w:rFonts w:hint="eastAsia"/>
          <w:color w:val="auto"/>
          <w:highlight w:val="none"/>
          <w:lang w:eastAsia="zh-CN"/>
        </w:rPr>
        <w:t>填埋</w:t>
      </w:r>
      <w:r>
        <w:rPr>
          <w:color w:val="auto"/>
          <w:highlight w:val="none"/>
        </w:rPr>
        <w:t>场进行处置。</w:t>
      </w:r>
    </w:p>
    <w:p>
      <w:pPr>
        <w:pStyle w:val="6"/>
        <w:keepNext w:val="0"/>
        <w:keepLines w:val="0"/>
        <w:pageBreakBefore w:val="0"/>
        <w:widowControl w:val="0"/>
        <w:numPr>
          <w:ilvl w:val="0"/>
          <w:numId w:val="0"/>
        </w:numPr>
        <w:tabs>
          <w:tab w:val="left" w:pos="1241"/>
        </w:tabs>
        <w:kinsoku/>
        <w:wordWrap/>
        <w:overflowPunct/>
        <w:topLinePunct w:val="0"/>
        <w:autoSpaceDE w:val="0"/>
        <w:autoSpaceDN w:val="0"/>
        <w:bidi w:val="0"/>
        <w:adjustRightInd w:val="0"/>
        <w:snapToGrid w:val="0"/>
        <w:spacing w:line="360" w:lineRule="auto"/>
        <w:ind w:firstLine="562" w:firstLineChars="200"/>
        <w:jc w:val="both"/>
        <w:textAlignment w:val="auto"/>
      </w:pPr>
      <w:bookmarkStart w:id="126" w:name="3.2.3_运营期污染源分析"/>
      <w:bookmarkEnd w:id="126"/>
      <w:r>
        <w:rPr>
          <w:rFonts w:hint="default" w:ascii="Times New Roman" w:hAnsi="Times New Roman" w:cs="Times New Roman"/>
          <w:lang w:val="en-US" w:eastAsia="zh-CN"/>
        </w:rPr>
        <w:t xml:space="preserve">3.3.2 </w:t>
      </w:r>
      <w:r>
        <w:t>运营期</w:t>
      </w:r>
      <w:r>
        <w:rPr>
          <w:rFonts w:hint="eastAsia"/>
          <w:lang w:eastAsia="zh-CN"/>
        </w:rPr>
        <w:t>废气</w:t>
      </w:r>
      <w:r>
        <w:t>污染源</w:t>
      </w:r>
    </w:p>
    <w:p>
      <w:pPr>
        <w:widowControl/>
        <w:spacing w:line="360" w:lineRule="auto"/>
        <w:ind w:firstLine="480" w:firstLineChars="200"/>
        <w:jc w:val="left"/>
        <w:rPr>
          <w:color w:val="auto"/>
          <w:kern w:val="0"/>
          <w:sz w:val="24"/>
          <w:szCs w:val="24"/>
          <w:highlight w:val="none"/>
        </w:rPr>
      </w:pPr>
      <w:bookmarkStart w:id="127" w:name="3.2.3.1_运营期大气污染源分析"/>
      <w:bookmarkEnd w:id="127"/>
      <w:r>
        <w:rPr>
          <w:rFonts w:hint="eastAsia"/>
          <w:color w:val="auto"/>
          <w:kern w:val="0"/>
          <w:sz w:val="24"/>
          <w:szCs w:val="24"/>
          <w:highlight w:val="none"/>
        </w:rPr>
        <w:t>本项目主要大气污染源是锅炉烟气、输出煤系统煤尘、煤场、灰渣场粉尘。</w:t>
      </w:r>
    </w:p>
    <w:p>
      <w:pPr>
        <w:pStyle w:val="7"/>
        <w:bidi w:val="0"/>
        <w:jc w:val="both"/>
        <w:rPr>
          <w:color w:val="auto"/>
          <w:highlight w:val="none"/>
        </w:rPr>
      </w:pPr>
      <w:r>
        <w:rPr>
          <w:rFonts w:hint="eastAsia"/>
          <w:color w:val="auto"/>
          <w:highlight w:val="none"/>
          <w:lang w:val="en-US" w:eastAsia="zh-CN"/>
        </w:rPr>
        <w:t xml:space="preserve">3.3.2.1 </w:t>
      </w:r>
      <w:r>
        <w:rPr>
          <w:color w:val="auto"/>
          <w:highlight w:val="none"/>
        </w:rPr>
        <w:t>有组织废气</w:t>
      </w:r>
    </w:p>
    <w:p>
      <w:pPr>
        <w:numPr>
          <w:ilvl w:val="0"/>
          <w:numId w:val="16"/>
        </w:numPr>
        <w:bidi w:val="0"/>
        <w:rPr>
          <w:rFonts w:hint="eastAsia"/>
          <w:color w:val="0000FF"/>
          <w:highlight w:val="none"/>
        </w:rPr>
      </w:pPr>
      <w:r>
        <w:rPr>
          <w:color w:val="0000FF"/>
          <w:highlight w:val="none"/>
        </w:rPr>
        <w:t>锅炉</w:t>
      </w:r>
      <w:r>
        <w:rPr>
          <w:rFonts w:hint="eastAsia"/>
          <w:color w:val="0000FF"/>
          <w:highlight w:val="none"/>
        </w:rPr>
        <w:t>烟气</w:t>
      </w:r>
    </w:p>
    <w:p>
      <w:pPr>
        <w:bidi w:val="0"/>
        <w:rPr>
          <w:rFonts w:ascii="Times New Roman" w:hAnsi="Times New Roman"/>
          <w:color w:val="0000FF"/>
          <w:kern w:val="2"/>
          <w:highlight w:val="none"/>
        </w:rPr>
      </w:pPr>
      <w:r>
        <w:rPr>
          <w:rFonts w:ascii="Times New Roman" w:hAnsi="Times New Roman"/>
          <w:color w:val="0000FF"/>
          <w:kern w:val="2"/>
          <w:highlight w:val="none"/>
        </w:rPr>
        <w:t>锅炉燃煤产生的烟气是本项目的主要大气污染源，烟气中所含的主要污染因子为</w:t>
      </w:r>
      <w:r>
        <w:rPr>
          <w:rFonts w:hint="eastAsia" w:ascii="Times New Roman" w:hAnsi="Times New Roman"/>
          <w:color w:val="0000FF"/>
          <w:kern w:val="2"/>
          <w:highlight w:val="none"/>
          <w:lang w:eastAsia="zh-CN"/>
        </w:rPr>
        <w:t>颗粒物</w:t>
      </w:r>
      <w:r>
        <w:rPr>
          <w:rFonts w:ascii="Times New Roman" w:hAnsi="Times New Roman"/>
          <w:color w:val="0000FF"/>
          <w:kern w:val="2"/>
          <w:highlight w:val="none"/>
        </w:rPr>
        <w:t>、SO</w:t>
      </w:r>
      <w:r>
        <w:rPr>
          <w:rFonts w:ascii="Times New Roman" w:hAnsi="Times New Roman"/>
          <w:color w:val="0000FF"/>
          <w:kern w:val="2"/>
          <w:highlight w:val="none"/>
          <w:vertAlign w:val="subscript"/>
        </w:rPr>
        <w:t>2</w:t>
      </w:r>
      <w:r>
        <w:rPr>
          <w:rFonts w:ascii="Times New Roman" w:hAnsi="Times New Roman"/>
          <w:color w:val="0000FF"/>
          <w:kern w:val="2"/>
          <w:highlight w:val="none"/>
        </w:rPr>
        <w:t>、NO</w:t>
      </w:r>
      <w:r>
        <w:rPr>
          <w:rFonts w:hint="eastAsia" w:ascii="Times New Roman" w:hAnsi="Times New Roman"/>
          <w:color w:val="0000FF"/>
          <w:kern w:val="2"/>
          <w:highlight w:val="none"/>
          <w:vertAlign w:val="subscript"/>
          <w:lang w:val="en-US" w:eastAsia="zh-CN"/>
        </w:rPr>
        <w:t>X</w:t>
      </w:r>
      <w:r>
        <w:rPr>
          <w:rFonts w:hint="eastAsia" w:ascii="Times New Roman" w:hAnsi="Times New Roman"/>
          <w:color w:val="0000FF"/>
          <w:kern w:val="2"/>
          <w:highlight w:val="none"/>
        </w:rPr>
        <w:t>和汞及其化合物</w:t>
      </w:r>
      <w:r>
        <w:rPr>
          <w:rFonts w:ascii="Times New Roman" w:hAnsi="Times New Roman"/>
          <w:color w:val="0000FF"/>
          <w:kern w:val="2"/>
          <w:highlight w:val="none"/>
        </w:rPr>
        <w:t>。</w:t>
      </w:r>
    </w:p>
    <w:p>
      <w:pPr>
        <w:bidi w:val="0"/>
        <w:rPr>
          <w:color w:val="0000FF"/>
          <w:highlight w:val="none"/>
        </w:rPr>
      </w:pPr>
      <w:r>
        <w:rPr>
          <w:color w:val="0000FF"/>
          <w:highlight w:val="none"/>
        </w:rPr>
        <w:t>根据建设单位提供的</w:t>
      </w:r>
      <w:r>
        <w:rPr>
          <w:rFonts w:hint="eastAsia"/>
          <w:color w:val="0000FF"/>
          <w:highlight w:val="none"/>
        </w:rPr>
        <w:t>资</w:t>
      </w:r>
      <w:r>
        <w:rPr>
          <w:color w:val="0000FF"/>
          <w:highlight w:val="none"/>
        </w:rPr>
        <w:t>料，1台</w:t>
      </w:r>
      <w:r>
        <w:rPr>
          <w:rFonts w:hint="eastAsia"/>
          <w:color w:val="0000FF"/>
          <w:highlight w:val="none"/>
          <w:lang w:val="en-US" w:eastAsia="zh-CN"/>
        </w:rPr>
        <w:t>90t/h</w:t>
      </w:r>
      <w:r>
        <w:rPr>
          <w:rFonts w:hint="eastAsia"/>
          <w:color w:val="0000FF"/>
          <w:highlight w:val="none"/>
        </w:rPr>
        <w:t>燃煤锅炉</w:t>
      </w:r>
      <w:r>
        <w:rPr>
          <w:color w:val="0000FF"/>
          <w:highlight w:val="none"/>
        </w:rPr>
        <w:t>年耗煤量为</w:t>
      </w:r>
      <w:r>
        <w:rPr>
          <w:rFonts w:hint="eastAsia"/>
          <w:color w:val="0000FF"/>
          <w:highlight w:val="none"/>
          <w:lang w:val="en-US" w:eastAsia="zh-CN"/>
        </w:rPr>
        <w:t>39469.13</w:t>
      </w:r>
      <w:r>
        <w:rPr>
          <w:rFonts w:hint="eastAsia"/>
          <w:color w:val="0000FF"/>
          <w:highlight w:val="none"/>
        </w:rPr>
        <w:t>t</w:t>
      </w:r>
      <w:r>
        <w:rPr>
          <w:color w:val="0000FF"/>
          <w:highlight w:val="none"/>
        </w:rPr>
        <w:t>。烟气处理措施采用</w:t>
      </w:r>
      <w:r>
        <w:rPr>
          <w:rFonts w:hint="eastAsia"/>
          <w:color w:val="0000FF"/>
          <w:highlight w:val="none"/>
        </w:rPr>
        <w:t>SNCR</w:t>
      </w:r>
      <w:r>
        <w:rPr>
          <w:color w:val="0000FF"/>
          <w:highlight w:val="none"/>
        </w:rPr>
        <w:t>工艺脱硝</w:t>
      </w:r>
      <w:r>
        <w:rPr>
          <w:rFonts w:hint="eastAsia"/>
          <w:color w:val="0000FF"/>
          <w:highlight w:val="none"/>
          <w:lang w:eastAsia="zh-CN"/>
        </w:rPr>
        <w:t>、</w:t>
      </w:r>
      <w:r>
        <w:rPr>
          <w:rFonts w:hint="eastAsia"/>
          <w:color w:val="0000FF"/>
          <w:highlight w:val="none"/>
        </w:rPr>
        <w:t>袋式除尘</w:t>
      </w:r>
      <w:r>
        <w:rPr>
          <w:rFonts w:hint="eastAsia"/>
          <w:color w:val="0000FF"/>
          <w:highlight w:val="none"/>
          <w:lang w:eastAsia="zh-CN"/>
        </w:rPr>
        <w:t>、</w:t>
      </w:r>
      <w:r>
        <w:rPr>
          <w:rFonts w:hint="eastAsia"/>
          <w:color w:val="00B050"/>
          <w:highlight w:val="none"/>
          <w:lang w:eastAsia="zh-CN"/>
        </w:rPr>
        <w:t>石灰石膏法</w:t>
      </w:r>
      <w:r>
        <w:rPr>
          <w:color w:val="00B050"/>
          <w:highlight w:val="none"/>
        </w:rPr>
        <w:t>脱硫。</w:t>
      </w:r>
      <w:r>
        <w:rPr>
          <w:color w:val="0000FF"/>
          <w:highlight w:val="none"/>
        </w:rPr>
        <w:t>烟气处理效率</w:t>
      </w:r>
      <w:r>
        <w:rPr>
          <w:rFonts w:hint="eastAsia"/>
          <w:color w:val="0000FF"/>
          <w:highlight w:val="none"/>
          <w:lang w:eastAsia="zh-CN"/>
        </w:rPr>
        <w:t>：</w:t>
      </w:r>
      <w:r>
        <w:rPr>
          <w:rFonts w:hint="eastAsia"/>
          <w:color w:val="0000FF"/>
          <w:highlight w:val="none"/>
        </w:rPr>
        <w:t>SNCR</w:t>
      </w:r>
      <w:r>
        <w:rPr>
          <w:color w:val="0000FF"/>
          <w:highlight w:val="none"/>
        </w:rPr>
        <w:t>工艺脱硝</w:t>
      </w:r>
      <w:r>
        <w:rPr>
          <w:rFonts w:hint="eastAsia"/>
          <w:color w:val="0000FF"/>
          <w:highlight w:val="none"/>
        </w:rPr>
        <w:t>效率</w:t>
      </w:r>
      <w:r>
        <w:rPr>
          <w:rFonts w:hint="eastAsia"/>
          <w:color w:val="0000FF"/>
          <w:highlight w:val="none"/>
          <w:lang w:val="en-US" w:eastAsia="zh-CN"/>
        </w:rPr>
        <w:t>4</w:t>
      </w:r>
      <w:r>
        <w:rPr>
          <w:color w:val="0000FF"/>
          <w:highlight w:val="none"/>
        </w:rPr>
        <w:t>0%</w:t>
      </w:r>
      <w:r>
        <w:rPr>
          <w:rFonts w:hint="eastAsia"/>
          <w:color w:val="0000FF"/>
          <w:highlight w:val="none"/>
        </w:rPr>
        <w:t>，布袋</w:t>
      </w:r>
      <w:r>
        <w:rPr>
          <w:color w:val="0000FF"/>
          <w:highlight w:val="none"/>
        </w:rPr>
        <w:t>除尘</w:t>
      </w:r>
      <w:r>
        <w:rPr>
          <w:rFonts w:hint="eastAsia"/>
          <w:color w:val="0000FF"/>
          <w:highlight w:val="none"/>
        </w:rPr>
        <w:t>效率</w:t>
      </w:r>
      <w:r>
        <w:rPr>
          <w:color w:val="0000FF"/>
          <w:highlight w:val="none"/>
        </w:rPr>
        <w:t>9</w:t>
      </w:r>
      <w:r>
        <w:rPr>
          <w:rFonts w:hint="eastAsia"/>
          <w:color w:val="0000FF"/>
          <w:highlight w:val="none"/>
        </w:rPr>
        <w:t>9.5</w:t>
      </w:r>
      <w:r>
        <w:rPr>
          <w:color w:val="0000FF"/>
          <w:highlight w:val="none"/>
        </w:rPr>
        <w:t>%，</w:t>
      </w:r>
      <w:r>
        <w:rPr>
          <w:rFonts w:hint="eastAsia"/>
          <w:color w:val="00B050"/>
          <w:highlight w:val="none"/>
          <w:lang w:eastAsia="zh-CN"/>
        </w:rPr>
        <w:t>石灰石膏法</w:t>
      </w:r>
      <w:r>
        <w:rPr>
          <w:color w:val="0000FF"/>
          <w:highlight w:val="none"/>
        </w:rPr>
        <w:t>脱硫</w:t>
      </w:r>
      <w:r>
        <w:rPr>
          <w:rFonts w:hint="eastAsia"/>
          <w:color w:val="0000FF"/>
          <w:highlight w:val="none"/>
        </w:rPr>
        <w:t>效率85</w:t>
      </w:r>
      <w:r>
        <w:rPr>
          <w:color w:val="0000FF"/>
          <w:highlight w:val="none"/>
        </w:rPr>
        <w:t>%进行计算。锅炉烟气排放满足《</w:t>
      </w:r>
      <w:r>
        <w:rPr>
          <w:rFonts w:hint="eastAsia"/>
          <w:color w:val="0000FF"/>
          <w:highlight w:val="none"/>
          <w:lang w:eastAsia="zh-CN"/>
        </w:rPr>
        <w:t>火电厂大气污染物排放标准</w:t>
      </w:r>
      <w:r>
        <w:rPr>
          <w:color w:val="0000FF"/>
          <w:highlight w:val="none"/>
        </w:rPr>
        <w:t>》（</w:t>
      </w:r>
      <w:r>
        <w:rPr>
          <w:rFonts w:hint="eastAsia"/>
          <w:color w:val="0000FF"/>
          <w:highlight w:val="none"/>
          <w:lang w:eastAsia="zh-CN"/>
        </w:rPr>
        <w:t>GB13223-2011</w:t>
      </w:r>
      <w:r>
        <w:rPr>
          <w:color w:val="0000FF"/>
          <w:highlight w:val="none"/>
        </w:rPr>
        <w:t>）中</w:t>
      </w:r>
      <w:r>
        <w:rPr>
          <w:rFonts w:hint="eastAsia"/>
          <w:color w:val="0000FF"/>
          <w:highlight w:val="none"/>
          <w:lang w:eastAsia="zh-CN"/>
        </w:rPr>
        <w:t>表</w:t>
      </w:r>
      <w:r>
        <w:rPr>
          <w:rFonts w:hint="eastAsia"/>
          <w:color w:val="0000FF"/>
          <w:highlight w:val="none"/>
          <w:lang w:val="en-US" w:eastAsia="zh-CN"/>
        </w:rPr>
        <w:t>1（</w:t>
      </w:r>
      <w:r>
        <w:rPr>
          <w:rFonts w:hint="eastAsia" w:eastAsia="宋体"/>
          <w:color w:val="0000FF"/>
          <w:sz w:val="24"/>
          <w:szCs w:val="24"/>
          <w:lang w:val="en-US" w:eastAsia="zh-CN"/>
        </w:rPr>
        <w:t>火力发电锅炉及燃气轮机组</w:t>
      </w:r>
      <w:r>
        <w:rPr>
          <w:rFonts w:hint="eastAsia"/>
          <w:color w:val="0000FF"/>
          <w:highlight w:val="none"/>
          <w:lang w:val="en-US" w:eastAsia="zh-CN"/>
        </w:rPr>
        <w:t>）</w:t>
      </w:r>
      <w:r>
        <w:rPr>
          <w:rFonts w:hint="eastAsia"/>
          <w:color w:val="0000FF"/>
          <w:highlight w:val="none"/>
          <w:lang w:eastAsia="zh-CN"/>
        </w:rPr>
        <w:t>大气污染物排放浓度限值</w:t>
      </w:r>
      <w:r>
        <w:rPr>
          <w:color w:val="0000FF"/>
          <w:highlight w:val="none"/>
        </w:rPr>
        <w:t>。</w:t>
      </w:r>
    </w:p>
    <w:p>
      <w:pPr>
        <w:pStyle w:val="62"/>
        <w:jc w:val="both"/>
        <w:rPr>
          <w:rFonts w:ascii="Times New Roman" w:hAnsi="Times New Roman"/>
          <w:color w:val="auto"/>
          <w:kern w:val="2"/>
          <w:highlight w:val="none"/>
        </w:rPr>
      </w:pPr>
      <w:r>
        <w:rPr>
          <w:rFonts w:hint="eastAsia" w:ascii="Times New Roman" w:hAnsi="Times New Roman"/>
          <w:color w:val="auto"/>
          <w:kern w:val="2"/>
          <w:highlight w:val="none"/>
        </w:rPr>
        <w:t>①</w:t>
      </w:r>
      <w:r>
        <w:rPr>
          <w:rFonts w:ascii="Times New Roman" w:hAnsi="Times New Roman"/>
          <w:color w:val="auto"/>
          <w:kern w:val="2"/>
          <w:highlight w:val="none"/>
        </w:rPr>
        <w:t>废气排放总量</w:t>
      </w:r>
    </w:p>
    <w:p>
      <w:pPr>
        <w:bidi w:val="0"/>
        <w:rPr>
          <w:color w:val="auto"/>
          <w:highlight w:val="none"/>
        </w:rPr>
      </w:pPr>
      <w:r>
        <w:rPr>
          <w:color w:val="auto"/>
          <w:highlight w:val="none"/>
        </w:rPr>
        <w:t>根据《排污许可证申请与核发技术规范</w:t>
      </w:r>
      <w:r>
        <w:rPr>
          <w:rFonts w:hint="eastAsia"/>
          <w:color w:val="auto"/>
          <w:highlight w:val="none"/>
          <w:lang w:val="en-US" w:eastAsia="zh-CN"/>
        </w:rPr>
        <w:t xml:space="preserve"> </w:t>
      </w:r>
      <w:r>
        <w:rPr>
          <w:color w:val="auto"/>
          <w:highlight w:val="none"/>
        </w:rPr>
        <w:t>锅炉》（HJ983-2018）中5.2.3许可排放量5.2.3.2基准烟气量核算方中推荐的经验公式估算法如下：</w:t>
      </w:r>
    </w:p>
    <w:p>
      <w:pPr>
        <w:pStyle w:val="18"/>
        <w:numPr>
          <w:ilvl w:val="0"/>
          <w:numId w:val="0"/>
        </w:numPr>
        <w:spacing w:line="240" w:lineRule="auto"/>
        <w:jc w:val="center"/>
        <w:rPr>
          <w:rFonts w:hint="default" w:ascii="Times New Roman" w:hAnsi="Times New Roman" w:eastAsia="宋体" w:cs="Times New Roman"/>
          <w:b/>
          <w:bCs/>
          <w:color w:val="auto"/>
          <w:sz w:val="21"/>
          <w:szCs w:val="20"/>
          <w:highlight w:val="none"/>
        </w:rPr>
      </w:pPr>
    </w:p>
    <w:p>
      <w:pPr>
        <w:pStyle w:val="18"/>
        <w:numPr>
          <w:ilvl w:val="0"/>
          <w:numId w:val="0"/>
        </w:numPr>
        <w:spacing w:line="240" w:lineRule="auto"/>
        <w:jc w:val="center"/>
        <w:rPr>
          <w:rFonts w:hint="default" w:ascii="Times New Roman" w:hAnsi="Times New Roman" w:eastAsia="宋体" w:cs="Times New Roman"/>
          <w:b/>
          <w:bCs/>
          <w:color w:val="auto"/>
          <w:sz w:val="21"/>
          <w:szCs w:val="20"/>
          <w:highlight w:val="none"/>
        </w:rPr>
      </w:pPr>
    </w:p>
    <w:p>
      <w:pPr>
        <w:pStyle w:val="18"/>
        <w:numPr>
          <w:ilvl w:val="0"/>
          <w:numId w:val="0"/>
        </w:numPr>
        <w:spacing w:line="240" w:lineRule="auto"/>
        <w:jc w:val="center"/>
        <w:rPr>
          <w:rFonts w:hint="default" w:ascii="Times New Roman" w:hAnsi="Times New Roman" w:eastAsia="宋体" w:cs="Times New Roman"/>
          <w:b/>
          <w:bCs/>
          <w:color w:val="auto"/>
          <w:sz w:val="21"/>
          <w:szCs w:val="20"/>
          <w:highlight w:val="none"/>
        </w:rPr>
      </w:pPr>
    </w:p>
    <w:p>
      <w:pPr>
        <w:pStyle w:val="18"/>
        <w:numPr>
          <w:ilvl w:val="0"/>
          <w:numId w:val="0"/>
        </w:numPr>
        <w:spacing w:line="240" w:lineRule="auto"/>
        <w:jc w:val="center"/>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表3.</w:t>
      </w:r>
      <w:r>
        <w:rPr>
          <w:rFonts w:hint="eastAsia" w:cs="Times New Roman"/>
          <w:b/>
          <w:bCs/>
          <w:color w:val="auto"/>
          <w:sz w:val="21"/>
          <w:szCs w:val="20"/>
          <w:highlight w:val="none"/>
          <w:lang w:val="en-US" w:eastAsia="zh-CN"/>
        </w:rPr>
        <w:t>11-</w:t>
      </w:r>
      <w:r>
        <w:rPr>
          <w:rFonts w:hint="default" w:ascii="Times New Roman" w:hAnsi="Times New Roman" w:eastAsia="宋体" w:cs="Times New Roman"/>
          <w:b/>
          <w:bCs/>
          <w:color w:val="auto"/>
          <w:sz w:val="21"/>
          <w:szCs w:val="20"/>
          <w:highlight w:val="none"/>
        </w:rPr>
        <w:t>1     基准烟气量取值表</w:t>
      </w:r>
    </w:p>
    <w:p>
      <w:pPr>
        <w:pStyle w:val="18"/>
        <w:numPr>
          <w:ilvl w:val="0"/>
          <w:numId w:val="0"/>
        </w:numPr>
        <w:jc w:val="both"/>
        <w:rPr>
          <w:rFonts w:hint="default" w:ascii="Times New Roman" w:hAnsi="Times New Roman" w:eastAsia="宋体" w:cs="Times New Roman"/>
          <w:color w:val="auto"/>
          <w:sz w:val="21"/>
          <w:szCs w:val="21"/>
          <w:highlight w:val="none"/>
        </w:rPr>
      </w:pPr>
      <w:r>
        <w:rPr>
          <w:color w:val="auto"/>
          <w:highlight w:val="none"/>
        </w:rPr>
        <w:drawing>
          <wp:inline distT="0" distB="0" distL="114300" distR="114300">
            <wp:extent cx="5505450" cy="3742055"/>
            <wp:effectExtent l="0" t="0" r="0" b="1079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8"/>
                    <a:stretch>
                      <a:fillRect/>
                    </a:stretch>
                  </pic:blipFill>
                  <pic:spPr>
                    <a:xfrm>
                      <a:off x="0" y="0"/>
                      <a:ext cx="5505450" cy="3742055"/>
                    </a:xfrm>
                    <a:prstGeom prst="rect">
                      <a:avLst/>
                    </a:prstGeom>
                    <a:noFill/>
                    <a:ln>
                      <a:noFill/>
                    </a:ln>
                  </pic:spPr>
                </pic:pic>
              </a:graphicData>
            </a:graphic>
          </wp:inline>
        </w:drawing>
      </w:r>
    </w:p>
    <w:p>
      <w:pPr>
        <w:pStyle w:val="14"/>
        <w:spacing w:line="338" w:lineRule="auto"/>
        <w:ind w:left="241" w:right="237" w:firstLine="480"/>
        <w:jc w:val="both"/>
        <w:rPr>
          <w:rFonts w:ascii="Times New Roman" w:hAnsi="Times New Roman" w:cs="Times New Roman"/>
          <w:color w:val="auto"/>
          <w:highlight w:val="none"/>
        </w:rPr>
      </w:pPr>
      <w:r>
        <w:rPr>
          <w:rFonts w:ascii="Times New Roman" w:hAnsi="Times New Roman" w:cs="Times New Roman"/>
          <w:color w:val="auto"/>
          <w:highlight w:val="none"/>
        </w:rPr>
        <w:t>经查阅本项目的煤质分析报告，Q</w:t>
      </w:r>
      <w:r>
        <w:rPr>
          <w:rFonts w:ascii="Times New Roman" w:hAnsi="Times New Roman" w:cs="Times New Roman"/>
          <w:color w:val="auto"/>
          <w:highlight w:val="none"/>
          <w:vertAlign w:val="subscript"/>
        </w:rPr>
        <w:t>net·ar</w:t>
      </w:r>
      <w:r>
        <w:rPr>
          <w:rFonts w:ascii="Times New Roman" w:hAnsi="Times New Roman" w:cs="Times New Roman"/>
          <w:color w:val="auto"/>
          <w:highlight w:val="none"/>
        </w:rPr>
        <w:t>=</w:t>
      </w:r>
      <w:r>
        <w:rPr>
          <w:rFonts w:hint="eastAsia" w:cs="Times New Roman"/>
          <w:color w:val="0000FF"/>
          <w:highlight w:val="none"/>
          <w:lang w:val="en-US" w:eastAsia="zh-CN"/>
        </w:rPr>
        <w:t>19.30</w:t>
      </w:r>
      <w:r>
        <w:rPr>
          <w:rFonts w:ascii="Times New Roman" w:hAnsi="Times New Roman" w:cs="Times New Roman"/>
          <w:color w:val="auto"/>
          <w:highlight w:val="none"/>
        </w:rPr>
        <w:t>MJ/kg</w:t>
      </w:r>
      <w:r>
        <w:rPr>
          <w:rFonts w:hint="eastAsia" w:ascii="Times New Roman" w:hAnsi="Times New Roman" w:cs="Times New Roman"/>
          <w:color w:val="auto"/>
          <w:highlight w:val="none"/>
        </w:rPr>
        <w:t>，</w:t>
      </w:r>
      <w:r>
        <w:rPr>
          <w:rFonts w:ascii="Times New Roman" w:hAnsi="Times New Roman" w:cs="Times New Roman"/>
          <w:color w:val="auto"/>
          <w:highlight w:val="none"/>
        </w:rPr>
        <w:t>V</w:t>
      </w:r>
      <w:r>
        <w:rPr>
          <w:rFonts w:ascii="Times New Roman" w:hAnsi="Times New Roman" w:cs="Times New Roman"/>
          <w:color w:val="auto"/>
          <w:highlight w:val="none"/>
          <w:vertAlign w:val="subscript"/>
        </w:rPr>
        <w:t>daf</w:t>
      </w:r>
      <w:r>
        <w:rPr>
          <w:rFonts w:ascii="Times New Roman" w:hAnsi="Times New Roman" w:cs="Times New Roman"/>
          <w:color w:val="auto"/>
          <w:highlight w:val="none"/>
        </w:rPr>
        <w:t>=</w:t>
      </w:r>
      <w:r>
        <w:rPr>
          <w:rFonts w:hint="eastAsia" w:cs="Times New Roman"/>
          <w:color w:val="0000FF"/>
          <w:highlight w:val="none"/>
          <w:lang w:val="en-US" w:eastAsia="zh-CN"/>
        </w:rPr>
        <w:t>37.57</w:t>
      </w:r>
      <w:r>
        <w:rPr>
          <w:rFonts w:ascii="Times New Roman" w:hAnsi="Times New Roman" w:cs="Times New Roman"/>
          <w:color w:val="0000FF"/>
          <w:highlight w:val="none"/>
        </w:rPr>
        <w:t>%</w:t>
      </w:r>
      <w:r>
        <w:rPr>
          <w:rFonts w:ascii="Times New Roman" w:hAnsi="Times New Roman" w:cs="Times New Roman"/>
          <w:color w:val="auto"/>
          <w:highlight w:val="none"/>
        </w:rPr>
        <w:t>。因此本项目的基准烟气量为</w:t>
      </w:r>
      <w:r>
        <w:rPr>
          <w:rFonts w:hint="eastAsia" w:cs="Times New Roman"/>
          <w:color w:val="0000FF"/>
          <w:highlight w:val="none"/>
          <w:lang w:val="en-US" w:eastAsia="zh-CN"/>
        </w:rPr>
        <w:t>8.8503</w:t>
      </w:r>
      <w:r>
        <w:rPr>
          <w:rFonts w:ascii="Times New Roman" w:hAnsi="Times New Roman" w:cs="Times New Roman"/>
          <w:color w:val="0000FF"/>
          <w:highlight w:val="none"/>
        </w:rPr>
        <w:t>Nm</w:t>
      </w:r>
      <w:r>
        <w:rPr>
          <w:rFonts w:ascii="Times New Roman" w:hAnsi="Times New Roman" w:cs="Times New Roman"/>
          <w:color w:val="0000FF"/>
          <w:highlight w:val="none"/>
          <w:vertAlign w:val="superscript"/>
        </w:rPr>
        <w:t>3</w:t>
      </w:r>
      <w:r>
        <w:rPr>
          <w:rFonts w:ascii="Times New Roman" w:hAnsi="Times New Roman" w:cs="Times New Roman"/>
          <w:color w:val="0000FF"/>
          <w:highlight w:val="none"/>
        </w:rPr>
        <w:t>/kg</w:t>
      </w:r>
      <w:r>
        <w:rPr>
          <w:rFonts w:ascii="Times New Roman" w:hAnsi="Times New Roman" w:cs="Times New Roman"/>
          <w:color w:val="auto"/>
          <w:highlight w:val="none"/>
        </w:rPr>
        <w:t>，则</w:t>
      </w:r>
      <w:r>
        <w:rPr>
          <w:rFonts w:hint="eastAsia" w:ascii="Times New Roman" w:hAnsi="Times New Roman" w:cs="Times New Roman"/>
          <w:color w:val="auto"/>
          <w:highlight w:val="none"/>
        </w:rPr>
        <w:t>本项目锅炉</w:t>
      </w:r>
      <w:r>
        <w:rPr>
          <w:rFonts w:ascii="Times New Roman" w:hAnsi="Times New Roman" w:cs="Times New Roman"/>
          <w:color w:val="auto"/>
          <w:highlight w:val="none"/>
        </w:rPr>
        <w:t>的烟气量为</w:t>
      </w:r>
      <w:r>
        <w:rPr>
          <w:rFonts w:hint="eastAsia" w:cs="Times New Roman"/>
          <w:color w:val="0000FF"/>
          <w:highlight w:val="none"/>
          <w:lang w:val="en-US" w:eastAsia="zh-CN"/>
        </w:rPr>
        <w:t>3.49</w:t>
      </w:r>
      <w:r>
        <w:rPr>
          <w:rFonts w:ascii="Times New Roman" w:hAnsi="Times New Roman" w:cs="Times New Roman"/>
          <w:color w:val="0000FF"/>
          <w:highlight w:val="none"/>
        </w:rPr>
        <w:t>×10</w:t>
      </w:r>
      <w:r>
        <w:rPr>
          <w:rFonts w:hint="eastAsia" w:cs="Times New Roman"/>
          <w:color w:val="0000FF"/>
          <w:highlight w:val="none"/>
          <w:vertAlign w:val="superscript"/>
          <w:lang w:val="en-US" w:eastAsia="zh-CN"/>
        </w:rPr>
        <w:t>8</w:t>
      </w:r>
      <w:r>
        <w:rPr>
          <w:rFonts w:hint="eastAsia" w:ascii="Times New Roman" w:hAnsi="Times New Roman" w:cs="Times New Roman"/>
          <w:color w:val="0000FF"/>
          <w:highlight w:val="none"/>
          <w:vertAlign w:val="baseline"/>
          <w:lang w:val="en-US" w:eastAsia="zh-CN"/>
        </w:rPr>
        <w:t>N</w:t>
      </w:r>
      <w:r>
        <w:rPr>
          <w:rFonts w:ascii="Times New Roman" w:hAnsi="Times New Roman" w:cs="Times New Roman"/>
          <w:color w:val="0000FF"/>
          <w:highlight w:val="none"/>
        </w:rPr>
        <w:t>m</w:t>
      </w:r>
      <w:r>
        <w:rPr>
          <w:rFonts w:ascii="Times New Roman" w:hAnsi="Times New Roman" w:cs="Times New Roman"/>
          <w:color w:val="0000FF"/>
          <w:highlight w:val="none"/>
          <w:vertAlign w:val="superscript"/>
        </w:rPr>
        <w:t>3</w:t>
      </w:r>
      <w:r>
        <w:rPr>
          <w:rFonts w:ascii="Times New Roman" w:hAnsi="Times New Roman" w:cs="Times New Roman"/>
          <w:color w:val="0000FF"/>
          <w:highlight w:val="none"/>
        </w:rPr>
        <w:t>/a</w:t>
      </w:r>
      <w:r>
        <w:rPr>
          <w:rFonts w:hint="eastAsia" w:ascii="Times New Roman" w:hAnsi="Times New Roman" w:cs="Times New Roman"/>
          <w:color w:val="0000FF"/>
          <w:highlight w:val="none"/>
        </w:rPr>
        <w:t>（</w:t>
      </w:r>
      <w:r>
        <w:rPr>
          <w:rFonts w:hint="eastAsia" w:cs="Times New Roman"/>
          <w:color w:val="0000FF"/>
          <w:highlight w:val="none"/>
          <w:lang w:val="en-US" w:eastAsia="zh-CN"/>
        </w:rPr>
        <w:t>8.56</w:t>
      </w:r>
      <w:r>
        <w:rPr>
          <w:rFonts w:ascii="Times New Roman" w:hAnsi="Times New Roman" w:cs="Times New Roman"/>
          <w:color w:val="0000FF"/>
          <w:highlight w:val="none"/>
        </w:rPr>
        <w:t>×10</w:t>
      </w:r>
      <w:r>
        <w:rPr>
          <w:rFonts w:hint="eastAsia" w:cs="Times New Roman"/>
          <w:color w:val="0000FF"/>
          <w:highlight w:val="none"/>
          <w:vertAlign w:val="superscript"/>
          <w:lang w:val="en-US" w:eastAsia="zh-CN"/>
        </w:rPr>
        <w:t>4</w:t>
      </w:r>
      <w:r>
        <w:rPr>
          <w:rFonts w:hint="eastAsia" w:ascii="Times New Roman" w:hAnsi="Times New Roman" w:cs="Times New Roman"/>
          <w:color w:val="0000FF"/>
          <w:highlight w:val="none"/>
          <w:vertAlign w:val="baseline"/>
          <w:lang w:val="en-US" w:eastAsia="zh-CN"/>
        </w:rPr>
        <w:t>N</w:t>
      </w:r>
      <w:r>
        <w:rPr>
          <w:rFonts w:ascii="Times New Roman" w:hAnsi="Times New Roman" w:cs="Times New Roman"/>
          <w:color w:val="0000FF"/>
          <w:highlight w:val="none"/>
        </w:rPr>
        <w:t>m</w:t>
      </w:r>
      <w:r>
        <w:rPr>
          <w:rFonts w:ascii="Times New Roman" w:hAnsi="Times New Roman" w:cs="Times New Roman"/>
          <w:color w:val="0000FF"/>
          <w:highlight w:val="none"/>
          <w:vertAlign w:val="superscript"/>
        </w:rPr>
        <w:t>3</w:t>
      </w:r>
      <w:r>
        <w:rPr>
          <w:rFonts w:ascii="Times New Roman" w:hAnsi="Times New Roman" w:cs="Times New Roman"/>
          <w:color w:val="0000FF"/>
          <w:highlight w:val="none"/>
        </w:rPr>
        <w:t>/</w:t>
      </w:r>
      <w:r>
        <w:rPr>
          <w:rFonts w:hint="eastAsia" w:ascii="Times New Roman" w:hAnsi="Times New Roman" w:cs="Times New Roman"/>
          <w:color w:val="0000FF"/>
          <w:highlight w:val="none"/>
        </w:rPr>
        <w:t>h）</w:t>
      </w:r>
      <w:r>
        <w:rPr>
          <w:rFonts w:ascii="Times New Roman" w:hAnsi="Times New Roman" w:cs="Times New Roman"/>
          <w:color w:val="0000FF"/>
          <w:highlight w:val="none"/>
        </w:rPr>
        <w:t>。</w:t>
      </w:r>
    </w:p>
    <w:p>
      <w:pPr>
        <w:pStyle w:val="62"/>
        <w:jc w:val="both"/>
        <w:rPr>
          <w:rFonts w:ascii="Times New Roman" w:hAnsi="Times New Roman"/>
          <w:color w:val="auto"/>
          <w:kern w:val="2"/>
          <w:highlight w:val="none"/>
        </w:rPr>
      </w:pPr>
      <w:r>
        <w:rPr>
          <w:rFonts w:hint="eastAsia" w:ascii="Times New Roman" w:hAnsi="Times New Roman"/>
          <w:color w:val="auto"/>
          <w:kern w:val="2"/>
          <w:highlight w:val="none"/>
        </w:rPr>
        <w:t>②</w:t>
      </w:r>
      <w:r>
        <w:rPr>
          <w:rFonts w:ascii="Times New Roman" w:hAnsi="Times New Roman"/>
          <w:color w:val="auto"/>
          <w:kern w:val="2"/>
          <w:highlight w:val="none"/>
        </w:rPr>
        <w:t>废气中SO</w:t>
      </w:r>
      <w:r>
        <w:rPr>
          <w:rFonts w:ascii="Times New Roman" w:hAnsi="Times New Roman"/>
          <w:color w:val="auto"/>
          <w:kern w:val="2"/>
          <w:highlight w:val="none"/>
          <w:vertAlign w:val="subscript"/>
        </w:rPr>
        <w:t>2</w:t>
      </w:r>
      <w:r>
        <w:rPr>
          <w:rFonts w:ascii="Times New Roman" w:hAnsi="Times New Roman"/>
          <w:color w:val="auto"/>
          <w:kern w:val="2"/>
          <w:highlight w:val="none"/>
        </w:rPr>
        <w:t>排放量计算</w:t>
      </w:r>
    </w:p>
    <w:p>
      <w:pPr>
        <w:spacing w:line="360" w:lineRule="auto"/>
        <w:ind w:firstLine="480" w:firstLineChars="200"/>
        <w:rPr>
          <w:color w:val="auto"/>
          <w:sz w:val="24"/>
          <w:szCs w:val="24"/>
          <w:highlight w:val="none"/>
        </w:rPr>
      </w:pPr>
      <w:r>
        <w:rPr>
          <w:color w:val="auto"/>
          <w:sz w:val="24"/>
          <w:szCs w:val="24"/>
          <w:highlight w:val="none"/>
        </w:rPr>
        <w:t>根据《污染源源强核算技术指南 锅炉》（HJ991-2018），SO</w:t>
      </w:r>
      <w:r>
        <w:rPr>
          <w:color w:val="auto"/>
          <w:sz w:val="24"/>
          <w:szCs w:val="24"/>
          <w:highlight w:val="none"/>
          <w:vertAlign w:val="subscript"/>
        </w:rPr>
        <w:t>2</w:t>
      </w:r>
      <w:r>
        <w:rPr>
          <w:color w:val="auto"/>
          <w:sz w:val="24"/>
          <w:szCs w:val="24"/>
          <w:highlight w:val="none"/>
        </w:rPr>
        <w:t>排放量按以下公式计算：</w:t>
      </w:r>
    </w:p>
    <w:p>
      <w:pPr>
        <w:spacing w:line="360" w:lineRule="auto"/>
        <w:ind w:firstLine="480" w:firstLineChars="200"/>
        <w:jc w:val="center"/>
        <w:rPr>
          <w:color w:val="auto"/>
          <w:sz w:val="24"/>
          <w:szCs w:val="24"/>
          <w:highlight w:val="none"/>
          <w:vertAlign w:val="subscript"/>
        </w:rPr>
      </w:pPr>
      <w:r>
        <w:rPr>
          <w:color w:val="auto"/>
          <w:position w:val="-28"/>
          <w:sz w:val="24"/>
          <w:szCs w:val="24"/>
          <w:highlight w:val="none"/>
          <w:vertAlign w:val="subscript"/>
        </w:rPr>
        <w:object>
          <v:shape id="_x0000_i1025" o:spt="75" type="#_x0000_t75" style="height:36.25pt;width:217.75pt;" o:ole="t" filled="f" o:preferrelative="t" stroked="f" coordsize="21600,21600">
            <v:path/>
            <v:fill on="f" focussize="0,0"/>
            <v:stroke on="f"/>
            <v:imagedata r:id="rId40" o:title=""/>
            <o:lock v:ext="edit" aspectratio="t"/>
            <w10:wrap type="none"/>
            <w10:anchorlock/>
          </v:shape>
          <o:OLEObject Type="Embed" ProgID="Equation.3" ShapeID="_x0000_i1025" DrawAspect="Content" ObjectID="_1468075725" r:id="rId39">
            <o:LockedField>false</o:LockedField>
          </o:OLEObject>
        </w:objec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color w:val="auto"/>
          <w:sz w:val="24"/>
          <w:szCs w:val="24"/>
          <w:highlight w:val="none"/>
        </w:rPr>
      </w:pPr>
      <w:r>
        <w:rPr>
          <w:color w:val="auto"/>
          <w:sz w:val="24"/>
          <w:szCs w:val="24"/>
          <w:highlight w:val="none"/>
        </w:rPr>
        <w:t>式中：E</w:t>
      </w:r>
      <w:r>
        <w:rPr>
          <w:color w:val="auto"/>
          <w:sz w:val="24"/>
          <w:szCs w:val="24"/>
          <w:highlight w:val="none"/>
          <w:vertAlign w:val="subscript"/>
        </w:rPr>
        <w:t>SO2</w:t>
      </w:r>
      <w:r>
        <w:rPr>
          <w:color w:val="auto"/>
          <w:sz w:val="24"/>
          <w:szCs w:val="24"/>
          <w:highlight w:val="none"/>
        </w:rPr>
        <w:t>———核算时段内二氧化硫排放量，t；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color w:val="auto"/>
          <w:sz w:val="24"/>
          <w:szCs w:val="24"/>
          <w:highlight w:val="none"/>
        </w:rPr>
      </w:pPr>
      <w:r>
        <w:rPr>
          <w:color w:val="auto"/>
          <w:sz w:val="24"/>
          <w:szCs w:val="24"/>
          <w:highlight w:val="none"/>
        </w:rPr>
        <w:t>R———核算时段内锅炉燃烧耗量，t；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color w:val="00B050"/>
          <w:sz w:val="24"/>
          <w:szCs w:val="24"/>
          <w:highlight w:val="none"/>
        </w:rPr>
      </w:pPr>
      <w:r>
        <w:rPr>
          <w:color w:val="00B050"/>
          <w:sz w:val="24"/>
          <w:szCs w:val="24"/>
          <w:highlight w:val="none"/>
        </w:rPr>
        <w:t>S</w:t>
      </w:r>
      <w:r>
        <w:rPr>
          <w:color w:val="00B050"/>
          <w:sz w:val="24"/>
          <w:szCs w:val="24"/>
          <w:highlight w:val="none"/>
          <w:vertAlign w:val="subscript"/>
        </w:rPr>
        <w:t>ar</w:t>
      </w:r>
      <w:r>
        <w:rPr>
          <w:color w:val="00B050"/>
          <w:sz w:val="24"/>
          <w:szCs w:val="24"/>
          <w:highlight w:val="none"/>
        </w:rPr>
        <w:t>———收到基硫的质量分数，%；取值</w:t>
      </w:r>
      <w:r>
        <w:rPr>
          <w:rFonts w:hint="eastAsia"/>
          <w:color w:val="00B050"/>
          <w:sz w:val="24"/>
          <w:szCs w:val="24"/>
          <w:highlight w:val="none"/>
          <w:lang w:val="en-US" w:eastAsia="zh-CN"/>
        </w:rPr>
        <w:t>0.09</w:t>
      </w:r>
      <w:r>
        <w:rPr>
          <w:rFonts w:hint="eastAsia"/>
          <w:color w:val="00B050"/>
          <w:sz w:val="24"/>
          <w:szCs w:val="24"/>
          <w:highlight w:val="none"/>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olor w:val="auto"/>
          <w:sz w:val="24"/>
          <w:szCs w:val="24"/>
          <w:highlight w:val="none"/>
        </w:rPr>
      </w:pPr>
      <w:r>
        <w:rPr>
          <w:color w:val="auto"/>
          <w:sz w:val="24"/>
          <w:szCs w:val="24"/>
          <w:highlight w:val="none"/>
        </w:rPr>
        <w:t>q</w:t>
      </w:r>
      <w:r>
        <w:rPr>
          <w:color w:val="auto"/>
          <w:sz w:val="24"/>
          <w:szCs w:val="24"/>
          <w:highlight w:val="none"/>
          <w:vertAlign w:val="subscript"/>
        </w:rPr>
        <w:t>4</w:t>
      </w:r>
      <w:r>
        <w:rPr>
          <w:color w:val="auto"/>
          <w:sz w:val="24"/>
          <w:szCs w:val="24"/>
          <w:highlight w:val="none"/>
        </w:rPr>
        <w:t>———锅炉机械不完全燃烧热损失，%；取值10</w:t>
      </w:r>
      <w:r>
        <w:rPr>
          <w:rFonts w:hint="eastAsia"/>
          <w:color w:val="auto"/>
          <w:sz w:val="24"/>
          <w:szCs w:val="24"/>
          <w:highlight w:val="none"/>
        </w:rPr>
        <w:t>；</w:t>
      </w:r>
    </w:p>
    <w:p>
      <w:pPr>
        <w:pStyle w:val="62"/>
        <w:keepNext w:val="0"/>
        <w:keepLines w:val="0"/>
        <w:pageBreakBefore w:val="0"/>
        <w:kinsoku/>
        <w:wordWrap/>
        <w:overflowPunct/>
        <w:topLinePunct w:val="0"/>
        <w:autoSpaceDE w:val="0"/>
        <w:autoSpaceDN w:val="0"/>
        <w:bidi w:val="0"/>
        <w:adjustRightInd w:val="0"/>
        <w:snapToGrid w:val="0"/>
        <w:ind w:firstLine="480" w:firstLineChars="200"/>
        <w:textAlignment w:val="auto"/>
        <w:rPr>
          <w:rFonts w:ascii="Times New Roman" w:hAnsi="Times New Roman"/>
          <w:color w:val="0070C0"/>
          <w:highlight w:val="none"/>
        </w:rPr>
      </w:pPr>
      <w:r>
        <w:rPr>
          <w:rFonts w:ascii="Times New Roman" w:hAnsi="Times New Roman"/>
          <w:color w:val="0070C0"/>
          <w:highlight w:val="none"/>
          <w:lang w:val="de-DE"/>
        </w:rPr>
        <w:t>ηs</w:t>
      </w:r>
      <w:r>
        <w:rPr>
          <w:rFonts w:ascii="Times New Roman" w:hAnsi="Times New Roman"/>
          <w:color w:val="0070C0"/>
          <w:highlight w:val="none"/>
        </w:rPr>
        <w:t>———</w:t>
      </w:r>
      <w:r>
        <w:rPr>
          <w:rFonts w:ascii="Times New Roman" w:hAnsi="Times New Roman"/>
          <w:color w:val="0070C0"/>
          <w:highlight w:val="none"/>
          <w:lang w:val="de-DE"/>
        </w:rPr>
        <w:t>脱硫效率%，取</w:t>
      </w:r>
      <w:r>
        <w:rPr>
          <w:rFonts w:hint="eastAsia" w:ascii="Times New Roman" w:hAnsi="Times New Roman"/>
          <w:color w:val="0070C0"/>
          <w:highlight w:val="none"/>
        </w:rPr>
        <w:t>85</w:t>
      </w:r>
      <w:r>
        <w:rPr>
          <w:rFonts w:hint="eastAsia" w:ascii="Times New Roman" w:hAnsi="Times New Roman"/>
          <w:color w:val="0070C0"/>
          <w:highlight w:val="none"/>
          <w:lang w:val="de-DE"/>
        </w:rPr>
        <w:t>。</w:t>
      </w:r>
    </w:p>
    <w:p>
      <w:pPr>
        <w:pStyle w:val="62"/>
        <w:keepNext w:val="0"/>
        <w:keepLines w:val="0"/>
        <w:pageBreakBefore w:val="0"/>
        <w:kinsoku/>
        <w:wordWrap/>
        <w:overflowPunct/>
        <w:topLinePunct w:val="0"/>
        <w:autoSpaceDE w:val="0"/>
        <w:autoSpaceDN w:val="0"/>
        <w:bidi w:val="0"/>
        <w:adjustRightInd w:val="0"/>
        <w:snapToGrid w:val="0"/>
        <w:ind w:firstLine="480" w:firstLineChars="200"/>
        <w:textAlignment w:val="auto"/>
        <w:rPr>
          <w:rFonts w:ascii="Times New Roman" w:hAnsi="Times New Roman"/>
          <w:color w:val="auto"/>
          <w:highlight w:val="none"/>
          <w:lang w:val="de-DE"/>
        </w:rPr>
      </w:pPr>
      <w:r>
        <w:rPr>
          <w:rFonts w:ascii="Times New Roman" w:hAnsi="Times New Roman"/>
          <w:color w:val="auto"/>
          <w:highlight w:val="none"/>
        </w:rPr>
        <w:t>K———燃料中的硫燃烧后氧化成二氧化硫的份额，量纲一的量；取值0.8</w:t>
      </w:r>
      <w:r>
        <w:rPr>
          <w:rFonts w:hint="eastAsia" w:ascii="Times New Roman" w:hAnsi="Times New Roman"/>
          <w:color w:val="auto"/>
          <w:highlight w:val="none"/>
        </w:rPr>
        <w:t>0</w:t>
      </w:r>
      <w:r>
        <w:rPr>
          <w:rFonts w:ascii="Times New Roman" w:hAnsi="Times New Roman"/>
          <w:color w:val="auto"/>
          <w:highlight w:val="none"/>
          <w:lang w:val="de-DE"/>
        </w:rPr>
        <w:t>。</w:t>
      </w:r>
    </w:p>
    <w:p>
      <w:pPr>
        <w:bidi w:val="0"/>
        <w:rPr>
          <w:rFonts w:hint="eastAsia" w:ascii="Times New Roman" w:hAnsi="Times New Roman"/>
          <w:color w:val="0000FF"/>
          <w:highlight w:val="none"/>
        </w:rPr>
      </w:pPr>
      <w:r>
        <w:rPr>
          <w:rFonts w:hint="eastAsia" w:ascii="Times New Roman" w:hAnsi="Times New Roman"/>
          <w:color w:val="0000FF"/>
          <w:highlight w:val="none"/>
        </w:rPr>
        <w:t>经计算</w:t>
      </w:r>
      <w:r>
        <w:rPr>
          <w:rFonts w:hint="eastAsia" w:ascii="Times New Roman" w:hAnsi="Times New Roman"/>
          <w:color w:val="0000FF"/>
          <w:highlight w:val="none"/>
          <w:lang w:val="en-US" w:eastAsia="zh-CN"/>
        </w:rPr>
        <w:t>，SO</w:t>
      </w:r>
      <w:r>
        <w:rPr>
          <w:rFonts w:hint="eastAsia" w:ascii="Times New Roman" w:hAnsi="Times New Roman"/>
          <w:color w:val="0000FF"/>
          <w:highlight w:val="none"/>
          <w:vertAlign w:val="subscript"/>
          <w:lang w:val="en-US" w:eastAsia="zh-CN"/>
        </w:rPr>
        <w:t>2</w:t>
      </w:r>
      <w:r>
        <w:rPr>
          <w:rFonts w:hint="eastAsia" w:ascii="Times New Roman" w:hAnsi="Times New Roman"/>
          <w:color w:val="0000FF"/>
          <w:highlight w:val="none"/>
          <w:lang w:val="en-US" w:eastAsia="zh-CN"/>
        </w:rPr>
        <w:t>产生量为</w:t>
      </w:r>
      <w:r>
        <w:rPr>
          <w:rFonts w:hint="eastAsia"/>
          <w:color w:val="0000FF"/>
          <w:highlight w:val="none"/>
          <w:lang w:val="en-US" w:eastAsia="zh-CN"/>
        </w:rPr>
        <w:t>12.53</w:t>
      </w:r>
      <w:r>
        <w:rPr>
          <w:rFonts w:ascii="Times New Roman" w:hAnsi="Times New Roman"/>
          <w:color w:val="0000FF"/>
          <w:highlight w:val="none"/>
        </w:rPr>
        <w:t>kg/h</w:t>
      </w:r>
      <w:r>
        <w:rPr>
          <w:rFonts w:hint="eastAsia" w:ascii="Times New Roman" w:hAnsi="Times New Roman"/>
          <w:color w:val="0000FF"/>
          <w:highlight w:val="none"/>
          <w:lang w:eastAsia="zh-CN"/>
        </w:rPr>
        <w:t>（</w:t>
      </w:r>
      <w:r>
        <w:rPr>
          <w:rFonts w:hint="eastAsia"/>
          <w:color w:val="0000FF"/>
          <w:highlight w:val="none"/>
          <w:lang w:val="en-US" w:eastAsia="zh-CN"/>
        </w:rPr>
        <w:t>51.13</w:t>
      </w:r>
      <w:r>
        <w:rPr>
          <w:rFonts w:ascii="Times New Roman" w:hAnsi="Times New Roman"/>
          <w:color w:val="0000FF"/>
          <w:highlight w:val="none"/>
        </w:rPr>
        <w:t>t/a</w:t>
      </w:r>
      <w:r>
        <w:rPr>
          <w:rFonts w:hint="eastAsia" w:ascii="Times New Roman" w:hAnsi="Times New Roman"/>
          <w:color w:val="0000FF"/>
          <w:highlight w:val="none"/>
          <w:lang w:eastAsia="zh-CN"/>
        </w:rPr>
        <w:t>）</w:t>
      </w:r>
      <w:r>
        <w:rPr>
          <w:rFonts w:hint="eastAsia" w:ascii="Times New Roman" w:hAnsi="Times New Roman"/>
          <w:color w:val="0000FF"/>
          <w:highlight w:val="none"/>
          <w:lang w:val="en-US" w:eastAsia="zh-CN"/>
        </w:rPr>
        <w:t>，产生浓度为</w:t>
      </w:r>
      <w:r>
        <w:rPr>
          <w:rFonts w:hint="eastAsia"/>
          <w:color w:val="0000FF"/>
          <w:highlight w:val="none"/>
          <w:lang w:val="en-US" w:eastAsia="zh-CN"/>
        </w:rPr>
        <w:t>146.38</w:t>
      </w:r>
      <w:r>
        <w:rPr>
          <w:rFonts w:hint="eastAsia" w:ascii="Times New Roman" w:hAnsi="Times New Roman"/>
          <w:color w:val="0000FF"/>
          <w:highlight w:val="none"/>
          <w:lang w:val="en-US" w:eastAsia="zh-CN"/>
        </w:rPr>
        <w:t>mg/m</w:t>
      </w:r>
      <w:r>
        <w:rPr>
          <w:rFonts w:hint="eastAsia" w:ascii="Times New Roman" w:hAnsi="Times New Roman"/>
          <w:color w:val="0000FF"/>
          <w:highlight w:val="none"/>
          <w:vertAlign w:val="superscript"/>
          <w:lang w:val="en-US" w:eastAsia="zh-CN"/>
        </w:rPr>
        <w:t>3</w:t>
      </w:r>
      <w:r>
        <w:rPr>
          <w:rFonts w:hint="eastAsia" w:ascii="Times New Roman" w:hAnsi="Times New Roman"/>
          <w:color w:val="0000FF"/>
          <w:highlight w:val="none"/>
          <w:lang w:val="en-US" w:eastAsia="zh-CN"/>
        </w:rPr>
        <w:t>；</w:t>
      </w:r>
      <w:r>
        <w:rPr>
          <w:rFonts w:ascii="Times New Roman" w:hAnsi="Times New Roman"/>
          <w:color w:val="0000FF"/>
          <w:highlight w:val="none"/>
        </w:rPr>
        <w:t>SO</w:t>
      </w:r>
      <w:r>
        <w:rPr>
          <w:rFonts w:ascii="Times New Roman" w:hAnsi="Times New Roman"/>
          <w:color w:val="0000FF"/>
          <w:highlight w:val="none"/>
          <w:vertAlign w:val="subscript"/>
        </w:rPr>
        <w:t>2</w:t>
      </w:r>
      <w:r>
        <w:rPr>
          <w:rFonts w:ascii="Times New Roman" w:hAnsi="Times New Roman"/>
          <w:color w:val="0000FF"/>
          <w:highlight w:val="none"/>
        </w:rPr>
        <w:t>排放量为</w:t>
      </w:r>
      <w:r>
        <w:rPr>
          <w:rFonts w:hint="eastAsia"/>
          <w:color w:val="0000FF"/>
          <w:highlight w:val="none"/>
          <w:lang w:val="en-US" w:eastAsia="zh-CN"/>
        </w:rPr>
        <w:t>1.88</w:t>
      </w:r>
      <w:r>
        <w:rPr>
          <w:rFonts w:ascii="Times New Roman" w:hAnsi="Times New Roman"/>
          <w:color w:val="0000FF"/>
          <w:highlight w:val="none"/>
        </w:rPr>
        <w:t>kg/h</w:t>
      </w:r>
      <w:r>
        <w:rPr>
          <w:rFonts w:hint="eastAsia"/>
          <w:color w:val="0000FF"/>
          <w:highlight w:val="none"/>
          <w:lang w:eastAsia="zh-CN"/>
        </w:rPr>
        <w:t>（</w:t>
      </w:r>
      <w:r>
        <w:rPr>
          <w:rFonts w:hint="eastAsia"/>
          <w:color w:val="0000FF"/>
          <w:highlight w:val="none"/>
          <w:lang w:val="en-US" w:eastAsia="zh-CN"/>
        </w:rPr>
        <w:t>7.67</w:t>
      </w:r>
      <w:r>
        <w:rPr>
          <w:rFonts w:ascii="Times New Roman" w:hAnsi="Times New Roman"/>
          <w:color w:val="0000FF"/>
          <w:highlight w:val="none"/>
        </w:rPr>
        <w:t>t/a</w:t>
      </w:r>
      <w:r>
        <w:rPr>
          <w:rFonts w:hint="eastAsia"/>
          <w:color w:val="0000FF"/>
          <w:highlight w:val="none"/>
          <w:lang w:eastAsia="zh-CN"/>
        </w:rPr>
        <w:t>）</w:t>
      </w:r>
      <w:r>
        <w:rPr>
          <w:rFonts w:ascii="Times New Roman" w:hAnsi="Times New Roman"/>
          <w:color w:val="0000FF"/>
          <w:highlight w:val="none"/>
        </w:rPr>
        <w:t>，排放浓度为</w:t>
      </w:r>
      <w:r>
        <w:rPr>
          <w:rFonts w:hint="eastAsia"/>
          <w:color w:val="0000FF"/>
          <w:highlight w:val="none"/>
          <w:lang w:val="en-US" w:eastAsia="zh-CN"/>
        </w:rPr>
        <w:t>21.96</w:t>
      </w:r>
      <w:r>
        <w:rPr>
          <w:rFonts w:ascii="Times New Roman" w:hAnsi="Times New Roman"/>
          <w:color w:val="0000FF"/>
          <w:highlight w:val="none"/>
        </w:rPr>
        <w:t>mg/m</w:t>
      </w:r>
      <w:r>
        <w:rPr>
          <w:rFonts w:hint="eastAsia" w:ascii="Times New Roman" w:hAnsi="Times New Roman"/>
          <w:color w:val="0000FF"/>
          <w:highlight w:val="none"/>
          <w:vertAlign w:val="superscript"/>
        </w:rPr>
        <w:t>3</w:t>
      </w:r>
      <w:r>
        <w:rPr>
          <w:rFonts w:ascii="Times New Roman" w:hAnsi="Times New Roman"/>
          <w:color w:val="0000FF"/>
          <w:spacing w:val="-6"/>
          <w:w w:val="99"/>
          <w:highlight w:val="none"/>
        </w:rPr>
        <w:t>。</w:t>
      </w:r>
    </w:p>
    <w:p>
      <w:pPr>
        <w:pStyle w:val="62"/>
        <w:adjustRightInd w:val="0"/>
        <w:snapToGrid w:val="0"/>
        <w:jc w:val="both"/>
        <w:rPr>
          <w:rFonts w:ascii="Times New Roman" w:hAnsi="Times New Roman"/>
          <w:color w:val="auto"/>
          <w:kern w:val="2"/>
          <w:highlight w:val="none"/>
          <w:lang w:val="de-DE"/>
        </w:rPr>
      </w:pPr>
      <w:r>
        <w:rPr>
          <w:rFonts w:hint="eastAsia" w:ascii="Times New Roman" w:hAnsi="Times New Roman"/>
          <w:color w:val="auto"/>
          <w:kern w:val="2"/>
          <w:highlight w:val="none"/>
          <w:lang w:val="de-DE"/>
        </w:rPr>
        <w:t>③</w:t>
      </w:r>
      <w:r>
        <w:rPr>
          <w:rFonts w:ascii="Times New Roman" w:hAnsi="Times New Roman"/>
          <w:color w:val="auto"/>
          <w:kern w:val="2"/>
          <w:highlight w:val="none"/>
          <w:lang w:val="de-DE"/>
        </w:rPr>
        <w:t>烟尘排放计算</w:t>
      </w:r>
    </w:p>
    <w:p>
      <w:pPr>
        <w:adjustRightInd w:val="0"/>
        <w:snapToGrid w:val="0"/>
        <w:spacing w:line="360" w:lineRule="auto"/>
        <w:ind w:firstLine="480" w:firstLineChars="200"/>
        <w:rPr>
          <w:color w:val="auto"/>
          <w:sz w:val="24"/>
          <w:szCs w:val="24"/>
          <w:highlight w:val="none"/>
        </w:rPr>
      </w:pPr>
      <w:r>
        <w:rPr>
          <w:color w:val="auto"/>
          <w:sz w:val="24"/>
          <w:szCs w:val="24"/>
          <w:highlight w:val="none"/>
        </w:rPr>
        <w:t>根据《污染源源强核算技术指南 锅炉》（HJ991-2018），烟尘排放量按以下公式计算：</w:t>
      </w:r>
    </w:p>
    <w:p>
      <w:pPr>
        <w:adjustRightInd w:val="0"/>
        <w:snapToGrid w:val="0"/>
        <w:spacing w:line="360" w:lineRule="auto"/>
        <w:jc w:val="center"/>
        <w:rPr>
          <w:color w:val="auto"/>
          <w:sz w:val="24"/>
          <w:szCs w:val="24"/>
          <w:highlight w:val="none"/>
        </w:rPr>
      </w:pPr>
      <w:r>
        <w:rPr>
          <w:color w:val="auto"/>
          <w:position w:val="-54"/>
          <w:sz w:val="24"/>
          <w:szCs w:val="24"/>
          <w:highlight w:val="none"/>
        </w:rPr>
        <w:object>
          <v:shape id="_x0000_i1026" o:spt="75" type="#_x0000_t75" style="height:65.95pt;width:170.05pt;" o:ole="t" filled="f" o:preferrelative="t" stroked="f" coordsize="21600,21600">
            <v:path/>
            <v:fill on="f" focussize="0,0"/>
            <v:stroke on="f"/>
            <v:imagedata r:id="rId42" o:title=""/>
            <o:lock v:ext="edit" aspectratio="t"/>
            <w10:wrap type="none"/>
            <w10:anchorlock/>
          </v:shape>
          <o:OLEObject Type="Embed" ProgID="Equation.3" ShapeID="_x0000_i1026" DrawAspect="Content" ObjectID="_1468075726" r:id="rId41">
            <o:LockedField>false</o:LockedField>
          </o:OLEObject>
        </w:objec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color w:val="auto"/>
          <w:sz w:val="24"/>
          <w:szCs w:val="24"/>
          <w:highlight w:val="none"/>
        </w:rPr>
      </w:pPr>
      <w:r>
        <w:rPr>
          <w:color w:val="auto"/>
          <w:sz w:val="24"/>
          <w:szCs w:val="24"/>
          <w:highlight w:val="none"/>
        </w:rPr>
        <w:t>式中：E</w:t>
      </w:r>
      <w:r>
        <w:rPr>
          <w:color w:val="auto"/>
          <w:sz w:val="24"/>
          <w:szCs w:val="24"/>
          <w:highlight w:val="none"/>
          <w:vertAlign w:val="subscript"/>
        </w:rPr>
        <w:t>A</w:t>
      </w:r>
      <w:r>
        <w:rPr>
          <w:color w:val="auto"/>
          <w:sz w:val="24"/>
          <w:szCs w:val="24"/>
          <w:highlight w:val="none"/>
        </w:rPr>
        <w:t>———核算时段内颗粒物（烟尘）排放量，t；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color w:val="auto"/>
          <w:sz w:val="24"/>
          <w:szCs w:val="24"/>
          <w:highlight w:val="none"/>
        </w:rPr>
      </w:pPr>
      <w:r>
        <w:rPr>
          <w:color w:val="auto"/>
          <w:sz w:val="24"/>
          <w:szCs w:val="24"/>
          <w:highlight w:val="none"/>
        </w:rPr>
        <w:t>R———核算时段内锅炉燃烧耗量，t；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color w:val="auto"/>
          <w:sz w:val="24"/>
          <w:szCs w:val="24"/>
          <w:highlight w:val="none"/>
        </w:rPr>
      </w:pPr>
      <w:r>
        <w:rPr>
          <w:color w:val="auto"/>
          <w:sz w:val="24"/>
          <w:szCs w:val="24"/>
          <w:highlight w:val="none"/>
        </w:rPr>
        <w:t>A</w:t>
      </w:r>
      <w:r>
        <w:rPr>
          <w:color w:val="auto"/>
          <w:sz w:val="24"/>
          <w:szCs w:val="24"/>
          <w:highlight w:val="none"/>
          <w:vertAlign w:val="subscript"/>
        </w:rPr>
        <w:t>ar</w:t>
      </w:r>
      <w:r>
        <w:rPr>
          <w:color w:val="auto"/>
          <w:sz w:val="24"/>
          <w:szCs w:val="24"/>
          <w:highlight w:val="none"/>
        </w:rPr>
        <w:t>———收到基灰分的质量分数，%；</w:t>
      </w:r>
      <w:r>
        <w:rPr>
          <w:color w:val="0000FF"/>
          <w:sz w:val="24"/>
          <w:szCs w:val="24"/>
          <w:highlight w:val="none"/>
        </w:rPr>
        <w:t>取值</w:t>
      </w:r>
      <w:r>
        <w:rPr>
          <w:rFonts w:hint="eastAsia"/>
          <w:color w:val="0000FF"/>
          <w:sz w:val="24"/>
          <w:szCs w:val="24"/>
          <w:highlight w:val="none"/>
          <w:lang w:val="en-US" w:eastAsia="zh-CN"/>
        </w:rPr>
        <w:t>12.2</w:t>
      </w:r>
      <w:r>
        <w:rPr>
          <w:rFonts w:hint="eastAsia"/>
          <w:color w:val="0000FF"/>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color w:val="auto"/>
          <w:sz w:val="24"/>
          <w:szCs w:val="24"/>
          <w:highlight w:val="none"/>
        </w:rPr>
      </w:pPr>
      <w:r>
        <w:rPr>
          <w:color w:val="auto"/>
          <w:sz w:val="24"/>
          <w:szCs w:val="24"/>
          <w:highlight w:val="none"/>
        </w:rPr>
        <w:t>d</w:t>
      </w:r>
      <w:r>
        <w:rPr>
          <w:color w:val="auto"/>
          <w:sz w:val="24"/>
          <w:szCs w:val="24"/>
          <w:highlight w:val="none"/>
          <w:vertAlign w:val="subscript"/>
        </w:rPr>
        <w:t>fh</w:t>
      </w:r>
      <w:r>
        <w:rPr>
          <w:color w:val="auto"/>
          <w:sz w:val="24"/>
          <w:szCs w:val="24"/>
          <w:highlight w:val="none"/>
        </w:rPr>
        <w:t>———锅炉烟气带出的飞灰份额，%；</w:t>
      </w:r>
      <w:r>
        <w:rPr>
          <w:rFonts w:hint="default" w:ascii="Times New Roman" w:hAnsi="Times New Roman" w:eastAsia="宋体" w:cs="Times New Roman"/>
          <w:color w:val="auto"/>
          <w:kern w:val="0"/>
          <w:sz w:val="24"/>
          <w:szCs w:val="24"/>
          <w:highlight w:val="none"/>
          <w:lang w:val="en-US" w:eastAsia="zh-CN" w:bidi="ar"/>
        </w:rPr>
        <w:t>根据《污染源源强核算技术指南锅炉》（HJ991-2018）中的附录B，本项目链条炉取20</w:t>
      </w:r>
      <w:r>
        <w:rPr>
          <w:rFonts w:hint="eastAsia"/>
          <w:color w:val="auto"/>
          <w:sz w:val="24"/>
          <w:szCs w:val="24"/>
          <w:highlight w:val="none"/>
        </w:rPr>
        <w:t>；</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color w:val="0070C0"/>
          <w:highlight w:val="none"/>
        </w:rPr>
      </w:pPr>
      <w:r>
        <w:rPr>
          <w:rFonts w:ascii="Times New Roman" w:hAnsi="Times New Roman" w:cs="Times New Roman"/>
          <w:color w:val="0070C0"/>
          <w:highlight w:val="none"/>
          <w:lang w:val="de-DE"/>
        </w:rPr>
        <w:t>η</w:t>
      </w:r>
      <w:r>
        <w:rPr>
          <w:rFonts w:hint="eastAsia" w:ascii="Times New Roman" w:hAnsi="Times New Roman" w:cs="Times New Roman"/>
          <w:color w:val="0070C0"/>
          <w:highlight w:val="none"/>
          <w:vertAlign w:val="subscript"/>
        </w:rPr>
        <w:t>c</w:t>
      </w:r>
      <w:r>
        <w:rPr>
          <w:rFonts w:ascii="Times New Roman" w:hAnsi="Times New Roman" w:cs="Times New Roman"/>
          <w:color w:val="0070C0"/>
          <w:highlight w:val="none"/>
        </w:rPr>
        <w:t>———</w:t>
      </w:r>
      <w:r>
        <w:rPr>
          <w:rFonts w:hint="eastAsia" w:ascii="Times New Roman" w:hAnsi="Times New Roman" w:cs="Times New Roman"/>
          <w:color w:val="0070C0"/>
          <w:highlight w:val="none"/>
        </w:rPr>
        <w:t>综合除尘</w:t>
      </w:r>
      <w:r>
        <w:rPr>
          <w:rFonts w:ascii="Times New Roman" w:hAnsi="Times New Roman" w:cs="Times New Roman"/>
          <w:color w:val="0070C0"/>
          <w:highlight w:val="none"/>
          <w:lang w:val="de-DE"/>
        </w:rPr>
        <w:t>效率，取</w:t>
      </w:r>
      <w:r>
        <w:rPr>
          <w:rFonts w:hint="eastAsia" w:ascii="Times New Roman" w:hAnsi="Times New Roman" w:cs="Times New Roman"/>
          <w:color w:val="0070C0"/>
          <w:highlight w:val="none"/>
        </w:rPr>
        <w:t>99.5</w:t>
      </w:r>
      <w:r>
        <w:rPr>
          <w:rFonts w:ascii="Times New Roman" w:hAnsi="Times New Roman" w:cs="Times New Roman"/>
          <w:color w:val="0070C0"/>
          <w:highlight w:val="none"/>
          <w:lang w:val="de-DE"/>
        </w:rPr>
        <w:t>%</w:t>
      </w:r>
      <w:r>
        <w:rPr>
          <w:rFonts w:hint="eastAsia" w:ascii="Times New Roman" w:hAnsi="Times New Roman" w:cs="Times New Roman"/>
          <w:color w:val="0070C0"/>
          <w:highlight w:val="none"/>
          <w:lang w:val="de-D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left"/>
        <w:textAlignment w:val="auto"/>
        <w:rPr>
          <w:color w:val="auto"/>
          <w:sz w:val="24"/>
          <w:szCs w:val="24"/>
          <w:highlight w:val="none"/>
          <w:lang w:val="de-DE"/>
        </w:rPr>
      </w:pPr>
      <w:r>
        <w:rPr>
          <w:color w:val="auto"/>
          <w:sz w:val="24"/>
          <w:szCs w:val="24"/>
          <w:highlight w:val="none"/>
        </w:rPr>
        <w:t>C</w:t>
      </w:r>
      <w:r>
        <w:rPr>
          <w:color w:val="auto"/>
          <w:sz w:val="24"/>
          <w:szCs w:val="24"/>
          <w:highlight w:val="none"/>
          <w:vertAlign w:val="subscript"/>
        </w:rPr>
        <w:t>fh</w:t>
      </w:r>
      <w:r>
        <w:rPr>
          <w:color w:val="auto"/>
          <w:sz w:val="24"/>
          <w:szCs w:val="24"/>
          <w:highlight w:val="none"/>
        </w:rPr>
        <w:t>———飞灰中的可燃物含量，%；本项目为层燃锅炉取值11（工业锅炉经济运行（GBT/17954-2007）表4）</w:t>
      </w:r>
      <w:r>
        <w:rPr>
          <w:color w:val="auto"/>
          <w:sz w:val="24"/>
          <w:szCs w:val="24"/>
          <w:highlight w:val="none"/>
          <w:lang w:val="de-DE"/>
        </w:rPr>
        <w:t>。</w:t>
      </w:r>
    </w:p>
    <w:p>
      <w:pPr>
        <w:adjustRightInd w:val="0"/>
        <w:snapToGrid w:val="0"/>
        <w:spacing w:line="360" w:lineRule="auto"/>
        <w:ind w:firstLine="522"/>
        <w:rPr>
          <w:color w:val="0000FF"/>
          <w:sz w:val="24"/>
          <w:szCs w:val="24"/>
          <w:highlight w:val="none"/>
          <w:lang w:val="de-DE"/>
        </w:rPr>
      </w:pPr>
      <w:r>
        <w:rPr>
          <w:color w:val="0000FF"/>
          <w:spacing w:val="-4"/>
          <w:sz w:val="24"/>
          <w:szCs w:val="24"/>
          <w:highlight w:val="none"/>
        </w:rPr>
        <w:t>经计算，烟尘产生量为</w:t>
      </w:r>
      <w:r>
        <w:rPr>
          <w:rFonts w:hint="eastAsia"/>
          <w:color w:val="0000FF"/>
          <w:spacing w:val="-4"/>
          <w:sz w:val="24"/>
          <w:szCs w:val="24"/>
          <w:highlight w:val="none"/>
          <w:lang w:val="en-US" w:eastAsia="zh-CN"/>
        </w:rPr>
        <w:t>13.26</w:t>
      </w:r>
      <w:r>
        <w:rPr>
          <w:color w:val="0000FF"/>
          <w:spacing w:val="-4"/>
          <w:sz w:val="24"/>
          <w:szCs w:val="24"/>
          <w:highlight w:val="none"/>
        </w:rPr>
        <w:t>kg/h</w:t>
      </w:r>
      <w:r>
        <w:rPr>
          <w:rFonts w:hint="eastAsia"/>
          <w:color w:val="0000FF"/>
          <w:spacing w:val="-4"/>
          <w:sz w:val="24"/>
          <w:szCs w:val="24"/>
          <w:highlight w:val="none"/>
          <w:lang w:eastAsia="zh-CN"/>
        </w:rPr>
        <w:t>（</w:t>
      </w:r>
      <w:r>
        <w:rPr>
          <w:rFonts w:hint="eastAsia"/>
          <w:color w:val="0000FF"/>
          <w:spacing w:val="-4"/>
          <w:sz w:val="24"/>
          <w:szCs w:val="24"/>
          <w:highlight w:val="none"/>
          <w:lang w:val="en-US" w:eastAsia="zh-CN"/>
        </w:rPr>
        <w:t>54.1</w:t>
      </w:r>
      <w:r>
        <w:rPr>
          <w:color w:val="0000FF"/>
          <w:spacing w:val="-4"/>
          <w:sz w:val="24"/>
          <w:szCs w:val="24"/>
          <w:highlight w:val="none"/>
        </w:rPr>
        <w:t>t/a</w:t>
      </w:r>
      <w:r>
        <w:rPr>
          <w:rFonts w:hint="eastAsia"/>
          <w:color w:val="0000FF"/>
          <w:spacing w:val="-4"/>
          <w:sz w:val="24"/>
          <w:szCs w:val="24"/>
          <w:highlight w:val="none"/>
          <w:lang w:eastAsia="zh-CN"/>
        </w:rPr>
        <w:t>）</w:t>
      </w:r>
      <w:r>
        <w:rPr>
          <w:color w:val="0000FF"/>
          <w:spacing w:val="-4"/>
          <w:sz w:val="24"/>
          <w:szCs w:val="24"/>
          <w:highlight w:val="none"/>
        </w:rPr>
        <w:t>，</w:t>
      </w:r>
      <w:r>
        <w:rPr>
          <w:rFonts w:hint="eastAsia" w:ascii="Times New Roman" w:hAnsi="Times New Roman"/>
          <w:color w:val="0000FF"/>
          <w:highlight w:val="none"/>
          <w:lang w:val="en-US" w:eastAsia="zh-CN"/>
        </w:rPr>
        <w:t>产生浓度为</w:t>
      </w:r>
      <w:r>
        <w:rPr>
          <w:rFonts w:hint="eastAsia"/>
          <w:color w:val="0000FF"/>
          <w:highlight w:val="none"/>
          <w:lang w:val="en-US" w:eastAsia="zh-CN"/>
        </w:rPr>
        <w:t>150.6</w:t>
      </w:r>
      <w:r>
        <w:rPr>
          <w:rFonts w:hint="eastAsia" w:ascii="Times New Roman" w:hAnsi="Times New Roman"/>
          <w:color w:val="0000FF"/>
          <w:highlight w:val="none"/>
          <w:lang w:val="en-US" w:eastAsia="zh-CN"/>
        </w:rPr>
        <w:t>mg/m</w:t>
      </w:r>
      <w:r>
        <w:rPr>
          <w:rFonts w:hint="eastAsia" w:ascii="Times New Roman" w:hAnsi="Times New Roman"/>
          <w:color w:val="0000FF"/>
          <w:highlight w:val="none"/>
          <w:vertAlign w:val="superscript"/>
          <w:lang w:val="en-US" w:eastAsia="zh-CN"/>
        </w:rPr>
        <w:t>3</w:t>
      </w:r>
      <w:r>
        <w:rPr>
          <w:rFonts w:hint="eastAsia" w:ascii="Times New Roman" w:hAnsi="Times New Roman"/>
          <w:color w:val="0000FF"/>
          <w:highlight w:val="none"/>
          <w:lang w:val="en-US" w:eastAsia="zh-CN"/>
        </w:rPr>
        <w:t>；</w:t>
      </w:r>
      <w:r>
        <w:rPr>
          <w:color w:val="0000FF"/>
          <w:spacing w:val="-4"/>
          <w:sz w:val="24"/>
          <w:szCs w:val="24"/>
          <w:highlight w:val="none"/>
        </w:rPr>
        <w:t>烟尘排放量为</w:t>
      </w:r>
      <w:r>
        <w:rPr>
          <w:rFonts w:hint="eastAsia"/>
          <w:color w:val="0000FF"/>
          <w:spacing w:val="-4"/>
          <w:sz w:val="24"/>
          <w:szCs w:val="24"/>
          <w:highlight w:val="none"/>
          <w:lang w:val="en-US" w:eastAsia="zh-CN"/>
        </w:rPr>
        <w:t>0.066</w:t>
      </w:r>
      <w:r>
        <w:rPr>
          <w:color w:val="0000FF"/>
          <w:spacing w:val="-4"/>
          <w:sz w:val="24"/>
          <w:szCs w:val="24"/>
          <w:highlight w:val="none"/>
        </w:rPr>
        <w:t>kg/h</w:t>
      </w:r>
      <w:r>
        <w:rPr>
          <w:rFonts w:hint="eastAsia"/>
          <w:color w:val="0000FF"/>
          <w:spacing w:val="-4"/>
          <w:sz w:val="24"/>
          <w:szCs w:val="24"/>
          <w:highlight w:val="none"/>
          <w:lang w:eastAsia="zh-CN"/>
        </w:rPr>
        <w:t>（</w:t>
      </w:r>
      <w:r>
        <w:rPr>
          <w:rFonts w:hint="eastAsia"/>
          <w:color w:val="0000FF"/>
          <w:spacing w:val="-4"/>
          <w:sz w:val="24"/>
          <w:szCs w:val="24"/>
          <w:highlight w:val="none"/>
          <w:lang w:val="en-US" w:eastAsia="zh-CN"/>
        </w:rPr>
        <w:t>0.27</w:t>
      </w:r>
      <w:r>
        <w:rPr>
          <w:color w:val="0000FF"/>
          <w:spacing w:val="-4"/>
          <w:sz w:val="24"/>
          <w:szCs w:val="24"/>
          <w:highlight w:val="none"/>
        </w:rPr>
        <w:t>t/a</w:t>
      </w:r>
      <w:r>
        <w:rPr>
          <w:rFonts w:hint="eastAsia"/>
          <w:color w:val="0000FF"/>
          <w:spacing w:val="-4"/>
          <w:sz w:val="24"/>
          <w:szCs w:val="24"/>
          <w:highlight w:val="none"/>
          <w:lang w:eastAsia="zh-CN"/>
        </w:rPr>
        <w:t>）</w:t>
      </w:r>
      <w:r>
        <w:rPr>
          <w:color w:val="0000FF"/>
          <w:spacing w:val="-4"/>
          <w:sz w:val="24"/>
          <w:szCs w:val="24"/>
          <w:highlight w:val="none"/>
        </w:rPr>
        <w:t>，排放浓度为</w:t>
      </w:r>
      <w:r>
        <w:rPr>
          <w:rFonts w:hint="eastAsia"/>
          <w:color w:val="0000FF"/>
          <w:spacing w:val="-4"/>
          <w:sz w:val="24"/>
          <w:szCs w:val="24"/>
          <w:highlight w:val="none"/>
          <w:lang w:val="en-US" w:eastAsia="zh-CN"/>
        </w:rPr>
        <w:t>0.753</w:t>
      </w:r>
      <w:r>
        <w:rPr>
          <w:color w:val="0000FF"/>
          <w:spacing w:val="-4"/>
          <w:sz w:val="24"/>
          <w:szCs w:val="24"/>
          <w:highlight w:val="none"/>
        </w:rPr>
        <w:t>mg/m</w:t>
      </w:r>
      <w:r>
        <w:rPr>
          <w:rFonts w:hint="eastAsia"/>
          <w:color w:val="0000FF"/>
          <w:spacing w:val="-4"/>
          <w:sz w:val="24"/>
          <w:szCs w:val="24"/>
          <w:highlight w:val="none"/>
          <w:vertAlign w:val="superscript"/>
        </w:rPr>
        <w:t>3</w:t>
      </w:r>
      <w:r>
        <w:rPr>
          <w:color w:val="0000FF"/>
          <w:spacing w:val="-4"/>
          <w:sz w:val="24"/>
          <w:szCs w:val="24"/>
          <w:highlight w:val="none"/>
        </w:rPr>
        <w:t>。</w:t>
      </w:r>
    </w:p>
    <w:p>
      <w:pPr>
        <w:pStyle w:val="62"/>
        <w:rPr>
          <w:rFonts w:ascii="Times New Roman" w:hAnsi="Times New Roman"/>
          <w:color w:val="auto"/>
          <w:kern w:val="2"/>
          <w:highlight w:val="none"/>
          <w:lang w:val="de-DE"/>
        </w:rPr>
      </w:pPr>
      <w:r>
        <w:rPr>
          <w:rFonts w:hint="eastAsia" w:ascii="Times New Roman" w:hAnsi="Times New Roman"/>
          <w:color w:val="auto"/>
          <w:kern w:val="2"/>
          <w:highlight w:val="none"/>
          <w:lang w:val="de-DE"/>
        </w:rPr>
        <w:t>④</w:t>
      </w:r>
      <w:r>
        <w:rPr>
          <w:rFonts w:ascii="Times New Roman" w:hAnsi="Times New Roman"/>
          <w:color w:val="auto"/>
          <w:kern w:val="2"/>
          <w:highlight w:val="none"/>
          <w:lang w:val="de-DE"/>
        </w:rPr>
        <w:t>氮氧化物排放的计算</w:t>
      </w:r>
    </w:p>
    <w:p>
      <w:pPr>
        <w:pStyle w:val="62"/>
        <w:rPr>
          <w:rFonts w:ascii="Times New Roman" w:hAnsi="Times New Roman"/>
          <w:color w:val="auto"/>
          <w:kern w:val="2"/>
          <w:highlight w:val="none"/>
          <w:lang w:val="de-DE"/>
        </w:rPr>
      </w:pPr>
      <w:r>
        <w:rPr>
          <w:rFonts w:hint="eastAsia" w:ascii="Times New Roman" w:hAnsi="Times New Roman"/>
          <w:color w:val="auto"/>
          <w:kern w:val="2"/>
          <w:highlight w:val="none"/>
          <w:lang w:val="de-DE"/>
        </w:rPr>
        <w:t>根据《污染源源强核算技术指南 锅炉》（HJ991-2018），氮氧化物排放量按以下公式计算：</w:t>
      </w:r>
    </w:p>
    <w:p>
      <w:pPr>
        <w:pStyle w:val="62"/>
        <w:jc w:val="center"/>
        <w:rPr>
          <w:rFonts w:ascii="Times New Roman" w:hAnsi="Times New Roman"/>
          <w:color w:val="auto"/>
          <w:kern w:val="2"/>
          <w:position w:val="-12"/>
          <w:highlight w:val="none"/>
          <w:lang w:val="de-DE"/>
        </w:rPr>
      </w:pPr>
      <w:r>
        <w:rPr>
          <w:rFonts w:ascii="Times New Roman" w:hAnsi="Times New Roman"/>
          <w:color w:val="auto"/>
          <w:position w:val="-32"/>
          <w:highlight w:val="none"/>
        </w:rPr>
        <w:object>
          <v:shape id="_x0000_i1027" o:spt="75" type="#_x0000_t75" style="height:40.2pt;width:181.15pt;" o:ole="t" filled="f" o:preferrelative="t" stroked="f" coordsize="21600,21600">
            <v:path/>
            <v:fill on="f" focussize="0,0"/>
            <v:stroke on="f"/>
            <v:imagedata r:id="rId44" o:title=""/>
            <o:lock v:ext="edit" aspectratio="t"/>
            <w10:wrap type="none"/>
            <w10:anchorlock/>
          </v:shape>
          <o:OLEObject Type="Embed" ProgID="Equation.3" ShapeID="_x0000_i1027" DrawAspect="Content" ObjectID="_1468075727" r:id="rId43">
            <o:LockedField>false</o:LockedField>
          </o:OLEObject>
        </w:object>
      </w:r>
    </w:p>
    <w:p>
      <w:pPr>
        <w:spacing w:line="360" w:lineRule="auto"/>
        <w:ind w:firstLine="480" w:firstLineChars="200"/>
        <w:jc w:val="left"/>
        <w:rPr>
          <w:color w:val="auto"/>
          <w:sz w:val="24"/>
          <w:szCs w:val="24"/>
          <w:highlight w:val="none"/>
        </w:rPr>
      </w:pPr>
      <w:r>
        <w:rPr>
          <w:color w:val="auto"/>
          <w:sz w:val="24"/>
          <w:szCs w:val="24"/>
          <w:highlight w:val="none"/>
        </w:rPr>
        <w:t>式中：E</w:t>
      </w:r>
      <w:r>
        <w:rPr>
          <w:color w:val="auto"/>
          <w:sz w:val="24"/>
          <w:szCs w:val="24"/>
          <w:highlight w:val="none"/>
          <w:vertAlign w:val="subscript"/>
        </w:rPr>
        <w:t>NOx</w:t>
      </w:r>
      <w:r>
        <w:rPr>
          <w:color w:val="auto"/>
          <w:sz w:val="24"/>
          <w:szCs w:val="24"/>
          <w:highlight w:val="none"/>
        </w:rPr>
        <w:t>———核算时段内</w:t>
      </w:r>
      <w:r>
        <w:rPr>
          <w:rFonts w:hint="eastAsia"/>
          <w:color w:val="auto"/>
          <w:sz w:val="24"/>
          <w:szCs w:val="24"/>
          <w:highlight w:val="none"/>
        </w:rPr>
        <w:t>氮氧化物</w:t>
      </w:r>
      <w:r>
        <w:rPr>
          <w:color w:val="auto"/>
          <w:sz w:val="24"/>
          <w:szCs w:val="24"/>
          <w:highlight w:val="none"/>
        </w:rPr>
        <w:t>排放量，t；</w:t>
      </w:r>
    </w:p>
    <w:p>
      <w:pPr>
        <w:spacing w:line="360" w:lineRule="auto"/>
        <w:ind w:firstLine="480" w:firstLineChars="200"/>
        <w:jc w:val="left"/>
        <w:rPr>
          <w:color w:val="auto"/>
          <w:sz w:val="24"/>
          <w:szCs w:val="24"/>
          <w:highlight w:val="none"/>
        </w:rPr>
      </w:pPr>
      <w:r>
        <w:rPr>
          <w:color w:val="auto"/>
          <w:sz w:val="24"/>
          <w:szCs w:val="24"/>
          <w:highlight w:val="none"/>
        </w:rPr>
        <w:t>ρ</w:t>
      </w:r>
      <w:r>
        <w:rPr>
          <w:color w:val="auto"/>
          <w:sz w:val="24"/>
          <w:szCs w:val="24"/>
          <w:highlight w:val="none"/>
          <w:vertAlign w:val="subscript"/>
        </w:rPr>
        <w:t>NOx</w:t>
      </w:r>
      <w:r>
        <w:rPr>
          <w:color w:val="auto"/>
          <w:sz w:val="24"/>
          <w:szCs w:val="24"/>
          <w:highlight w:val="none"/>
        </w:rPr>
        <w:t>———</w:t>
      </w:r>
      <w:r>
        <w:rPr>
          <w:rFonts w:hint="eastAsia"/>
          <w:color w:val="auto"/>
          <w:sz w:val="24"/>
          <w:szCs w:val="24"/>
          <w:highlight w:val="none"/>
        </w:rPr>
        <w:t>锅炉炉膛</w:t>
      </w:r>
      <w:r>
        <w:rPr>
          <w:color w:val="auto"/>
          <w:sz w:val="24"/>
          <w:szCs w:val="24"/>
          <w:highlight w:val="none"/>
        </w:rPr>
        <w:t>出口氮氧化物质量浓度，</w:t>
      </w:r>
      <w:r>
        <w:rPr>
          <w:rFonts w:hint="eastAsia"/>
          <w:color w:val="auto"/>
          <w:sz w:val="24"/>
          <w:szCs w:val="24"/>
          <w:highlight w:val="none"/>
        </w:rPr>
        <w:t>mg</w:t>
      </w:r>
      <w:r>
        <w:rPr>
          <w:color w:val="auto"/>
          <w:sz w:val="24"/>
          <w:szCs w:val="24"/>
          <w:highlight w:val="none"/>
        </w:rPr>
        <w:t>/m</w:t>
      </w:r>
      <w:r>
        <w:rPr>
          <w:color w:val="auto"/>
          <w:sz w:val="24"/>
          <w:szCs w:val="24"/>
          <w:highlight w:val="none"/>
          <w:vertAlign w:val="superscript"/>
        </w:rPr>
        <w:t>3</w:t>
      </w:r>
      <w:r>
        <w:rPr>
          <w:color w:val="auto"/>
          <w:sz w:val="24"/>
          <w:szCs w:val="24"/>
          <w:highlight w:val="none"/>
        </w:rPr>
        <w:t>；</w:t>
      </w:r>
      <w:r>
        <w:rPr>
          <w:rFonts w:hint="eastAsia" w:ascii="Times New Roman" w:hAnsi="Times New Roman" w:eastAsia="宋体" w:cs="Times New Roman"/>
          <w:color w:val="auto"/>
          <w:kern w:val="0"/>
          <w:sz w:val="24"/>
          <w:szCs w:val="24"/>
          <w:highlight w:val="none"/>
          <w:lang w:val="en-US" w:eastAsia="zh-CN" w:bidi="ar"/>
        </w:rPr>
        <w:t>根据《污染源源强核算技术指南 锅炉》（</w:t>
      </w:r>
      <w:r>
        <w:rPr>
          <w:rFonts w:hint="default" w:ascii="Times New Roman" w:hAnsi="Times New Roman" w:eastAsia="宋体" w:cs="Times New Roman"/>
          <w:color w:val="auto"/>
          <w:kern w:val="0"/>
          <w:sz w:val="24"/>
          <w:szCs w:val="24"/>
          <w:highlight w:val="none"/>
          <w:lang w:val="en-US" w:eastAsia="zh-CN" w:bidi="ar"/>
        </w:rPr>
        <w:t>HJ991-2018</w:t>
      </w:r>
      <w:r>
        <w:rPr>
          <w:rFonts w:hint="eastAsia" w:ascii="Times New Roman" w:hAnsi="Times New Roman" w:eastAsia="宋体" w:cs="Times New Roman"/>
          <w:color w:val="auto"/>
          <w:kern w:val="0"/>
          <w:sz w:val="24"/>
          <w:szCs w:val="24"/>
          <w:highlight w:val="none"/>
          <w:lang w:val="en-US" w:eastAsia="zh-CN" w:bidi="ar"/>
        </w:rPr>
        <w:t>）可知</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层燃炉炉膛出口</w:t>
      </w:r>
      <w:r>
        <w:rPr>
          <w:rFonts w:hint="default" w:ascii="Times New Roman" w:hAnsi="Times New Roman" w:eastAsia="宋体" w:cs="Times New Roman"/>
          <w:color w:val="auto"/>
          <w:kern w:val="0"/>
          <w:sz w:val="24"/>
          <w:szCs w:val="24"/>
          <w:highlight w:val="none"/>
          <w:lang w:val="en-US" w:eastAsia="zh-CN" w:bidi="ar"/>
        </w:rPr>
        <w:t>NO</w:t>
      </w:r>
      <w:r>
        <w:rPr>
          <w:rFonts w:hint="default" w:ascii="Times New Roman" w:hAnsi="Times New Roman" w:eastAsia="宋体" w:cs="Times New Roman"/>
          <w:color w:val="auto"/>
          <w:kern w:val="0"/>
          <w:sz w:val="24"/>
          <w:szCs w:val="24"/>
          <w:highlight w:val="none"/>
          <w:vertAlign w:val="subscript"/>
          <w:lang w:val="en-US" w:eastAsia="zh-CN" w:bidi="ar"/>
        </w:rPr>
        <w:t>X</w:t>
      </w:r>
      <w:r>
        <w:rPr>
          <w:rFonts w:hint="eastAsia" w:ascii="Times New Roman" w:hAnsi="Times New Roman" w:eastAsia="宋体" w:cs="Times New Roman"/>
          <w:color w:val="auto"/>
          <w:kern w:val="0"/>
          <w:sz w:val="24"/>
          <w:szCs w:val="24"/>
          <w:highlight w:val="none"/>
          <w:lang w:val="en-US" w:eastAsia="zh-CN" w:bidi="ar"/>
        </w:rPr>
        <w:t>浓度范围值为</w:t>
      </w:r>
      <w:r>
        <w:rPr>
          <w:rFonts w:hint="default" w:ascii="Times New Roman" w:hAnsi="Times New Roman" w:eastAsia="宋体" w:cs="Times New Roman"/>
          <w:color w:val="auto"/>
          <w:kern w:val="0"/>
          <w:sz w:val="24"/>
          <w:szCs w:val="24"/>
          <w:highlight w:val="none"/>
          <w:lang w:val="en-US" w:eastAsia="zh-CN" w:bidi="ar"/>
        </w:rPr>
        <w:t>100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600mg/m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及厂家提供资料，本项目锅炉出口</w:t>
      </w:r>
      <w:r>
        <w:rPr>
          <w:rFonts w:hint="default" w:ascii="Times New Roman" w:hAnsi="Times New Roman" w:eastAsia="宋体" w:cs="Times New Roman"/>
          <w:color w:val="auto"/>
          <w:kern w:val="0"/>
          <w:sz w:val="24"/>
          <w:szCs w:val="24"/>
          <w:highlight w:val="none"/>
          <w:lang w:val="en-US" w:eastAsia="zh-CN" w:bidi="ar"/>
        </w:rPr>
        <w:t>NO</w:t>
      </w:r>
      <w:r>
        <w:rPr>
          <w:rFonts w:hint="default" w:ascii="Times New Roman" w:hAnsi="Times New Roman" w:eastAsia="宋体" w:cs="Times New Roman"/>
          <w:color w:val="auto"/>
          <w:kern w:val="0"/>
          <w:sz w:val="24"/>
          <w:szCs w:val="24"/>
          <w:highlight w:val="none"/>
          <w:vertAlign w:val="subscript"/>
          <w:lang w:val="en-US" w:eastAsia="zh-CN" w:bidi="ar"/>
        </w:rPr>
        <w:t>X</w:t>
      </w:r>
      <w:r>
        <w:rPr>
          <w:rFonts w:hint="eastAsia" w:ascii="Times New Roman" w:hAnsi="Times New Roman" w:eastAsia="宋体" w:cs="Times New Roman"/>
          <w:color w:val="auto"/>
          <w:kern w:val="0"/>
          <w:sz w:val="24"/>
          <w:szCs w:val="24"/>
          <w:highlight w:val="none"/>
          <w:lang w:val="en-US" w:eastAsia="zh-CN" w:bidi="ar"/>
        </w:rPr>
        <w:t>产生浓度取</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00mg/m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p>
    <w:p>
      <w:pPr>
        <w:spacing w:line="360" w:lineRule="auto"/>
        <w:ind w:firstLine="480" w:firstLineChars="200"/>
        <w:jc w:val="left"/>
        <w:rPr>
          <w:color w:val="0000FF"/>
          <w:sz w:val="24"/>
          <w:szCs w:val="24"/>
          <w:highlight w:val="none"/>
        </w:rPr>
      </w:pPr>
      <w:r>
        <w:rPr>
          <w:color w:val="auto"/>
          <w:sz w:val="24"/>
          <w:szCs w:val="24"/>
          <w:highlight w:val="none"/>
        </w:rPr>
        <w:t>Q———</w:t>
      </w:r>
      <w:r>
        <w:rPr>
          <w:rFonts w:hint="eastAsia"/>
          <w:color w:val="auto"/>
          <w:sz w:val="24"/>
          <w:szCs w:val="24"/>
          <w:highlight w:val="none"/>
        </w:rPr>
        <w:t>核算时段内</w:t>
      </w:r>
      <w:r>
        <w:rPr>
          <w:color w:val="auto"/>
          <w:sz w:val="24"/>
          <w:szCs w:val="24"/>
          <w:highlight w:val="none"/>
        </w:rPr>
        <w:t>标态干烟气排放量，</w:t>
      </w:r>
      <w:r>
        <w:rPr>
          <w:rFonts w:hint="eastAsia"/>
          <w:color w:val="auto"/>
          <w:sz w:val="24"/>
          <w:szCs w:val="24"/>
          <w:highlight w:val="none"/>
        </w:rPr>
        <w:t>m</w:t>
      </w:r>
      <w:r>
        <w:rPr>
          <w:color w:val="auto"/>
          <w:sz w:val="24"/>
          <w:szCs w:val="24"/>
          <w:highlight w:val="none"/>
          <w:vertAlign w:val="superscript"/>
        </w:rPr>
        <w:t>3</w:t>
      </w:r>
      <w:r>
        <w:rPr>
          <w:color w:val="auto"/>
          <w:sz w:val="24"/>
          <w:szCs w:val="24"/>
          <w:highlight w:val="none"/>
        </w:rPr>
        <w:t>；</w:t>
      </w:r>
      <w:r>
        <w:rPr>
          <w:rFonts w:hint="eastAsia" w:ascii="Times New Roman" w:hAnsi="Times New Roman" w:eastAsia="宋体" w:cs="Times New Roman"/>
          <w:color w:val="0000FF"/>
          <w:kern w:val="0"/>
          <w:sz w:val="24"/>
          <w:szCs w:val="24"/>
          <w:highlight w:val="none"/>
          <w:lang w:val="en-US" w:eastAsia="zh-CN" w:bidi="ar"/>
        </w:rPr>
        <w:t>取值</w:t>
      </w:r>
      <w:r>
        <w:rPr>
          <w:rFonts w:hint="eastAsia" w:cs="Times New Roman"/>
          <w:color w:val="0000FF"/>
          <w:kern w:val="0"/>
          <w:sz w:val="24"/>
          <w:szCs w:val="24"/>
          <w:highlight w:val="none"/>
          <w:lang w:val="en-US" w:eastAsia="zh-CN" w:bidi="ar"/>
        </w:rPr>
        <w:t>3.49</w:t>
      </w:r>
      <w:r>
        <w:rPr>
          <w:rFonts w:hint="default" w:ascii="Times New Roman" w:hAnsi="Times New Roman" w:eastAsia="宋体" w:cs="Times New Roman"/>
          <w:color w:val="0000FF"/>
          <w:kern w:val="0"/>
          <w:sz w:val="24"/>
          <w:szCs w:val="24"/>
          <w:highlight w:val="none"/>
          <w:lang w:val="en-US" w:eastAsia="zh-CN" w:bidi="ar"/>
        </w:rPr>
        <w:t>×10</w:t>
      </w:r>
      <w:r>
        <w:rPr>
          <w:rFonts w:hint="default" w:ascii="Times New Roman" w:hAnsi="Times New Roman" w:eastAsia="宋体" w:cs="Times New Roman"/>
          <w:color w:val="0000FF"/>
          <w:kern w:val="0"/>
          <w:sz w:val="24"/>
          <w:szCs w:val="24"/>
          <w:highlight w:val="none"/>
          <w:vertAlign w:val="superscript"/>
          <w:lang w:val="en-US" w:eastAsia="zh-CN" w:bidi="ar"/>
        </w:rPr>
        <w:t>8</w:t>
      </w:r>
    </w:p>
    <w:p>
      <w:pPr>
        <w:pStyle w:val="62"/>
        <w:rPr>
          <w:rFonts w:hint="default" w:ascii="Times New Roman" w:hAnsi="Times New Roman" w:eastAsia="宋体" w:cs="Times New Roman"/>
          <w:color w:val="0000FF"/>
          <w:highlight w:val="none"/>
          <w:lang w:val="de-DE"/>
        </w:rPr>
      </w:pPr>
      <w:r>
        <w:rPr>
          <w:rFonts w:ascii="Times New Roman" w:hAnsi="Times New Roman"/>
          <w:color w:val="0000FF"/>
          <w:highlight w:val="none"/>
          <w:lang w:val="de-DE"/>
        </w:rPr>
        <w:t>η</w:t>
      </w:r>
      <w:r>
        <w:rPr>
          <w:rFonts w:ascii="Times New Roman" w:hAnsi="Times New Roman"/>
          <w:color w:val="0000FF"/>
          <w:highlight w:val="none"/>
          <w:vertAlign w:val="subscript"/>
        </w:rPr>
        <w:t>NOx</w:t>
      </w:r>
      <w:r>
        <w:rPr>
          <w:rFonts w:hint="default" w:ascii="Times New Roman" w:hAnsi="Times New Roman" w:eastAsia="宋体" w:cs="Times New Roman"/>
          <w:color w:val="0000FF"/>
          <w:highlight w:val="none"/>
        </w:rPr>
        <w:t>———脱硝</w:t>
      </w:r>
      <w:r>
        <w:rPr>
          <w:rFonts w:hint="default" w:ascii="Times New Roman" w:hAnsi="Times New Roman" w:eastAsia="宋体" w:cs="Times New Roman"/>
          <w:color w:val="0000FF"/>
          <w:highlight w:val="none"/>
          <w:lang w:val="de-DE"/>
        </w:rPr>
        <w:t>效率，%</w:t>
      </w:r>
      <w:r>
        <w:rPr>
          <w:rFonts w:hint="eastAsia" w:ascii="Times New Roman" w:hAnsi="Times New Roman" w:cs="Times New Roman"/>
          <w:color w:val="0000FF"/>
          <w:highlight w:val="none"/>
          <w:lang w:val="de-DE" w:eastAsia="zh-CN"/>
        </w:rPr>
        <w:t>；</w:t>
      </w:r>
      <w:r>
        <w:rPr>
          <w:rFonts w:hint="default" w:ascii="Times New Roman" w:hAnsi="Times New Roman" w:eastAsia="宋体" w:cs="Times New Roman"/>
          <w:color w:val="0000FF"/>
          <w:highlight w:val="none"/>
          <w:lang w:val="de-DE"/>
        </w:rPr>
        <w:t>取</w:t>
      </w:r>
      <w:r>
        <w:rPr>
          <w:rFonts w:hint="eastAsia" w:ascii="Times New Roman" w:hAnsi="Times New Roman" w:cs="Times New Roman"/>
          <w:color w:val="0000FF"/>
          <w:highlight w:val="none"/>
          <w:lang w:val="de-DE" w:eastAsia="zh-CN"/>
        </w:rPr>
        <w:t>值</w:t>
      </w:r>
      <w:r>
        <w:rPr>
          <w:rFonts w:hint="eastAsia" w:ascii="Times New Roman" w:hAnsi="Times New Roman" w:cs="Times New Roman"/>
          <w:color w:val="0000FF"/>
          <w:highlight w:val="none"/>
          <w:lang w:val="en-US" w:eastAsia="zh-CN"/>
        </w:rPr>
        <w:t>4</w:t>
      </w:r>
      <w:r>
        <w:rPr>
          <w:rFonts w:hint="default" w:ascii="Times New Roman" w:hAnsi="Times New Roman" w:eastAsia="宋体" w:cs="Times New Roman"/>
          <w:color w:val="0000FF"/>
          <w:highlight w:val="none"/>
        </w:rPr>
        <w:t>0</w:t>
      </w:r>
      <w:r>
        <w:rPr>
          <w:rFonts w:hint="default" w:ascii="Times New Roman" w:hAnsi="Times New Roman" w:eastAsia="宋体" w:cs="Times New Roman"/>
          <w:color w:val="0000FF"/>
          <w:highlight w:val="none"/>
          <w:lang w:val="de-DE"/>
        </w:rPr>
        <w:t>。</w:t>
      </w:r>
    </w:p>
    <w:p>
      <w:pPr>
        <w:spacing w:line="360" w:lineRule="auto"/>
        <w:ind w:firstLine="522"/>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FF"/>
          <w:spacing w:val="-4"/>
          <w:sz w:val="24"/>
          <w:szCs w:val="24"/>
          <w:highlight w:val="none"/>
        </w:rPr>
        <w:t>经计算，</w:t>
      </w:r>
      <w:r>
        <w:rPr>
          <w:rFonts w:hint="eastAsia" w:ascii="Times New Roman" w:hAnsi="Times New Roman"/>
          <w:color w:val="0000FF"/>
          <w:highlight w:val="none"/>
          <w:lang w:val="en-US" w:eastAsia="zh-CN"/>
        </w:rPr>
        <w:t>NO</w:t>
      </w:r>
      <w:r>
        <w:rPr>
          <w:rFonts w:hint="eastAsia" w:ascii="Times New Roman" w:hAnsi="Times New Roman"/>
          <w:color w:val="0000FF"/>
          <w:highlight w:val="none"/>
          <w:vertAlign w:val="subscript"/>
          <w:lang w:val="en-US" w:eastAsia="zh-CN"/>
        </w:rPr>
        <w:t>X</w:t>
      </w:r>
      <w:r>
        <w:rPr>
          <w:rFonts w:hint="eastAsia" w:ascii="Times New Roman" w:hAnsi="Times New Roman"/>
          <w:color w:val="0000FF"/>
          <w:highlight w:val="none"/>
          <w:lang w:val="en-US" w:eastAsia="zh-CN"/>
        </w:rPr>
        <w:t>产生量为</w:t>
      </w:r>
      <w:r>
        <w:rPr>
          <w:rFonts w:hint="eastAsia" w:cs="Times New Roman"/>
          <w:color w:val="0000FF"/>
          <w:kern w:val="2"/>
          <w:highlight w:val="none"/>
          <w:lang w:val="en-US" w:eastAsia="zh-CN"/>
        </w:rPr>
        <w:t>34.9</w:t>
      </w:r>
      <w:r>
        <w:rPr>
          <w:rFonts w:hint="eastAsia" w:ascii="Times New Roman" w:hAnsi="Times New Roman" w:cs="Times New Roman"/>
          <w:color w:val="0000FF"/>
          <w:kern w:val="2"/>
          <w:highlight w:val="none"/>
          <w:lang w:val="en-US" w:eastAsia="zh-CN"/>
        </w:rPr>
        <w:t>t/a（</w:t>
      </w:r>
      <w:r>
        <w:rPr>
          <w:rFonts w:hint="eastAsia" w:cs="Times New Roman"/>
          <w:color w:val="0000FF"/>
          <w:kern w:val="2"/>
          <w:highlight w:val="none"/>
          <w:lang w:val="en-US" w:eastAsia="zh-CN"/>
        </w:rPr>
        <w:t>8.55</w:t>
      </w:r>
      <w:r>
        <w:rPr>
          <w:rFonts w:hint="eastAsia" w:ascii="Times New Roman" w:hAnsi="Times New Roman" w:cs="Times New Roman"/>
          <w:color w:val="0000FF"/>
          <w:kern w:val="2"/>
          <w:highlight w:val="none"/>
          <w:lang w:val="en-US" w:eastAsia="zh-CN"/>
        </w:rPr>
        <w:t>kg/h）</w:t>
      </w:r>
      <w:r>
        <w:rPr>
          <w:rFonts w:hint="eastAsia"/>
          <w:color w:val="0000FF"/>
          <w:spacing w:val="-6"/>
          <w:w w:val="99"/>
          <w:highlight w:val="none"/>
          <w:lang w:eastAsia="zh-CN"/>
        </w:rPr>
        <w:t>；</w:t>
      </w:r>
      <w:r>
        <w:rPr>
          <w:rFonts w:hint="eastAsia" w:ascii="Times New Roman" w:hAnsi="Times New Roman"/>
          <w:color w:val="0000FF"/>
          <w:highlight w:val="none"/>
          <w:lang w:val="en-US" w:eastAsia="zh-CN"/>
        </w:rPr>
        <w:t>NO</w:t>
      </w:r>
      <w:r>
        <w:rPr>
          <w:rFonts w:hint="eastAsia" w:ascii="Times New Roman" w:hAnsi="Times New Roman"/>
          <w:color w:val="0000FF"/>
          <w:highlight w:val="none"/>
          <w:vertAlign w:val="subscript"/>
          <w:lang w:val="en-US" w:eastAsia="zh-CN"/>
        </w:rPr>
        <w:t>X</w:t>
      </w:r>
      <w:r>
        <w:rPr>
          <w:rFonts w:ascii="Times New Roman" w:hAnsi="Times New Roman"/>
          <w:color w:val="0000FF"/>
          <w:highlight w:val="none"/>
        </w:rPr>
        <w:t>排放量为</w:t>
      </w:r>
      <w:r>
        <w:rPr>
          <w:rFonts w:hint="eastAsia"/>
          <w:color w:val="0000FF"/>
          <w:highlight w:val="none"/>
          <w:lang w:val="en-US" w:eastAsia="zh-CN"/>
        </w:rPr>
        <w:t>20.94</w:t>
      </w:r>
      <w:r>
        <w:rPr>
          <w:rFonts w:hint="eastAsia" w:ascii="Times New Roman" w:hAnsi="Times New Roman"/>
          <w:color w:val="0000FF"/>
          <w:highlight w:val="none"/>
          <w:lang w:val="en-US" w:eastAsia="zh-CN"/>
        </w:rPr>
        <w:t>t/a</w:t>
      </w:r>
      <w:r>
        <w:rPr>
          <w:rFonts w:hint="eastAsia" w:ascii="Times New Roman" w:hAnsi="Times New Roman"/>
          <w:color w:val="0000FF"/>
          <w:highlight w:val="none"/>
          <w:lang w:eastAsia="zh-CN"/>
        </w:rPr>
        <w:t>（</w:t>
      </w:r>
      <w:r>
        <w:rPr>
          <w:rFonts w:hint="eastAsia"/>
          <w:color w:val="0000FF"/>
          <w:highlight w:val="none"/>
          <w:lang w:val="en-US" w:eastAsia="zh-CN"/>
        </w:rPr>
        <w:t>5.13</w:t>
      </w:r>
      <w:r>
        <w:rPr>
          <w:rFonts w:hint="eastAsia" w:ascii="Times New Roman" w:hAnsi="Times New Roman"/>
          <w:color w:val="0000FF"/>
          <w:highlight w:val="none"/>
          <w:lang w:val="en-US" w:eastAsia="zh-CN"/>
        </w:rPr>
        <w:t>kg/h</w:t>
      </w:r>
      <w:r>
        <w:rPr>
          <w:rFonts w:hint="eastAsia" w:ascii="Times New Roman" w:hAnsi="Times New Roman"/>
          <w:color w:val="0000FF"/>
          <w:highlight w:val="none"/>
          <w:lang w:eastAsia="zh-CN"/>
        </w:rPr>
        <w:t>）</w:t>
      </w:r>
      <w:r>
        <w:rPr>
          <w:rFonts w:ascii="Times New Roman" w:hAnsi="Times New Roman"/>
          <w:color w:val="0000FF"/>
          <w:highlight w:val="none"/>
        </w:rPr>
        <w:t>，排放浓度为</w:t>
      </w:r>
      <w:r>
        <w:rPr>
          <w:rFonts w:hint="eastAsia"/>
          <w:color w:val="0000FF"/>
          <w:highlight w:val="none"/>
          <w:lang w:val="en-US" w:eastAsia="zh-CN"/>
        </w:rPr>
        <w:t>60</w:t>
      </w:r>
      <w:r>
        <w:rPr>
          <w:rFonts w:ascii="Times New Roman" w:hAnsi="Times New Roman"/>
          <w:color w:val="0000FF"/>
          <w:highlight w:val="none"/>
        </w:rPr>
        <w:t>mg/m</w:t>
      </w:r>
      <w:r>
        <w:rPr>
          <w:rFonts w:hint="eastAsia" w:ascii="Times New Roman" w:hAnsi="Times New Roman"/>
          <w:color w:val="0000FF"/>
          <w:highlight w:val="none"/>
          <w:vertAlign w:val="superscript"/>
        </w:rPr>
        <w:t>3</w:t>
      </w:r>
      <w:r>
        <w:rPr>
          <w:rFonts w:hint="eastAsia" w:cs="Times New Roman"/>
          <w:color w:val="0000FF"/>
          <w:kern w:val="2"/>
          <w:highlight w:val="none"/>
          <w:lang w:val="en-US" w:eastAsia="zh-CN"/>
        </w:rPr>
        <w:t>。</w:t>
      </w:r>
    </w:p>
    <w:p>
      <w:pPr>
        <w:pStyle w:val="62"/>
        <w:rPr>
          <w:rFonts w:ascii="Times New Roman" w:hAnsi="Times New Roman"/>
          <w:color w:val="auto"/>
          <w:kern w:val="2"/>
          <w:highlight w:val="none"/>
          <w:lang w:val="de-DE"/>
        </w:rPr>
      </w:pPr>
      <w:r>
        <w:rPr>
          <w:rFonts w:hint="eastAsia" w:ascii="Times New Roman" w:hAnsi="Times New Roman"/>
          <w:color w:val="auto"/>
          <w:kern w:val="2"/>
          <w:highlight w:val="none"/>
          <w:lang w:val="de-DE"/>
        </w:rPr>
        <w:t>⑤</w:t>
      </w:r>
      <w:r>
        <w:rPr>
          <w:rFonts w:ascii="Times New Roman" w:hAnsi="Times New Roman"/>
          <w:color w:val="auto"/>
          <w:kern w:val="2"/>
          <w:highlight w:val="none"/>
          <w:lang w:val="de-DE"/>
        </w:rPr>
        <w:t>汞及其化合物排放量</w:t>
      </w:r>
    </w:p>
    <w:p>
      <w:pPr>
        <w:spacing w:line="360" w:lineRule="auto"/>
        <w:ind w:firstLine="480" w:firstLineChars="200"/>
        <w:rPr>
          <w:color w:val="auto"/>
          <w:sz w:val="24"/>
          <w:szCs w:val="24"/>
          <w:highlight w:val="none"/>
        </w:rPr>
      </w:pPr>
      <w:r>
        <w:rPr>
          <w:color w:val="auto"/>
          <w:sz w:val="24"/>
          <w:szCs w:val="24"/>
          <w:highlight w:val="none"/>
        </w:rPr>
        <w:t>根据《污染源源强核算技术指南 锅炉》（HJ991-2018），汞及其化合物按以下公式计算：</w:t>
      </w:r>
    </w:p>
    <w:p>
      <w:pPr>
        <w:spacing w:line="360" w:lineRule="auto"/>
        <w:jc w:val="center"/>
        <w:rPr>
          <w:color w:val="auto"/>
          <w:sz w:val="24"/>
          <w:szCs w:val="24"/>
          <w:highlight w:val="none"/>
        </w:rPr>
      </w:pPr>
      <w:r>
        <w:rPr>
          <w:color w:val="auto"/>
          <w:position w:val="-32"/>
          <w:sz w:val="24"/>
          <w:szCs w:val="24"/>
          <w:highlight w:val="none"/>
        </w:rPr>
        <w:object>
          <v:shape id="_x0000_i1028" o:spt="75" type="#_x0000_t75" style="height:39.4pt;width:171.5pt;" o:ole="t" filled="f" o:preferrelative="t" stroked="f" coordsize="21600,21600">
            <v:path/>
            <v:fill on="f" focussize="0,0"/>
            <v:stroke on="f"/>
            <v:imagedata r:id="rId46" o:title=""/>
            <o:lock v:ext="edit" aspectratio="t"/>
            <w10:wrap type="none"/>
            <w10:anchorlock/>
          </v:shape>
          <o:OLEObject Type="Embed" ProgID="Equation.3" ShapeID="_x0000_i1028" DrawAspect="Content" ObjectID="_1468075728" r:id="rId45">
            <o:LockedField>false</o:LockedField>
          </o:OLEObject>
        </w:object>
      </w:r>
    </w:p>
    <w:p>
      <w:pPr>
        <w:spacing w:line="360" w:lineRule="auto"/>
        <w:ind w:firstLine="480" w:firstLineChars="200"/>
        <w:jc w:val="left"/>
        <w:rPr>
          <w:color w:val="auto"/>
          <w:sz w:val="24"/>
          <w:szCs w:val="24"/>
          <w:highlight w:val="none"/>
        </w:rPr>
      </w:pPr>
      <w:r>
        <w:rPr>
          <w:color w:val="auto"/>
          <w:sz w:val="24"/>
          <w:szCs w:val="24"/>
          <w:highlight w:val="none"/>
        </w:rPr>
        <w:t>式中：E</w:t>
      </w:r>
      <w:r>
        <w:rPr>
          <w:color w:val="auto"/>
          <w:sz w:val="24"/>
          <w:szCs w:val="24"/>
          <w:highlight w:val="none"/>
          <w:vertAlign w:val="subscript"/>
        </w:rPr>
        <w:t>Hg</w:t>
      </w:r>
      <w:r>
        <w:rPr>
          <w:color w:val="auto"/>
          <w:sz w:val="24"/>
          <w:szCs w:val="24"/>
          <w:highlight w:val="none"/>
        </w:rPr>
        <w:t>———核算时段内汞及其化合物排放量（以汞计），t；</w:t>
      </w:r>
    </w:p>
    <w:p>
      <w:pPr>
        <w:spacing w:line="360" w:lineRule="auto"/>
        <w:ind w:firstLine="480" w:firstLineChars="200"/>
        <w:jc w:val="left"/>
        <w:rPr>
          <w:color w:val="auto"/>
          <w:sz w:val="24"/>
          <w:szCs w:val="24"/>
          <w:highlight w:val="none"/>
        </w:rPr>
      </w:pPr>
      <w:r>
        <w:rPr>
          <w:color w:val="auto"/>
          <w:sz w:val="24"/>
          <w:szCs w:val="24"/>
          <w:highlight w:val="none"/>
        </w:rPr>
        <w:t xml:space="preserve">      R———核算时段内锅炉燃烧耗量，t；</w:t>
      </w:r>
    </w:p>
    <w:p>
      <w:pPr>
        <w:spacing w:line="360" w:lineRule="auto"/>
        <w:ind w:firstLine="480" w:firstLineChars="200"/>
        <w:jc w:val="left"/>
        <w:rPr>
          <w:color w:val="auto"/>
          <w:sz w:val="24"/>
          <w:szCs w:val="24"/>
          <w:highlight w:val="none"/>
        </w:rPr>
      </w:pPr>
      <w:r>
        <w:rPr>
          <w:color w:val="auto"/>
          <w:sz w:val="24"/>
          <w:szCs w:val="24"/>
          <w:highlight w:val="none"/>
        </w:rPr>
        <w:t xml:space="preserve">      m</w:t>
      </w:r>
      <w:r>
        <w:rPr>
          <w:color w:val="auto"/>
          <w:sz w:val="24"/>
          <w:szCs w:val="24"/>
          <w:highlight w:val="none"/>
          <w:vertAlign w:val="subscript"/>
        </w:rPr>
        <w:t>Hgar</w:t>
      </w:r>
      <w:r>
        <w:rPr>
          <w:color w:val="auto"/>
          <w:sz w:val="24"/>
          <w:szCs w:val="24"/>
          <w:highlight w:val="none"/>
        </w:rPr>
        <w:t>———收到基汞的含量，μg/g；取值0.0</w:t>
      </w:r>
      <w:r>
        <w:rPr>
          <w:rFonts w:hint="eastAsia"/>
          <w:color w:val="auto"/>
          <w:sz w:val="24"/>
          <w:szCs w:val="24"/>
          <w:highlight w:val="none"/>
        </w:rPr>
        <w:t>543；取自（地球与环境期刊根据《</w:t>
      </w:r>
      <w:r>
        <w:rPr>
          <w:color w:val="auto"/>
          <w:sz w:val="24"/>
          <w:szCs w:val="24"/>
          <w:highlight w:val="none"/>
        </w:rPr>
        <w:t>新疆原煤中汞含量分布及燃煤大气汞排放量估算</w:t>
      </w:r>
      <w:r>
        <w:rPr>
          <w:rFonts w:hint="eastAsia"/>
          <w:color w:val="auto"/>
          <w:sz w:val="24"/>
          <w:szCs w:val="24"/>
          <w:highlight w:val="none"/>
        </w:rPr>
        <w:t>》）；</w:t>
      </w:r>
    </w:p>
    <w:p>
      <w:pPr>
        <w:pStyle w:val="62"/>
        <w:ind w:firstLine="1200" w:firstLineChars="500"/>
        <w:rPr>
          <w:rFonts w:ascii="Times New Roman" w:hAnsi="Times New Roman"/>
          <w:color w:val="auto"/>
          <w:highlight w:val="none"/>
          <w:lang w:bidi="ar"/>
        </w:rPr>
      </w:pPr>
      <w:r>
        <w:rPr>
          <w:rFonts w:ascii="Times New Roman" w:hAnsi="Times New Roman"/>
          <w:color w:val="auto"/>
          <w:highlight w:val="none"/>
          <w:lang w:val="de-DE"/>
        </w:rPr>
        <w:t>η</w:t>
      </w:r>
      <w:r>
        <w:rPr>
          <w:rFonts w:ascii="Times New Roman" w:hAnsi="Times New Roman"/>
          <w:color w:val="auto"/>
          <w:highlight w:val="none"/>
          <w:vertAlign w:val="subscript"/>
        </w:rPr>
        <w:t>Hg</w:t>
      </w:r>
      <w:r>
        <w:rPr>
          <w:rFonts w:ascii="Times New Roman" w:hAnsi="Times New Roman"/>
          <w:color w:val="auto"/>
          <w:highlight w:val="none"/>
        </w:rPr>
        <w:t>———</w:t>
      </w:r>
      <w:r>
        <w:rPr>
          <w:rFonts w:hint="eastAsia" w:ascii="Times New Roman" w:hAnsi="Times New Roman"/>
          <w:color w:val="auto"/>
          <w:highlight w:val="none"/>
        </w:rPr>
        <w:t>汞的协同脱除</w:t>
      </w:r>
      <w:r>
        <w:rPr>
          <w:rFonts w:ascii="Times New Roman" w:hAnsi="Times New Roman"/>
          <w:color w:val="auto"/>
          <w:highlight w:val="none"/>
          <w:lang w:val="de-DE"/>
        </w:rPr>
        <w:t>效率，取</w:t>
      </w:r>
      <w:r>
        <w:rPr>
          <w:rFonts w:hint="eastAsia" w:ascii="Times New Roman" w:hAnsi="Times New Roman"/>
          <w:color w:val="auto"/>
          <w:highlight w:val="none"/>
          <w:lang w:val="en-US" w:eastAsia="zh-CN"/>
        </w:rPr>
        <w:t>5</w:t>
      </w:r>
      <w:r>
        <w:rPr>
          <w:rFonts w:hint="eastAsia" w:ascii="Times New Roman" w:hAnsi="Times New Roman"/>
          <w:color w:val="auto"/>
          <w:highlight w:val="none"/>
        </w:rPr>
        <w:t>0</w:t>
      </w:r>
      <w:r>
        <w:rPr>
          <w:rFonts w:ascii="Times New Roman" w:hAnsi="Times New Roman"/>
          <w:color w:val="auto"/>
          <w:highlight w:val="none"/>
          <w:lang w:val="de-DE"/>
        </w:rPr>
        <w:t>%</w:t>
      </w:r>
      <w:r>
        <w:rPr>
          <w:rFonts w:hint="eastAsia" w:ascii="Times New Roman" w:hAnsi="Times New Roman"/>
          <w:color w:val="auto"/>
          <w:highlight w:val="none"/>
          <w:lang w:val="de-DE"/>
        </w:rPr>
        <w:t>。</w:t>
      </w:r>
    </w:p>
    <w:p>
      <w:pPr>
        <w:pStyle w:val="62"/>
        <w:rPr>
          <w:rFonts w:ascii="Times New Roman" w:hAnsi="Times New Roman"/>
          <w:color w:val="auto"/>
          <w:kern w:val="2"/>
          <w:highlight w:val="none"/>
          <w:lang w:val="de-DE"/>
        </w:rPr>
      </w:pPr>
      <w:r>
        <w:rPr>
          <w:rFonts w:ascii="Times New Roman" w:hAnsi="Times New Roman"/>
          <w:color w:val="auto"/>
          <w:highlight w:val="none"/>
          <w:lang w:bidi="ar"/>
        </w:rPr>
        <w:t>当烟气采用脱硝、除尘和脱硫等环保设施对烟气中的汞具有较高的脱除效率，平均脱除效率一般可达</w:t>
      </w:r>
      <w:r>
        <w:rPr>
          <w:rFonts w:hint="eastAsia" w:ascii="Times New Roman" w:hAnsi="Times New Roman"/>
          <w:color w:val="auto"/>
          <w:highlight w:val="none"/>
          <w:lang w:val="en-US" w:eastAsia="zh-CN" w:bidi="ar"/>
        </w:rPr>
        <w:t>5</w:t>
      </w:r>
      <w:r>
        <w:rPr>
          <w:rFonts w:ascii="Times New Roman" w:hAnsi="Times New Roman"/>
          <w:color w:val="auto"/>
          <w:highlight w:val="none"/>
          <w:lang w:bidi="ar"/>
        </w:rPr>
        <w:t>0%</w:t>
      </w:r>
      <w:r>
        <w:rPr>
          <w:rFonts w:ascii="Times New Roman" w:hAnsi="Times New Roman"/>
          <w:color w:val="auto"/>
          <w:kern w:val="2"/>
          <w:highlight w:val="none"/>
          <w:lang w:val="de-DE"/>
        </w:rPr>
        <w:t>。</w:t>
      </w:r>
    </w:p>
    <w:p>
      <w:pPr>
        <w:pStyle w:val="62"/>
        <w:rPr>
          <w:color w:val="auto"/>
          <w:highlight w:val="none"/>
          <w:lang w:val="de-DE"/>
        </w:rPr>
      </w:pPr>
      <w:r>
        <w:rPr>
          <w:rFonts w:hint="eastAsia" w:ascii="宋体" w:hAnsi="宋体" w:eastAsia="宋体" w:cs="宋体"/>
          <w:color w:val="auto"/>
          <w:kern w:val="0"/>
          <w:sz w:val="24"/>
          <w:szCs w:val="24"/>
          <w:highlight w:val="none"/>
          <w:lang w:val="en-US" w:eastAsia="zh-CN" w:bidi="ar"/>
        </w:rPr>
        <w:t>经计算，汞及其化合物产生量为</w:t>
      </w:r>
      <w:r>
        <w:rPr>
          <w:rFonts w:hint="eastAsia" w:ascii="Times New Roman" w:hAnsi="Times New Roman" w:cs="Times New Roman"/>
          <w:color w:val="auto"/>
          <w:kern w:val="0"/>
          <w:sz w:val="24"/>
          <w:szCs w:val="24"/>
          <w:highlight w:val="none"/>
          <w:lang w:val="en-US" w:eastAsia="zh-CN" w:bidi="ar"/>
        </w:rPr>
        <w:t>0.000524</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0.00214</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，产生浓度为</w:t>
      </w:r>
      <w:r>
        <w:rPr>
          <w:rFonts w:hint="eastAsia" w:ascii="Times New Roman" w:hAnsi="Times New Roman" w:cs="Times New Roman"/>
          <w:color w:val="auto"/>
          <w:kern w:val="0"/>
          <w:sz w:val="24"/>
          <w:szCs w:val="24"/>
          <w:highlight w:val="none"/>
          <w:lang w:val="en-US" w:eastAsia="zh-CN" w:bidi="ar"/>
        </w:rPr>
        <w:t>0.00596</w:t>
      </w:r>
      <w:r>
        <w:rPr>
          <w:rFonts w:hint="default" w:ascii="Times New Roman" w:hAnsi="Times New Roman" w:eastAsia="宋体" w:cs="Times New Roman"/>
          <w:color w:val="auto"/>
          <w:kern w:val="0"/>
          <w:sz w:val="24"/>
          <w:szCs w:val="24"/>
          <w:highlight w:val="none"/>
          <w:lang w:val="en-US" w:eastAsia="zh-CN" w:bidi="ar"/>
        </w:rPr>
        <w:t>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；汞及其化合物排放量为</w:t>
      </w:r>
      <w:r>
        <w:rPr>
          <w:rFonts w:hint="eastAsia" w:ascii="Times New Roman" w:hAnsi="Times New Roman" w:cs="Times New Roman"/>
          <w:color w:val="auto"/>
          <w:kern w:val="0"/>
          <w:sz w:val="24"/>
          <w:szCs w:val="24"/>
          <w:highlight w:val="none"/>
          <w:lang w:val="en-US" w:eastAsia="zh-CN" w:bidi="ar"/>
        </w:rPr>
        <w:t>0.000262</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0.00107</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，排放浓度为</w:t>
      </w:r>
      <w:r>
        <w:rPr>
          <w:rFonts w:hint="eastAsia" w:ascii="Times New Roman" w:hAnsi="Times New Roman" w:cs="Times New Roman"/>
          <w:color w:val="auto"/>
          <w:kern w:val="0"/>
          <w:sz w:val="24"/>
          <w:szCs w:val="24"/>
          <w:highlight w:val="none"/>
          <w:lang w:val="en-US" w:eastAsia="zh-CN" w:bidi="ar"/>
        </w:rPr>
        <w:t>0.00298</w:t>
      </w:r>
      <w:r>
        <w:rPr>
          <w:rFonts w:hint="default" w:ascii="Times New Roman" w:hAnsi="Times New Roman" w:eastAsia="宋体" w:cs="Times New Roman"/>
          <w:color w:val="auto"/>
          <w:kern w:val="0"/>
          <w:sz w:val="24"/>
          <w:szCs w:val="24"/>
          <w:highlight w:val="none"/>
          <w:lang w:val="en-US" w:eastAsia="zh-CN" w:bidi="ar"/>
        </w:rPr>
        <w:t>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w:t>
      </w:r>
    </w:p>
    <w:p>
      <w:pPr>
        <w:pStyle w:val="62"/>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jc w:val="center"/>
        <w:textAlignment w:val="auto"/>
        <w:rPr>
          <w:rFonts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ascii="Times New Roman" w:hAnsi="Times New Roman"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锅炉烟气污染物排放量统计</w:t>
      </w:r>
    </w:p>
    <w:tbl>
      <w:tblPr>
        <w:tblStyle w:val="31"/>
        <w:tblW w:w="8375" w:type="dxa"/>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5"/>
        <w:gridCol w:w="807"/>
        <w:gridCol w:w="641"/>
        <w:gridCol w:w="903"/>
        <w:gridCol w:w="821"/>
        <w:gridCol w:w="765"/>
        <w:gridCol w:w="976"/>
        <w:gridCol w:w="696"/>
        <w:gridCol w:w="695"/>
        <w:gridCol w:w="742"/>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65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5"/>
                <w:sz w:val="21"/>
                <w:szCs w:val="21"/>
                <w:highlight w:val="none"/>
              </w:rPr>
              <w:t>污染</w:t>
            </w:r>
            <w:r>
              <w:rPr>
                <w:b/>
                <w:bCs/>
                <w:color w:val="auto"/>
                <w:sz w:val="21"/>
                <w:szCs w:val="21"/>
                <w:highlight w:val="none"/>
              </w:rPr>
              <w:t>源</w:t>
            </w:r>
          </w:p>
        </w:tc>
        <w:tc>
          <w:tcPr>
            <w:tcW w:w="80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3"/>
                <w:sz w:val="21"/>
                <w:szCs w:val="21"/>
                <w:highlight w:val="none"/>
              </w:rPr>
              <w:t>烟气量</w:t>
            </w:r>
          </w:p>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3"/>
                <w:sz w:val="21"/>
                <w:szCs w:val="21"/>
                <w:highlight w:val="none"/>
              </w:rPr>
              <w:t>Nm</w:t>
            </w:r>
            <w:r>
              <w:rPr>
                <w:b/>
                <w:bCs/>
                <w:color w:val="auto"/>
                <w:spacing w:val="-3"/>
                <w:sz w:val="21"/>
                <w:szCs w:val="21"/>
                <w:highlight w:val="none"/>
                <w:vertAlign w:val="superscript"/>
              </w:rPr>
              <w:t>3</w:t>
            </w:r>
            <w:r>
              <w:rPr>
                <w:b/>
                <w:bCs/>
                <w:color w:val="auto"/>
                <w:spacing w:val="-3"/>
                <w:sz w:val="21"/>
                <w:szCs w:val="21"/>
                <w:highlight w:val="none"/>
              </w:rPr>
              <w:t>/</w:t>
            </w:r>
            <w:r>
              <w:rPr>
                <w:b/>
                <w:bCs/>
                <w:color w:val="auto"/>
                <w:spacing w:val="-1"/>
                <w:sz w:val="21"/>
                <w:szCs w:val="21"/>
                <w:highlight w:val="none"/>
              </w:rPr>
              <w:t>h</w:t>
            </w:r>
          </w:p>
        </w:tc>
        <w:tc>
          <w:tcPr>
            <w:tcW w:w="64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5"/>
                <w:sz w:val="21"/>
                <w:szCs w:val="21"/>
                <w:highlight w:val="none"/>
              </w:rPr>
              <w:t>污染</w:t>
            </w:r>
            <w:r>
              <w:rPr>
                <w:b/>
                <w:bCs/>
                <w:color w:val="auto"/>
                <w:spacing w:val="-13"/>
                <w:sz w:val="21"/>
                <w:szCs w:val="21"/>
                <w:highlight w:val="none"/>
              </w:rPr>
              <w:t>因子</w:t>
            </w:r>
          </w:p>
        </w:tc>
        <w:tc>
          <w:tcPr>
            <w:tcW w:w="90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3"/>
                <w:sz w:val="21"/>
                <w:szCs w:val="21"/>
                <w:highlight w:val="none"/>
              </w:rPr>
              <w:t>治理措施</w:t>
            </w:r>
          </w:p>
        </w:tc>
        <w:tc>
          <w:tcPr>
            <w:tcW w:w="82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5"/>
                <w:sz w:val="21"/>
                <w:szCs w:val="21"/>
                <w:highlight w:val="none"/>
              </w:rPr>
              <w:t>浓度</w:t>
            </w:r>
            <w:r>
              <w:rPr>
                <w:b/>
                <w:bCs/>
                <w:color w:val="auto"/>
                <w:spacing w:val="-1"/>
                <w:sz w:val="21"/>
                <w:szCs w:val="21"/>
                <w:highlight w:val="none"/>
              </w:rPr>
              <w:t>mg/m</w:t>
            </w:r>
            <w:r>
              <w:rPr>
                <w:b/>
                <w:bCs/>
                <w:color w:val="auto"/>
                <w:spacing w:val="-1"/>
                <w:sz w:val="21"/>
                <w:szCs w:val="21"/>
                <w:highlight w:val="none"/>
                <w:vertAlign w:val="superscript"/>
              </w:rPr>
              <w:t>3</w:t>
            </w:r>
          </w:p>
        </w:tc>
        <w:tc>
          <w:tcPr>
            <w:tcW w:w="76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4"/>
                <w:sz w:val="21"/>
                <w:szCs w:val="21"/>
                <w:highlight w:val="none"/>
              </w:rPr>
              <w:t>设计去</w:t>
            </w:r>
            <w:r>
              <w:rPr>
                <w:b/>
                <w:bCs/>
                <w:color w:val="auto"/>
                <w:spacing w:val="-7"/>
                <w:sz w:val="21"/>
                <w:szCs w:val="21"/>
                <w:highlight w:val="none"/>
              </w:rPr>
              <w:t>除效率</w:t>
            </w:r>
          </w:p>
        </w:tc>
        <w:tc>
          <w:tcPr>
            <w:tcW w:w="2367" w:type="dxa"/>
            <w:gridSpan w:val="3"/>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2"/>
                <w:sz w:val="21"/>
                <w:szCs w:val="21"/>
                <w:highlight w:val="none"/>
              </w:rPr>
              <w:t>排放量</w:t>
            </w:r>
          </w:p>
        </w:tc>
        <w:tc>
          <w:tcPr>
            <w:tcW w:w="74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pacing w:val="-3"/>
                <w:sz w:val="21"/>
                <w:szCs w:val="21"/>
                <w:highlight w:val="none"/>
              </w:rPr>
            </w:pPr>
            <w:r>
              <w:rPr>
                <w:b/>
                <w:bCs/>
                <w:color w:val="auto"/>
                <w:spacing w:val="-3"/>
                <w:sz w:val="21"/>
                <w:szCs w:val="21"/>
                <w:highlight w:val="none"/>
              </w:rPr>
              <w:t>排放</w:t>
            </w:r>
          </w:p>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3"/>
                <w:sz w:val="21"/>
                <w:szCs w:val="21"/>
                <w:highlight w:val="none"/>
              </w:rPr>
              <w:t>标</w:t>
            </w:r>
            <w:r>
              <w:rPr>
                <w:b/>
                <w:bCs/>
                <w:color w:val="auto"/>
                <w:sz w:val="21"/>
                <w:szCs w:val="21"/>
                <w:highlight w:val="none"/>
              </w:rPr>
              <w:t>准</w:t>
            </w:r>
          </w:p>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1"/>
                <w:sz w:val="21"/>
                <w:szCs w:val="21"/>
                <w:highlight w:val="none"/>
              </w:rPr>
              <w:t>mg/m</w:t>
            </w:r>
            <w:r>
              <w:rPr>
                <w:b/>
                <w:bCs/>
                <w:color w:val="auto"/>
                <w:spacing w:val="-1"/>
                <w:sz w:val="21"/>
                <w:szCs w:val="21"/>
                <w:highlight w:val="none"/>
                <w:vertAlign w:val="superscript"/>
              </w:rPr>
              <w:t>3</w:t>
            </w:r>
          </w:p>
        </w:tc>
        <w:tc>
          <w:tcPr>
            <w:tcW w:w="67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5"/>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65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80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64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90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82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76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9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5"/>
                <w:sz w:val="21"/>
                <w:szCs w:val="21"/>
                <w:highlight w:val="none"/>
              </w:rPr>
              <w:t>浓度</w:t>
            </w:r>
            <w:r>
              <w:rPr>
                <w:b/>
                <w:bCs/>
                <w:color w:val="auto"/>
                <w:spacing w:val="-1"/>
                <w:sz w:val="21"/>
                <w:szCs w:val="21"/>
                <w:highlight w:val="none"/>
              </w:rPr>
              <w:t>mg/m</w:t>
            </w:r>
            <w:r>
              <w:rPr>
                <w:b/>
                <w:bCs/>
                <w:color w:val="auto"/>
                <w:spacing w:val="-1"/>
                <w:sz w:val="21"/>
                <w:szCs w:val="21"/>
                <w:highlight w:val="none"/>
                <w:vertAlign w:val="superscript"/>
              </w:rPr>
              <w:t>3</w:t>
            </w:r>
          </w:p>
        </w:tc>
        <w:tc>
          <w:tcPr>
            <w:tcW w:w="69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1"/>
                <w:sz w:val="21"/>
                <w:szCs w:val="21"/>
                <w:highlight w:val="none"/>
              </w:rPr>
              <w:t>kg/h</w:t>
            </w: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b/>
                <w:bCs/>
                <w:color w:val="auto"/>
                <w:sz w:val="21"/>
                <w:szCs w:val="21"/>
                <w:highlight w:val="none"/>
              </w:rPr>
            </w:pPr>
            <w:r>
              <w:rPr>
                <w:b/>
                <w:bCs/>
                <w:color w:val="auto"/>
                <w:spacing w:val="-1"/>
                <w:sz w:val="21"/>
                <w:szCs w:val="21"/>
                <w:highlight w:val="none"/>
              </w:rPr>
              <w:t>t/a</w:t>
            </w:r>
          </w:p>
        </w:tc>
        <w:tc>
          <w:tcPr>
            <w:tcW w:w="74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67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65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r>
              <w:rPr>
                <w:rFonts w:hint="eastAsia"/>
                <w:color w:val="auto"/>
                <w:spacing w:val="-1"/>
                <w:sz w:val="21"/>
                <w:szCs w:val="21"/>
                <w:highlight w:val="none"/>
                <w:lang w:val="en-US" w:eastAsia="zh-CN"/>
              </w:rPr>
              <w:t>90t/h</w:t>
            </w:r>
            <w:r>
              <w:rPr>
                <w:color w:val="auto"/>
                <w:sz w:val="21"/>
                <w:szCs w:val="21"/>
                <w:highlight w:val="none"/>
              </w:rPr>
              <w:t>锅炉</w:t>
            </w:r>
          </w:p>
        </w:tc>
        <w:tc>
          <w:tcPr>
            <w:tcW w:w="80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right="0" w:firstLine="0" w:firstLineChars="0"/>
              <w:jc w:val="center"/>
              <w:textAlignment w:val="center"/>
              <w:rPr>
                <w:color w:val="auto"/>
                <w:sz w:val="21"/>
                <w:szCs w:val="21"/>
                <w:highlight w:val="none"/>
              </w:rPr>
            </w:pPr>
            <w:r>
              <w:rPr>
                <w:rFonts w:hint="eastAsia"/>
                <w:color w:val="auto"/>
                <w:sz w:val="21"/>
                <w:szCs w:val="21"/>
                <w:highlight w:val="none"/>
                <w:lang w:val="en-US" w:eastAsia="zh-CN"/>
              </w:rPr>
              <w:t>8.8</w:t>
            </w:r>
            <w:r>
              <w:rPr>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line="320" w:lineRule="exact"/>
              <w:ind w:left="0" w:right="0" w:firstLine="0" w:firstLineChars="0"/>
              <w:jc w:val="center"/>
              <w:textAlignment w:val="center"/>
              <w:rPr>
                <w:color w:val="auto"/>
                <w:sz w:val="21"/>
                <w:szCs w:val="21"/>
                <w:highlight w:val="none"/>
              </w:rPr>
            </w:pPr>
            <w:r>
              <w:rPr>
                <w:color w:val="auto"/>
                <w:sz w:val="21"/>
                <w:szCs w:val="21"/>
                <w:highlight w:val="none"/>
              </w:rPr>
              <w:t>10</w:t>
            </w:r>
            <w:r>
              <w:rPr>
                <w:rFonts w:hint="eastAsia"/>
                <w:color w:val="auto"/>
                <w:sz w:val="21"/>
                <w:szCs w:val="21"/>
                <w:highlight w:val="none"/>
                <w:vertAlign w:val="superscript"/>
              </w:rPr>
              <w:t>4</w:t>
            </w:r>
          </w:p>
        </w:tc>
        <w:tc>
          <w:tcPr>
            <w:tcW w:w="64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4"/>
                <w:sz w:val="21"/>
                <w:szCs w:val="21"/>
                <w:highlight w:val="none"/>
              </w:rPr>
              <w:t>颗粒</w:t>
            </w:r>
            <w:r>
              <w:rPr>
                <w:color w:val="auto"/>
                <w:sz w:val="21"/>
                <w:szCs w:val="21"/>
                <w:highlight w:val="none"/>
              </w:rPr>
              <w:t>物</w:t>
            </w:r>
          </w:p>
        </w:tc>
        <w:tc>
          <w:tcPr>
            <w:tcW w:w="903"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4"/>
                <w:sz w:val="21"/>
                <w:szCs w:val="21"/>
                <w:highlight w:val="none"/>
              </w:rPr>
              <w:t>布袋</w:t>
            </w:r>
            <w:r>
              <w:rPr>
                <w:color w:val="auto"/>
                <w:spacing w:val="-6"/>
                <w:sz w:val="21"/>
                <w:szCs w:val="21"/>
                <w:highlight w:val="none"/>
              </w:rPr>
              <w:t>除尘</w:t>
            </w:r>
          </w:p>
        </w:tc>
        <w:tc>
          <w:tcPr>
            <w:tcW w:w="82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150.6</w:t>
            </w:r>
          </w:p>
        </w:tc>
        <w:tc>
          <w:tcPr>
            <w:tcW w:w="76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1"/>
                <w:sz w:val="21"/>
                <w:szCs w:val="21"/>
                <w:highlight w:val="none"/>
              </w:rPr>
              <w:t>≥99</w:t>
            </w:r>
            <w:r>
              <w:rPr>
                <w:rFonts w:hint="eastAsia"/>
                <w:color w:val="auto"/>
                <w:spacing w:val="-1"/>
                <w:sz w:val="21"/>
                <w:szCs w:val="21"/>
                <w:highlight w:val="none"/>
              </w:rPr>
              <w:t>.5</w:t>
            </w:r>
            <w:r>
              <w:rPr>
                <w:color w:val="auto"/>
                <w:spacing w:val="-1"/>
                <w:sz w:val="21"/>
                <w:szCs w:val="21"/>
                <w:highlight w:val="none"/>
              </w:rPr>
              <w:t>%</w:t>
            </w:r>
          </w:p>
        </w:tc>
        <w:tc>
          <w:tcPr>
            <w:tcW w:w="9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0.753</w:t>
            </w:r>
          </w:p>
        </w:tc>
        <w:tc>
          <w:tcPr>
            <w:tcW w:w="69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0.066</w:t>
            </w: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0.27</w:t>
            </w:r>
          </w:p>
        </w:tc>
        <w:tc>
          <w:tcPr>
            <w:tcW w:w="742"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67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10"/>
                <w:sz w:val="21"/>
                <w:szCs w:val="21"/>
                <w:highlight w:val="none"/>
              </w:rPr>
              <w:t>经</w:t>
            </w:r>
            <w:r>
              <w:rPr>
                <w:rFonts w:hint="eastAsia"/>
                <w:color w:val="auto"/>
                <w:spacing w:val="-10"/>
                <w:sz w:val="21"/>
                <w:szCs w:val="21"/>
                <w:highlight w:val="none"/>
                <w:lang w:val="en-US" w:eastAsia="zh-CN"/>
              </w:rPr>
              <w:t>45</w:t>
            </w:r>
            <w:r>
              <w:rPr>
                <w:color w:val="auto"/>
                <w:spacing w:val="-6"/>
                <w:sz w:val="21"/>
                <w:szCs w:val="21"/>
                <w:highlight w:val="none"/>
              </w:rPr>
              <w:t>m</w:t>
            </w:r>
            <w:r>
              <w:rPr>
                <w:rFonts w:hint="eastAsia"/>
                <w:color w:val="auto"/>
                <w:spacing w:val="-6"/>
                <w:sz w:val="21"/>
                <w:szCs w:val="21"/>
                <w:highlight w:val="none"/>
              </w:rPr>
              <w:t>高</w:t>
            </w:r>
            <w:r>
              <w:rPr>
                <w:color w:val="auto"/>
                <w:spacing w:val="2"/>
                <w:sz w:val="21"/>
                <w:szCs w:val="21"/>
                <w:highlight w:val="none"/>
              </w:rPr>
              <w:t>烟囱排放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65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80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64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5"/>
                <w:sz w:val="21"/>
                <w:szCs w:val="21"/>
                <w:highlight w:val="none"/>
              </w:rPr>
              <w:t>SO</w:t>
            </w:r>
            <w:r>
              <w:rPr>
                <w:color w:val="auto"/>
                <w:spacing w:val="-5"/>
                <w:position w:val="-2"/>
                <w:sz w:val="21"/>
                <w:szCs w:val="21"/>
                <w:highlight w:val="none"/>
                <w:vertAlign w:val="subscript"/>
              </w:rPr>
              <w:t>2</w:t>
            </w:r>
          </w:p>
        </w:tc>
        <w:tc>
          <w:tcPr>
            <w:tcW w:w="903"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r>
              <w:rPr>
                <w:rFonts w:hint="eastAsia"/>
                <w:color w:val="00B050"/>
                <w:spacing w:val="-3"/>
                <w:sz w:val="21"/>
                <w:szCs w:val="21"/>
                <w:highlight w:val="none"/>
                <w:lang w:eastAsia="zh-CN"/>
              </w:rPr>
              <w:t>石灰石膏法</w:t>
            </w:r>
          </w:p>
        </w:tc>
        <w:tc>
          <w:tcPr>
            <w:tcW w:w="82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146.38</w:t>
            </w:r>
          </w:p>
        </w:tc>
        <w:tc>
          <w:tcPr>
            <w:tcW w:w="76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0000FF"/>
                <w:sz w:val="21"/>
                <w:szCs w:val="21"/>
                <w:highlight w:val="none"/>
              </w:rPr>
            </w:pPr>
            <w:r>
              <w:rPr>
                <w:color w:val="0000FF"/>
                <w:sz w:val="21"/>
                <w:szCs w:val="21"/>
                <w:highlight w:val="none"/>
              </w:rPr>
              <w:t>≥85%</w:t>
            </w:r>
          </w:p>
        </w:tc>
        <w:tc>
          <w:tcPr>
            <w:tcW w:w="9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21.96</w:t>
            </w:r>
          </w:p>
        </w:tc>
        <w:tc>
          <w:tcPr>
            <w:tcW w:w="69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1.88</w:t>
            </w: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7.67</w:t>
            </w:r>
          </w:p>
        </w:tc>
        <w:tc>
          <w:tcPr>
            <w:tcW w:w="742"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100</w:t>
            </w:r>
          </w:p>
        </w:tc>
        <w:tc>
          <w:tcPr>
            <w:tcW w:w="67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8" w:hRule="atLeast"/>
        </w:trPr>
        <w:tc>
          <w:tcPr>
            <w:tcW w:w="65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80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64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eastAsia" w:eastAsia="宋体"/>
                <w:color w:val="auto"/>
                <w:sz w:val="21"/>
                <w:szCs w:val="21"/>
                <w:highlight w:val="none"/>
                <w:lang w:eastAsia="zh-CN"/>
              </w:rPr>
            </w:pPr>
            <w:r>
              <w:rPr>
                <w:color w:val="auto"/>
                <w:sz w:val="21"/>
                <w:szCs w:val="21"/>
                <w:highlight w:val="none"/>
              </w:rPr>
              <w:t>NO</w:t>
            </w:r>
            <w:r>
              <w:rPr>
                <w:rFonts w:hint="eastAsia"/>
                <w:color w:val="auto"/>
                <w:position w:val="-2"/>
                <w:sz w:val="21"/>
                <w:szCs w:val="21"/>
                <w:highlight w:val="none"/>
                <w:vertAlign w:val="subscript"/>
                <w:lang w:val="en-US" w:eastAsia="zh-CN"/>
              </w:rPr>
              <w:t>X</w:t>
            </w:r>
          </w:p>
        </w:tc>
        <w:tc>
          <w:tcPr>
            <w:tcW w:w="903"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pacing w:val="-3"/>
                <w:sz w:val="21"/>
                <w:szCs w:val="21"/>
                <w:highlight w:val="none"/>
              </w:rPr>
            </w:pPr>
            <w:r>
              <w:rPr>
                <w:color w:val="auto"/>
                <w:spacing w:val="-3"/>
                <w:sz w:val="21"/>
                <w:szCs w:val="21"/>
                <w:highlight w:val="none"/>
              </w:rPr>
              <w:t>SNCR</w:t>
            </w:r>
          </w:p>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3"/>
                <w:sz w:val="21"/>
                <w:szCs w:val="21"/>
                <w:highlight w:val="none"/>
              </w:rPr>
              <w:t>脱</w:t>
            </w:r>
            <w:r>
              <w:rPr>
                <w:color w:val="auto"/>
                <w:sz w:val="21"/>
                <w:szCs w:val="21"/>
                <w:highlight w:val="none"/>
              </w:rPr>
              <w:t>硝</w:t>
            </w:r>
          </w:p>
        </w:tc>
        <w:tc>
          <w:tcPr>
            <w:tcW w:w="82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100</w:t>
            </w:r>
          </w:p>
        </w:tc>
        <w:tc>
          <w:tcPr>
            <w:tcW w:w="76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0000FF"/>
                <w:sz w:val="21"/>
                <w:szCs w:val="21"/>
                <w:highlight w:val="none"/>
              </w:rPr>
            </w:pPr>
            <w:r>
              <w:rPr>
                <w:color w:val="0000FF"/>
                <w:sz w:val="21"/>
                <w:szCs w:val="21"/>
                <w:highlight w:val="none"/>
              </w:rPr>
              <w:t>≥</w:t>
            </w:r>
            <w:r>
              <w:rPr>
                <w:rFonts w:hint="eastAsia"/>
                <w:color w:val="0000FF"/>
                <w:sz w:val="21"/>
                <w:szCs w:val="21"/>
                <w:highlight w:val="none"/>
                <w:lang w:val="en-US" w:eastAsia="zh-CN"/>
              </w:rPr>
              <w:t>4</w:t>
            </w:r>
            <w:r>
              <w:rPr>
                <w:color w:val="0000FF"/>
                <w:sz w:val="21"/>
                <w:szCs w:val="21"/>
                <w:highlight w:val="none"/>
              </w:rPr>
              <w:t>0%</w:t>
            </w:r>
          </w:p>
        </w:tc>
        <w:tc>
          <w:tcPr>
            <w:tcW w:w="9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60</w:t>
            </w:r>
          </w:p>
        </w:tc>
        <w:tc>
          <w:tcPr>
            <w:tcW w:w="69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5.13</w:t>
            </w: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20.94</w:t>
            </w:r>
          </w:p>
        </w:tc>
        <w:tc>
          <w:tcPr>
            <w:tcW w:w="742"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100</w:t>
            </w:r>
          </w:p>
        </w:tc>
        <w:tc>
          <w:tcPr>
            <w:tcW w:w="67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4" w:hRule="atLeast"/>
        </w:trPr>
        <w:tc>
          <w:tcPr>
            <w:tcW w:w="65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80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c>
          <w:tcPr>
            <w:tcW w:w="64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汞及其化合物</w:t>
            </w:r>
          </w:p>
        </w:tc>
        <w:tc>
          <w:tcPr>
            <w:tcW w:w="903"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SNCR+布袋除尘+</w:t>
            </w:r>
            <w:r>
              <w:rPr>
                <w:rFonts w:hint="eastAsia" w:cs="Times New Roman"/>
                <w:color w:val="00B050"/>
                <w:sz w:val="21"/>
                <w:szCs w:val="21"/>
                <w:highlight w:val="none"/>
                <w:lang w:eastAsia="zh-CN"/>
              </w:rPr>
              <w:t>石灰石膏法</w:t>
            </w:r>
            <w:r>
              <w:rPr>
                <w:rFonts w:ascii="Times New Roman" w:hAnsi="Times New Roman" w:eastAsia="宋体" w:cs="Times New Roman"/>
                <w:color w:val="00B050"/>
                <w:sz w:val="21"/>
                <w:szCs w:val="21"/>
                <w:highlight w:val="none"/>
              </w:rPr>
              <w:t>脱硫</w:t>
            </w:r>
            <w:r>
              <w:rPr>
                <w:rFonts w:ascii="Times New Roman" w:hAnsi="Times New Roman" w:eastAsia="宋体" w:cs="Times New Roman"/>
                <w:color w:val="auto"/>
                <w:sz w:val="21"/>
                <w:szCs w:val="21"/>
                <w:highlight w:val="none"/>
              </w:rPr>
              <w:t>协同脱汞</w:t>
            </w:r>
          </w:p>
        </w:tc>
        <w:tc>
          <w:tcPr>
            <w:tcW w:w="82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0.00596</w:t>
            </w:r>
          </w:p>
        </w:tc>
        <w:tc>
          <w:tcPr>
            <w:tcW w:w="76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5</w:t>
            </w:r>
            <w:r>
              <w:rPr>
                <w:rFonts w:ascii="Times New Roman" w:hAnsi="Times New Roman" w:eastAsia="宋体" w:cs="Times New Roman"/>
                <w:color w:val="auto"/>
                <w:sz w:val="21"/>
                <w:szCs w:val="21"/>
                <w:highlight w:val="none"/>
              </w:rPr>
              <w:t>0%</w:t>
            </w:r>
          </w:p>
        </w:tc>
        <w:tc>
          <w:tcPr>
            <w:tcW w:w="9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298</w:t>
            </w:r>
          </w:p>
        </w:tc>
        <w:tc>
          <w:tcPr>
            <w:tcW w:w="69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w:t>
            </w:r>
            <w:r>
              <w:rPr>
                <w:rFonts w:hint="eastAsia" w:cs="Times New Roman"/>
                <w:color w:val="auto"/>
                <w:sz w:val="21"/>
                <w:szCs w:val="21"/>
                <w:highlight w:val="none"/>
                <w:lang w:val="en-US" w:eastAsia="zh-CN"/>
              </w:rPr>
              <w:t>262</w:t>
            </w: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107</w:t>
            </w:r>
          </w:p>
        </w:tc>
        <w:tc>
          <w:tcPr>
            <w:tcW w:w="742"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0.03</w:t>
            </w:r>
          </w:p>
        </w:tc>
        <w:tc>
          <w:tcPr>
            <w:tcW w:w="67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right="0" w:firstLine="0" w:firstLineChars="0"/>
              <w:jc w:val="center"/>
              <w:rPr>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color w:val="auto"/>
          <w:highlight w:val="none"/>
        </w:rPr>
        <w:t>本项目满负荷运行时，颗粒物</w:t>
      </w:r>
      <w:r>
        <w:rPr>
          <w:rFonts w:hint="eastAsia"/>
          <w:color w:val="auto"/>
          <w:highlight w:val="none"/>
        </w:rPr>
        <w:t>、</w:t>
      </w:r>
      <w:r>
        <w:rPr>
          <w:color w:val="auto"/>
          <w:highlight w:val="none"/>
        </w:rPr>
        <w:t>SO</w:t>
      </w:r>
      <w:r>
        <w:rPr>
          <w:color w:val="auto"/>
          <w:highlight w:val="none"/>
          <w:vertAlign w:val="subscript"/>
        </w:rPr>
        <w:t>2</w:t>
      </w:r>
      <w:r>
        <w:rPr>
          <w:rFonts w:hint="eastAsia"/>
          <w:color w:val="auto"/>
          <w:highlight w:val="none"/>
        </w:rPr>
        <w:t>、</w:t>
      </w:r>
      <w:r>
        <w:rPr>
          <w:color w:val="auto"/>
          <w:highlight w:val="none"/>
        </w:rPr>
        <w:t>NO</w:t>
      </w:r>
      <w:r>
        <w:rPr>
          <w:rFonts w:hint="eastAsia"/>
          <w:color w:val="auto"/>
          <w:highlight w:val="none"/>
          <w:vertAlign w:val="subscript"/>
          <w:lang w:val="en-US" w:eastAsia="zh-CN"/>
        </w:rPr>
        <w:t>X</w:t>
      </w:r>
      <w:r>
        <w:rPr>
          <w:rFonts w:hint="eastAsia"/>
          <w:color w:val="auto"/>
          <w:highlight w:val="none"/>
          <w:lang w:eastAsia="zh-CN"/>
        </w:rPr>
        <w:t>、</w:t>
      </w:r>
      <w:r>
        <w:rPr>
          <w:rFonts w:hint="eastAsia"/>
          <w:color w:val="auto"/>
          <w:highlight w:val="none"/>
        </w:rPr>
        <w:t>汞及其化合物</w:t>
      </w:r>
      <w:r>
        <w:rPr>
          <w:color w:val="auto"/>
          <w:highlight w:val="none"/>
        </w:rPr>
        <w:t>均可满足《</w:t>
      </w:r>
      <w:r>
        <w:rPr>
          <w:rFonts w:hint="eastAsia"/>
          <w:color w:val="auto"/>
          <w:highlight w:val="none"/>
          <w:lang w:eastAsia="zh-CN"/>
        </w:rPr>
        <w:t>火电厂大气污染物排放标准</w:t>
      </w:r>
      <w:r>
        <w:rPr>
          <w:color w:val="auto"/>
          <w:highlight w:val="none"/>
        </w:rPr>
        <w:t>》（</w:t>
      </w:r>
      <w:r>
        <w:rPr>
          <w:rFonts w:hint="eastAsia"/>
          <w:color w:val="auto"/>
          <w:highlight w:val="none"/>
          <w:lang w:eastAsia="zh-CN"/>
        </w:rPr>
        <w:t>GB13223-2011</w:t>
      </w:r>
      <w:r>
        <w:rPr>
          <w:color w:val="auto"/>
          <w:highlight w:val="none"/>
        </w:rPr>
        <w:t>）中</w:t>
      </w:r>
      <w:r>
        <w:rPr>
          <w:rFonts w:hint="eastAsia"/>
          <w:color w:val="auto"/>
          <w:highlight w:val="none"/>
          <w:lang w:eastAsia="zh-CN"/>
        </w:rPr>
        <w:t>表</w:t>
      </w:r>
      <w:r>
        <w:rPr>
          <w:rFonts w:hint="eastAsia"/>
          <w:color w:val="auto"/>
          <w:highlight w:val="none"/>
          <w:lang w:val="en-US" w:eastAsia="zh-CN"/>
        </w:rPr>
        <w:t>1</w:t>
      </w:r>
      <w:r>
        <w:rPr>
          <w:rFonts w:hint="eastAsia"/>
          <w:color w:val="auto"/>
          <w:highlight w:val="none"/>
          <w:lang w:eastAsia="zh-CN"/>
        </w:rPr>
        <w:t>火力发电锅炉及燃气轮机组大气污染物排放浓度限值中燃煤锅炉排放限值</w:t>
      </w:r>
      <w:r>
        <w:rPr>
          <w:color w:val="auto"/>
          <w:highlight w:val="none"/>
        </w:rPr>
        <w:t>。</w:t>
      </w:r>
    </w:p>
    <w:p>
      <w:pPr>
        <w:pStyle w:val="7"/>
        <w:bidi w:val="0"/>
        <w:jc w:val="both"/>
        <w:rPr>
          <w:color w:val="auto"/>
          <w:highlight w:val="none"/>
        </w:rPr>
      </w:pPr>
      <w:r>
        <w:rPr>
          <w:rFonts w:hint="eastAsia"/>
          <w:color w:val="auto"/>
          <w:highlight w:val="none"/>
          <w:lang w:val="en-US" w:eastAsia="zh-CN"/>
        </w:rPr>
        <w:t xml:space="preserve">3.3.2.2 </w:t>
      </w:r>
      <w:r>
        <w:rPr>
          <w:color w:val="auto"/>
          <w:highlight w:val="none"/>
        </w:rPr>
        <w:t>无组织废气</w:t>
      </w:r>
    </w:p>
    <w:p>
      <w:pPr>
        <w:spacing w:line="360" w:lineRule="auto"/>
        <w:ind w:left="45" w:right="82" w:firstLine="466"/>
        <w:rPr>
          <w:rFonts w:hint="eastAsia" w:ascii="宋体" w:hAnsi="宋体" w:cs="宋体"/>
          <w:color w:val="auto"/>
          <w:sz w:val="24"/>
          <w:szCs w:val="24"/>
          <w:highlight w:val="none"/>
        </w:rPr>
      </w:pPr>
      <w:r>
        <w:rPr>
          <w:rFonts w:ascii="宋体" w:hAnsi="宋体" w:cs="宋体"/>
          <w:color w:val="auto"/>
          <w:spacing w:val="-9"/>
          <w:sz w:val="24"/>
          <w:szCs w:val="24"/>
          <w:highlight w:val="none"/>
        </w:rPr>
        <w:t>粉尘产生的环节为灰渣库，工程拟采取如</w:t>
      </w:r>
      <w:r>
        <w:rPr>
          <w:rFonts w:ascii="宋体" w:hAnsi="宋体" w:cs="宋体"/>
          <w:color w:val="auto"/>
          <w:spacing w:val="-5"/>
          <w:sz w:val="24"/>
          <w:szCs w:val="24"/>
          <w:highlight w:val="none"/>
        </w:rPr>
        <w:t>下无组织排放污染控制措施</w:t>
      </w:r>
      <w:r>
        <w:rPr>
          <w:rFonts w:hint="eastAsia" w:ascii="宋体" w:hAnsi="宋体" w:cs="宋体"/>
          <w:color w:val="auto"/>
          <w:spacing w:val="-5"/>
          <w:sz w:val="24"/>
          <w:szCs w:val="24"/>
          <w:highlight w:val="none"/>
        </w:rPr>
        <w:t>。</w:t>
      </w:r>
    </w:p>
    <w:p>
      <w:pPr>
        <w:pStyle w:val="62"/>
        <w:jc w:val="both"/>
        <w:rPr>
          <w:rFonts w:ascii="Times New Roman" w:hAnsi="Times New Roman"/>
          <w:color w:val="auto"/>
          <w:highlight w:val="none"/>
        </w:rPr>
      </w:pPr>
      <w:r>
        <w:rPr>
          <w:rFonts w:hint="eastAsia" w:ascii="Times New Roman" w:hAnsi="Times New Roman"/>
          <w:color w:val="auto"/>
          <w:highlight w:val="none"/>
        </w:rPr>
        <w:t>（1）</w:t>
      </w:r>
      <w:r>
        <w:rPr>
          <w:rFonts w:ascii="Times New Roman" w:hAnsi="Times New Roman"/>
          <w:color w:val="auto"/>
          <w:highlight w:val="none"/>
        </w:rPr>
        <w:t>输煤系统粉尘</w:t>
      </w:r>
    </w:p>
    <w:p>
      <w:pPr>
        <w:pStyle w:val="62"/>
        <w:jc w:val="both"/>
        <w:rPr>
          <w:rFonts w:ascii="Times New Roman" w:hAnsi="Times New Roman"/>
          <w:color w:val="auto"/>
          <w:highlight w:val="none"/>
        </w:rPr>
      </w:pPr>
      <w:r>
        <w:rPr>
          <w:rFonts w:ascii="Times New Roman" w:hAnsi="Times New Roman"/>
          <w:color w:val="auto"/>
          <w:highlight w:val="none"/>
        </w:rPr>
        <w:t>输煤皮带密闭，在导煤槽上接近落煤管处设置再循环风管，输煤槽采用圆弓形，适当加长、加高；落煤点处加装可调导流挡板；在导煤槽末端装双层挡帘，输送皮带上方设有喷淋水管用于燃料干燥时的加湿，输煤栈桥定期采用水力清扫，原煤为块状，</w:t>
      </w:r>
      <w:r>
        <w:rPr>
          <w:rFonts w:hint="eastAsia" w:ascii="Times New Roman" w:hAnsi="Times New Roman"/>
          <w:color w:val="auto"/>
          <w:highlight w:val="none"/>
        </w:rPr>
        <w:t>类比调查燃煤锅炉报告，</w:t>
      </w:r>
      <w:r>
        <w:rPr>
          <w:rFonts w:ascii="Times New Roman" w:hAnsi="Times New Roman"/>
          <w:color w:val="auto"/>
          <w:highlight w:val="none"/>
        </w:rPr>
        <w:t>颗粒物产生系数取0.1kg/原料·t，故颗粒物产生量约为</w:t>
      </w:r>
      <w:r>
        <w:rPr>
          <w:rFonts w:hint="eastAsia" w:ascii="Times New Roman" w:hAnsi="Times New Roman"/>
          <w:color w:val="auto"/>
          <w:highlight w:val="none"/>
          <w:lang w:val="en-US" w:eastAsia="zh-CN"/>
        </w:rPr>
        <w:t>3.95</w:t>
      </w:r>
      <w:r>
        <w:rPr>
          <w:rFonts w:ascii="Times New Roman" w:hAnsi="Times New Roman"/>
          <w:color w:val="auto"/>
          <w:highlight w:val="none"/>
        </w:rPr>
        <w:t>t/a，全封闭输送廊及洒水降尘抑尘效率为9</w:t>
      </w:r>
      <w:r>
        <w:rPr>
          <w:rFonts w:hint="eastAsia" w:ascii="Times New Roman" w:hAnsi="Times New Roman"/>
          <w:color w:val="auto"/>
          <w:highlight w:val="none"/>
          <w:lang w:val="en-US" w:eastAsia="zh-CN"/>
        </w:rPr>
        <w:t>9</w:t>
      </w:r>
      <w:r>
        <w:rPr>
          <w:rFonts w:ascii="Times New Roman" w:hAnsi="Times New Roman"/>
          <w:color w:val="auto"/>
          <w:highlight w:val="none"/>
        </w:rPr>
        <w:t>%，则排放量约为</w:t>
      </w:r>
      <w:r>
        <w:rPr>
          <w:rFonts w:hint="eastAsia" w:ascii="Times New Roman" w:hAnsi="Times New Roman"/>
          <w:color w:val="auto"/>
          <w:highlight w:val="none"/>
          <w:lang w:val="en-US" w:eastAsia="zh-CN"/>
        </w:rPr>
        <w:t>0.0395</w:t>
      </w:r>
      <w:r>
        <w:rPr>
          <w:rFonts w:ascii="Times New Roman" w:hAnsi="Times New Roman"/>
          <w:color w:val="auto"/>
          <w:highlight w:val="none"/>
        </w:rPr>
        <w:t>t/a，</w:t>
      </w:r>
      <w:r>
        <w:rPr>
          <w:rFonts w:hint="eastAsia" w:ascii="Times New Roman" w:hAnsi="Times New Roman"/>
          <w:color w:val="auto"/>
          <w:highlight w:val="none"/>
          <w:lang w:val="en-US" w:eastAsia="zh-CN"/>
        </w:rPr>
        <w:t>0.00968</w:t>
      </w:r>
      <w:r>
        <w:rPr>
          <w:rFonts w:ascii="Times New Roman" w:hAnsi="Times New Roman"/>
          <w:color w:val="auto"/>
          <w:highlight w:val="none"/>
        </w:rPr>
        <w:t>kg/h。</w:t>
      </w:r>
    </w:p>
    <w:p>
      <w:pPr>
        <w:pStyle w:val="62"/>
        <w:jc w:val="both"/>
        <w:rPr>
          <w:rFonts w:ascii="Times New Roman" w:hAnsi="Times New Roman"/>
          <w:color w:val="auto"/>
          <w:highlight w:val="none"/>
        </w:rPr>
      </w:pPr>
      <w:r>
        <w:rPr>
          <w:rFonts w:hint="eastAsia" w:ascii="Times New Roman" w:hAnsi="Times New Roman"/>
          <w:color w:val="auto"/>
          <w:highlight w:val="none"/>
        </w:rPr>
        <w:t>（2）</w:t>
      </w:r>
      <w:r>
        <w:rPr>
          <w:rFonts w:ascii="Times New Roman" w:hAnsi="Times New Roman"/>
          <w:color w:val="auto"/>
          <w:highlight w:val="none"/>
        </w:rPr>
        <w:t>灰渣输送粉尘</w:t>
      </w:r>
    </w:p>
    <w:p>
      <w:pPr>
        <w:pStyle w:val="62"/>
        <w:jc w:val="both"/>
        <w:rPr>
          <w:rFonts w:ascii="Times New Roman" w:hAnsi="Times New Roman"/>
          <w:color w:val="auto"/>
          <w:highlight w:val="none"/>
        </w:rPr>
      </w:pPr>
      <w:r>
        <w:rPr>
          <w:rFonts w:ascii="Times New Roman" w:hAnsi="Times New Roman"/>
          <w:color w:val="auto"/>
          <w:highlight w:val="none"/>
        </w:rPr>
        <w:t>本工程采用浓相气力输灰系统，粉煤灰经锅炉至布袋除尘器收集，再经仓泵输送至灰渣库里的灰库。在整个输灰系统到灰库排灰的过程中都是在密闭状态下进行的，无二次扬尘，在灰渣库采用全封闭形式，锅炉排渣在密闭状态下进行，无二次扬尘产生。</w:t>
      </w:r>
    </w:p>
    <w:p>
      <w:pPr>
        <w:widowControl/>
        <w:spacing w:line="360" w:lineRule="auto"/>
        <w:ind w:firstLine="464" w:firstLineChars="200"/>
        <w:rPr>
          <w:color w:val="auto"/>
          <w:spacing w:val="-4"/>
          <w:sz w:val="24"/>
          <w:highlight w:val="none"/>
        </w:rPr>
      </w:pPr>
      <w:r>
        <w:rPr>
          <w:color w:val="auto"/>
          <w:spacing w:val="-4"/>
          <w:sz w:val="24"/>
          <w:highlight w:val="none"/>
        </w:rPr>
        <w:t>（</w:t>
      </w:r>
      <w:r>
        <w:rPr>
          <w:rFonts w:hint="eastAsia"/>
          <w:color w:val="auto"/>
          <w:spacing w:val="-4"/>
          <w:sz w:val="24"/>
          <w:highlight w:val="none"/>
          <w:lang w:val="en-US" w:eastAsia="zh-CN"/>
        </w:rPr>
        <w:t>3</w:t>
      </w:r>
      <w:r>
        <w:rPr>
          <w:color w:val="auto"/>
          <w:spacing w:val="-4"/>
          <w:sz w:val="24"/>
          <w:highlight w:val="none"/>
        </w:rPr>
        <w:t>）</w:t>
      </w:r>
      <w:r>
        <w:rPr>
          <w:rFonts w:hint="eastAsia"/>
          <w:color w:val="auto"/>
          <w:spacing w:val="-4"/>
          <w:sz w:val="24"/>
          <w:highlight w:val="none"/>
        </w:rPr>
        <w:t>煤场</w:t>
      </w:r>
      <w:r>
        <w:rPr>
          <w:rFonts w:hint="eastAsia"/>
          <w:color w:val="auto"/>
          <w:spacing w:val="-4"/>
          <w:sz w:val="24"/>
          <w:highlight w:val="none"/>
          <w:lang w:eastAsia="zh-CN"/>
        </w:rPr>
        <w:t>、灰渣场</w:t>
      </w:r>
      <w:r>
        <w:rPr>
          <w:color w:val="auto"/>
          <w:spacing w:val="-4"/>
          <w:sz w:val="24"/>
          <w:highlight w:val="none"/>
        </w:rPr>
        <w:t>粉尘</w:t>
      </w:r>
    </w:p>
    <w:p>
      <w:pPr>
        <w:widowControl/>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color w:val="auto"/>
          <w:sz w:val="24"/>
          <w:highlight w:val="none"/>
          <w:lang w:eastAsia="zh-CN"/>
        </w:rPr>
        <w:t>煤场、灰渣场</w:t>
      </w:r>
      <w:r>
        <w:rPr>
          <w:rFonts w:hint="eastAsia"/>
          <w:color w:val="auto"/>
          <w:sz w:val="24"/>
          <w:highlight w:val="none"/>
        </w:rPr>
        <w:t>的起尘量</w:t>
      </w:r>
      <w:r>
        <w:rPr>
          <w:rFonts w:hint="eastAsia"/>
          <w:color w:val="auto"/>
          <w:sz w:val="24"/>
          <w:highlight w:val="none"/>
          <w:lang w:eastAsia="zh-CN"/>
        </w:rPr>
        <w:t>、排放量根据《排放源统计调查产排污核算方法和系数手册》（生态环境部公告2021年第24号）</w:t>
      </w:r>
      <w:r>
        <w:rPr>
          <w:rFonts w:hint="eastAsia" w:ascii="Times New Roman" w:hAnsi="Times New Roman" w:cs="Times New Roman"/>
          <w:color w:val="auto"/>
          <w:sz w:val="24"/>
          <w:szCs w:val="24"/>
          <w:highlight w:val="none"/>
          <w:lang w:val="en-US" w:eastAsia="zh-CN"/>
        </w:rPr>
        <w:t>中工业源固体物料堆场颗粒物核算系数手册进行核算。</w:t>
      </w:r>
    </w:p>
    <w:p>
      <w:pPr>
        <w:widowControl/>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工业企业固体物料堆场颗粒物产生量核算公式如下：</w:t>
      </w:r>
    </w:p>
    <w:p>
      <w:pPr>
        <w:pStyle w:val="62"/>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drawing>
          <wp:inline distT="0" distB="0" distL="114300" distR="114300">
            <wp:extent cx="3505200" cy="350520"/>
            <wp:effectExtent l="0" t="0" r="0" b="11430"/>
            <wp:docPr id="20" name="图片 9" descr="1659437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1659437393(1)"/>
                    <pic:cNvPicPr>
                      <a:picLocks noChangeAspect="1"/>
                    </pic:cNvPicPr>
                  </pic:nvPicPr>
                  <pic:blipFill>
                    <a:blip r:embed="rId47"/>
                    <a:stretch>
                      <a:fillRect/>
                    </a:stretch>
                  </pic:blipFill>
                  <pic:spPr>
                    <a:xfrm>
                      <a:off x="0" y="0"/>
                      <a:ext cx="3505200" cy="350520"/>
                    </a:xfrm>
                    <a:prstGeom prst="rect">
                      <a:avLst/>
                    </a:prstGeom>
                    <a:noFill/>
                    <a:ln>
                      <a:noFill/>
                    </a:ln>
                  </pic:spPr>
                </pic:pic>
              </a:graphicData>
            </a:graphic>
          </wp:inline>
        </w:drawing>
      </w:r>
    </w:p>
    <w:p>
      <w:pPr>
        <w:pStyle w:val="62"/>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式中：P指颗粒物产生量（单位：吨）；</w:t>
      </w:r>
    </w:p>
    <w:p>
      <w:pPr>
        <w:pStyle w:val="62"/>
        <w:ind w:firstLine="1200" w:firstLineChars="5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ZC</w:t>
      </w:r>
      <w:r>
        <w:rPr>
          <w:rFonts w:hint="eastAsia" w:ascii="Times New Roman" w:hAnsi="Times New Roman"/>
          <w:color w:val="auto"/>
          <w:highlight w:val="none"/>
          <w:vertAlign w:val="subscript"/>
          <w:lang w:val="en-US" w:eastAsia="zh-CN"/>
        </w:rPr>
        <w:t>y</w:t>
      </w:r>
      <w:r>
        <w:rPr>
          <w:rFonts w:hint="eastAsia" w:ascii="Times New Roman" w:hAnsi="Times New Roman"/>
          <w:color w:val="auto"/>
          <w:highlight w:val="none"/>
          <w:lang w:val="en-US" w:eastAsia="zh-CN"/>
        </w:rPr>
        <w:t>指装卸扬尘产生量（单位：吨）；</w:t>
      </w:r>
    </w:p>
    <w:p>
      <w:pPr>
        <w:pStyle w:val="62"/>
        <w:ind w:firstLine="1200" w:firstLineChars="5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FC</w:t>
      </w:r>
      <w:r>
        <w:rPr>
          <w:rFonts w:hint="eastAsia" w:ascii="Times New Roman" w:hAnsi="Times New Roman"/>
          <w:color w:val="auto"/>
          <w:highlight w:val="none"/>
          <w:vertAlign w:val="subscript"/>
          <w:lang w:val="en-US" w:eastAsia="zh-CN"/>
        </w:rPr>
        <w:t>y</w:t>
      </w:r>
      <w:r>
        <w:rPr>
          <w:rFonts w:hint="eastAsia" w:ascii="Times New Roman" w:hAnsi="Times New Roman"/>
          <w:color w:val="auto"/>
          <w:highlight w:val="none"/>
          <w:lang w:val="en-US" w:eastAsia="zh-CN"/>
        </w:rPr>
        <w:t>指风蚀扬尘产生量（单位：吨）；</w:t>
      </w:r>
    </w:p>
    <w:p>
      <w:pPr>
        <w:pStyle w:val="62"/>
        <w:ind w:firstLine="1200" w:firstLineChars="500"/>
        <w:jc w:val="both"/>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Nc指年物料运载车次（单位：车）；煤炭：986车次，灰渣中炉渣：85车次，飞灰9车次；</w:t>
      </w:r>
    </w:p>
    <w:p>
      <w:pPr>
        <w:pStyle w:val="62"/>
        <w:ind w:firstLine="1200" w:firstLineChars="500"/>
        <w:jc w:val="both"/>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D指单车平均运载量（单位：吨/车）；煤炭40t/车，灰渣25t/车；</w:t>
      </w:r>
    </w:p>
    <w:p>
      <w:pPr>
        <w:pStyle w:val="62"/>
        <w:ind w:firstLine="1200" w:firstLineChars="500"/>
        <w:jc w:val="both"/>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(a/b)指装卸扬尘概化系数(单位：千克/吨)，a指各省风速概化系数，见附录1，b指物料含水率概化系数，见附录2；a=0.0011，煤炭b=0.0054，炉渣b=0.0005，烟道灰b=0.0092；</w:t>
      </w:r>
    </w:p>
    <w:p>
      <w:pPr>
        <w:pStyle w:val="62"/>
        <w:ind w:firstLine="1200" w:firstLineChars="500"/>
        <w:jc w:val="both"/>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E</w:t>
      </w:r>
      <w:r>
        <w:rPr>
          <w:rFonts w:hint="eastAsia" w:ascii="Times New Roman" w:hAnsi="Times New Roman"/>
          <w:color w:val="auto"/>
          <w:highlight w:val="none"/>
          <w:vertAlign w:val="subscript"/>
          <w:lang w:val="en-US" w:eastAsia="zh-CN"/>
        </w:rPr>
        <w:t>f</w:t>
      </w:r>
      <w:r>
        <w:rPr>
          <w:rFonts w:hint="eastAsia" w:ascii="Times New Roman" w:hAnsi="Times New Roman"/>
          <w:color w:val="auto"/>
          <w:highlight w:val="none"/>
          <w:lang w:val="en-US" w:eastAsia="zh-CN"/>
        </w:rPr>
        <w:t>指堆场风蚀扬尘概化系数，见附录3 (单位：千克/平方米)；煤炭E</w:t>
      </w:r>
      <w:r>
        <w:rPr>
          <w:rFonts w:hint="eastAsia" w:ascii="Times New Roman" w:hAnsi="Times New Roman"/>
          <w:color w:val="auto"/>
          <w:highlight w:val="none"/>
          <w:vertAlign w:val="subscript"/>
          <w:lang w:val="en-US" w:eastAsia="zh-CN"/>
        </w:rPr>
        <w:t>f</w:t>
      </w:r>
      <w:r>
        <w:rPr>
          <w:rFonts w:hint="eastAsia" w:ascii="Times New Roman" w:hAnsi="Times New Roman"/>
          <w:color w:val="auto"/>
          <w:highlight w:val="none"/>
          <w:lang w:val="en-US" w:eastAsia="zh-CN"/>
        </w:rPr>
        <w:t>=31.1418，炉渣E</w:t>
      </w:r>
      <w:r>
        <w:rPr>
          <w:rFonts w:hint="eastAsia" w:ascii="Times New Roman" w:hAnsi="Times New Roman"/>
          <w:color w:val="auto"/>
          <w:highlight w:val="none"/>
          <w:vertAlign w:val="subscript"/>
          <w:lang w:val="en-US" w:eastAsia="zh-CN"/>
        </w:rPr>
        <w:t>f</w:t>
      </w:r>
      <w:r>
        <w:rPr>
          <w:rFonts w:hint="eastAsia" w:ascii="Times New Roman" w:hAnsi="Times New Roman"/>
          <w:color w:val="auto"/>
          <w:highlight w:val="none"/>
          <w:lang w:val="en-US" w:eastAsia="zh-CN"/>
        </w:rPr>
        <w:t>=46.1652，烟道灰E</w:t>
      </w:r>
      <w:r>
        <w:rPr>
          <w:rFonts w:hint="eastAsia" w:ascii="Times New Roman" w:hAnsi="Times New Roman"/>
          <w:color w:val="auto"/>
          <w:highlight w:val="none"/>
          <w:vertAlign w:val="subscript"/>
          <w:lang w:val="en-US" w:eastAsia="zh-CN"/>
        </w:rPr>
        <w:t>f</w:t>
      </w:r>
      <w:r>
        <w:rPr>
          <w:rFonts w:hint="eastAsia" w:ascii="Times New Roman" w:hAnsi="Times New Roman"/>
          <w:color w:val="auto"/>
          <w:highlight w:val="none"/>
          <w:lang w:val="en-US" w:eastAsia="zh-CN"/>
        </w:rPr>
        <w:t>=74.0658；</w:t>
      </w:r>
    </w:p>
    <w:p>
      <w:pPr>
        <w:pStyle w:val="62"/>
        <w:ind w:firstLine="1200" w:firstLineChars="500"/>
        <w:jc w:val="both"/>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S指堆场占地面积（单位：平方米）。煤场S=1268.62</w:t>
      </w:r>
      <w:r>
        <w:rPr>
          <w:rFonts w:hint="eastAsia" w:ascii="Times New Roman" w:hAnsi="Times New Roman" w:cs="Times New Roman"/>
          <w:color w:val="auto"/>
          <w:highlight w:val="none"/>
        </w:rPr>
        <w:t>m</w:t>
      </w:r>
      <w:r>
        <w:rPr>
          <w:rFonts w:hint="eastAsia" w:ascii="Times New Roman" w:hAnsi="Times New Roman" w:cs="Times New Roman"/>
          <w:color w:val="auto"/>
          <w:highlight w:val="none"/>
          <w:vertAlign w:val="superscript"/>
        </w:rPr>
        <w:t>2</w:t>
      </w:r>
      <w:r>
        <w:rPr>
          <w:rFonts w:hint="eastAsia" w:ascii="Times New Roman" w:hAnsi="Times New Roman" w:cs="Times New Roman"/>
          <w:color w:val="auto"/>
          <w:highlight w:val="none"/>
          <w:vertAlign w:val="baseline"/>
          <w:lang w:eastAsia="zh-CN"/>
        </w:rPr>
        <w:t>，灰渣场</w:t>
      </w:r>
      <w:r>
        <w:rPr>
          <w:rFonts w:hint="eastAsia" w:ascii="Times New Roman" w:hAnsi="Times New Roman"/>
          <w:color w:val="auto"/>
          <w:highlight w:val="none"/>
          <w:lang w:val="en-US" w:eastAsia="zh-CN"/>
        </w:rPr>
        <w:t>S=317.29</w:t>
      </w:r>
      <w:r>
        <w:rPr>
          <w:rFonts w:hint="eastAsia" w:ascii="Times New Roman" w:hAnsi="Times New Roman" w:cs="Times New Roman"/>
          <w:color w:val="auto"/>
          <w:highlight w:val="none"/>
        </w:rPr>
        <w:t>m</w:t>
      </w:r>
      <w:r>
        <w:rPr>
          <w:rFonts w:hint="eastAsia" w:ascii="Times New Roman" w:hAnsi="Times New Roman" w:cs="Times New Roman"/>
          <w:color w:val="auto"/>
          <w:highlight w:val="none"/>
          <w:vertAlign w:val="superscript"/>
        </w:rPr>
        <w:t>2</w:t>
      </w:r>
      <w:r>
        <w:rPr>
          <w:rFonts w:hint="eastAsia" w:ascii="Times New Roman" w:hAnsi="Times New Roman" w:cs="Times New Roman"/>
          <w:color w:val="auto"/>
          <w:highlight w:val="none"/>
          <w:vertAlign w:val="baseline"/>
          <w:lang w:eastAsia="zh-CN"/>
        </w:rPr>
        <w:t>。</w:t>
      </w:r>
    </w:p>
    <w:p>
      <w:pPr>
        <w:pStyle w:val="62"/>
        <w:jc w:val="both"/>
        <w:rPr>
          <w:rFonts w:hint="eastAsia" w:ascii="Times New Roman" w:hAnsi="Times New Roman"/>
          <w:color w:val="auto"/>
          <w:highlight w:val="none"/>
        </w:rPr>
      </w:pPr>
      <w:r>
        <w:rPr>
          <w:rFonts w:hint="eastAsia" w:ascii="Times New Roman" w:hAnsi="Times New Roman"/>
          <w:color w:val="auto"/>
          <w:highlight w:val="none"/>
        </w:rPr>
        <w:t>工业企业固体物料堆场颗粒物排放量核算公式如下</w:t>
      </w:r>
      <w:r>
        <w:rPr>
          <w:rFonts w:hint="eastAsia" w:ascii="Times New Roman" w:hAnsi="Times New Roman"/>
          <w:color w:val="auto"/>
          <w:highlight w:val="none"/>
          <w:lang w:eastAsia="zh-CN"/>
        </w:rPr>
        <w:t>：</w:t>
      </w:r>
    </w:p>
    <w:p>
      <w:pPr>
        <w:pStyle w:val="62"/>
        <w:jc w:val="both"/>
        <w:rPr>
          <w:rFonts w:hint="eastAsia" w:ascii="Times New Roman" w:hAnsi="Times New Roman"/>
          <w:color w:val="auto"/>
          <w:highlight w:val="none"/>
        </w:rPr>
      </w:pP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rPr>
        <w:drawing>
          <wp:inline distT="0" distB="0" distL="114300" distR="114300">
            <wp:extent cx="2354580" cy="350520"/>
            <wp:effectExtent l="0" t="0" r="7620" b="11430"/>
            <wp:docPr id="16" name="图片 10" descr="1659439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1659439978(1)"/>
                    <pic:cNvPicPr>
                      <a:picLocks noChangeAspect="1"/>
                    </pic:cNvPicPr>
                  </pic:nvPicPr>
                  <pic:blipFill>
                    <a:blip r:embed="rId48"/>
                    <a:stretch>
                      <a:fillRect/>
                    </a:stretch>
                  </pic:blipFill>
                  <pic:spPr>
                    <a:xfrm>
                      <a:off x="0" y="0"/>
                      <a:ext cx="2354580" cy="350520"/>
                    </a:xfrm>
                    <a:prstGeom prst="rect">
                      <a:avLst/>
                    </a:prstGeom>
                    <a:noFill/>
                    <a:ln>
                      <a:noFill/>
                    </a:ln>
                  </pic:spPr>
                </pic:pic>
              </a:graphicData>
            </a:graphic>
          </wp:inline>
        </w:drawing>
      </w:r>
    </w:p>
    <w:p>
      <w:pPr>
        <w:pStyle w:val="62"/>
        <w:jc w:val="both"/>
        <w:rPr>
          <w:rFonts w:hint="eastAsia" w:ascii="Times New Roman" w:hAnsi="Times New Roman" w:eastAsia="宋体"/>
          <w:color w:val="auto"/>
          <w:highlight w:val="none"/>
          <w:lang w:eastAsia="zh-CN"/>
        </w:rPr>
      </w:pPr>
      <w:r>
        <w:rPr>
          <w:rFonts w:hint="eastAsia" w:ascii="Times New Roman" w:hAnsi="Times New Roman"/>
          <w:color w:val="auto"/>
          <w:highlight w:val="none"/>
        </w:rPr>
        <w:t>式中</w:t>
      </w:r>
      <w:r>
        <w:rPr>
          <w:rFonts w:hint="eastAsia" w:ascii="Times New Roman" w:hAnsi="Times New Roman"/>
          <w:color w:val="auto"/>
          <w:highlight w:val="none"/>
          <w:lang w:val="en-US" w:eastAsia="zh-CN"/>
        </w:rPr>
        <w:t>：</w:t>
      </w:r>
      <w:r>
        <w:rPr>
          <w:rFonts w:hint="eastAsia" w:ascii="Times New Roman" w:hAnsi="Times New Roman"/>
          <w:color w:val="auto"/>
          <w:highlight w:val="none"/>
        </w:rPr>
        <w:t>P指颗粒物产生量</w:t>
      </w:r>
      <w:r>
        <w:rPr>
          <w:rFonts w:hint="eastAsia" w:ascii="Times New Roman" w:hAnsi="Times New Roman"/>
          <w:color w:val="auto"/>
          <w:highlight w:val="none"/>
          <w:lang w:eastAsia="zh-CN"/>
        </w:rPr>
        <w:t>（</w:t>
      </w:r>
      <w:r>
        <w:rPr>
          <w:rFonts w:hint="eastAsia" w:ascii="Times New Roman" w:hAnsi="Times New Roman"/>
          <w:color w:val="auto"/>
          <w:highlight w:val="none"/>
        </w:rPr>
        <w:t>单位</w:t>
      </w:r>
      <w:r>
        <w:rPr>
          <w:rFonts w:hint="eastAsia" w:ascii="Times New Roman" w:hAnsi="Times New Roman"/>
          <w:color w:val="auto"/>
          <w:highlight w:val="none"/>
          <w:lang w:val="en-US" w:eastAsia="zh-CN"/>
        </w:rPr>
        <w:t>：</w:t>
      </w:r>
      <w:r>
        <w:rPr>
          <w:rFonts w:hint="eastAsia" w:ascii="Times New Roman" w:hAnsi="Times New Roman"/>
          <w:color w:val="auto"/>
          <w:highlight w:val="none"/>
        </w:rPr>
        <w:t>吨</w:t>
      </w:r>
      <w:r>
        <w:rPr>
          <w:rFonts w:hint="eastAsia" w:ascii="Times New Roman" w:hAnsi="Times New Roman"/>
          <w:color w:val="auto"/>
          <w:highlight w:val="none"/>
          <w:lang w:eastAsia="zh-CN"/>
        </w:rPr>
        <w:t>）；</w:t>
      </w:r>
    </w:p>
    <w:p>
      <w:pPr>
        <w:pStyle w:val="62"/>
        <w:ind w:firstLine="1200" w:firstLineChars="500"/>
        <w:jc w:val="both"/>
        <w:rPr>
          <w:rFonts w:hint="eastAsia" w:ascii="Times New Roman" w:hAnsi="Times New Roman" w:eastAsia="宋体"/>
          <w:color w:val="auto"/>
          <w:highlight w:val="none"/>
          <w:lang w:eastAsia="zh-CN"/>
        </w:rPr>
      </w:pPr>
      <w:r>
        <w:rPr>
          <w:rFonts w:hint="eastAsia" w:ascii="Times New Roman" w:hAnsi="Times New Roman"/>
          <w:color w:val="auto"/>
          <w:highlight w:val="none"/>
        </w:rPr>
        <w:t>U</w:t>
      </w:r>
      <w:r>
        <w:rPr>
          <w:rFonts w:hint="eastAsia" w:ascii="Times New Roman" w:hAnsi="Times New Roman"/>
          <w:color w:val="auto"/>
          <w:highlight w:val="none"/>
          <w:vertAlign w:val="subscript"/>
          <w:lang w:eastAsia="zh-CN"/>
        </w:rPr>
        <w:t>c</w:t>
      </w:r>
      <w:r>
        <w:rPr>
          <w:rFonts w:hint="eastAsia" w:ascii="Times New Roman" w:hAnsi="Times New Roman"/>
          <w:color w:val="auto"/>
          <w:highlight w:val="none"/>
        </w:rPr>
        <w:t>指颗粒物排放量</w:t>
      </w:r>
      <w:r>
        <w:rPr>
          <w:rFonts w:hint="eastAsia" w:ascii="Times New Roman" w:hAnsi="Times New Roman"/>
          <w:color w:val="auto"/>
          <w:highlight w:val="none"/>
          <w:lang w:eastAsia="zh-CN"/>
        </w:rPr>
        <w:t>（</w:t>
      </w:r>
      <w:r>
        <w:rPr>
          <w:rFonts w:hint="eastAsia" w:ascii="Times New Roman" w:hAnsi="Times New Roman"/>
          <w:color w:val="auto"/>
          <w:highlight w:val="none"/>
        </w:rPr>
        <w:t>单位</w:t>
      </w:r>
      <w:r>
        <w:rPr>
          <w:rFonts w:hint="eastAsia" w:ascii="Times New Roman" w:hAnsi="Times New Roman"/>
          <w:color w:val="auto"/>
          <w:highlight w:val="none"/>
          <w:lang w:eastAsia="zh-CN"/>
        </w:rPr>
        <w:t>：</w:t>
      </w:r>
      <w:r>
        <w:rPr>
          <w:rFonts w:hint="eastAsia" w:ascii="Times New Roman" w:hAnsi="Times New Roman"/>
          <w:color w:val="auto"/>
          <w:highlight w:val="none"/>
        </w:rPr>
        <w:t>吨</w:t>
      </w:r>
      <w:r>
        <w:rPr>
          <w:rFonts w:hint="eastAsia" w:ascii="Times New Roman" w:hAnsi="Times New Roman"/>
          <w:color w:val="auto"/>
          <w:highlight w:val="none"/>
          <w:lang w:eastAsia="zh-CN"/>
        </w:rPr>
        <w:t>）；</w:t>
      </w:r>
    </w:p>
    <w:p>
      <w:pPr>
        <w:pStyle w:val="62"/>
        <w:ind w:firstLine="1200" w:firstLineChars="500"/>
        <w:jc w:val="both"/>
        <w:rPr>
          <w:rFonts w:hint="default" w:ascii="Times New Roman" w:hAnsi="Times New Roman" w:eastAsia="宋体"/>
          <w:color w:val="auto"/>
          <w:highlight w:val="none"/>
          <w:lang w:val="en-US" w:eastAsia="zh-CN"/>
        </w:rPr>
      </w:pPr>
      <w:r>
        <w:rPr>
          <w:rFonts w:hint="eastAsia" w:ascii="Times New Roman" w:hAnsi="Times New Roman"/>
          <w:color w:val="auto"/>
          <w:highlight w:val="none"/>
        </w:rPr>
        <w:t>C</w:t>
      </w:r>
      <w:r>
        <w:rPr>
          <w:rFonts w:hint="eastAsia" w:ascii="Times New Roman" w:hAnsi="Times New Roman"/>
          <w:color w:val="auto"/>
          <w:highlight w:val="none"/>
          <w:vertAlign w:val="subscript"/>
        </w:rPr>
        <w:t>m</w:t>
      </w:r>
      <w:r>
        <w:rPr>
          <w:rFonts w:hint="eastAsia" w:ascii="Times New Roman" w:hAnsi="Times New Roman"/>
          <w:color w:val="auto"/>
          <w:highlight w:val="none"/>
        </w:rPr>
        <w:t>指颗粒物控制措施控制效率</w:t>
      </w:r>
      <w:r>
        <w:rPr>
          <w:rFonts w:hint="eastAsia" w:ascii="Times New Roman" w:hAnsi="Times New Roman"/>
          <w:color w:val="auto"/>
          <w:highlight w:val="none"/>
          <w:lang w:eastAsia="zh-CN"/>
        </w:rPr>
        <w:t>（</w:t>
      </w:r>
      <w:r>
        <w:rPr>
          <w:rFonts w:hint="eastAsia" w:ascii="Times New Roman" w:hAnsi="Times New Roman"/>
          <w:color w:val="auto"/>
          <w:highlight w:val="none"/>
        </w:rPr>
        <w:t>单位</w:t>
      </w:r>
      <w:r>
        <w:rPr>
          <w:rFonts w:hint="eastAsia" w:ascii="Times New Roman" w:hAnsi="Times New Roman"/>
          <w:color w:val="auto"/>
          <w:highlight w:val="none"/>
          <w:lang w:eastAsia="zh-CN"/>
        </w:rPr>
        <w:t>：</w:t>
      </w:r>
      <w:r>
        <w:rPr>
          <w:rFonts w:hint="eastAsia" w:ascii="Times New Roman" w:hAnsi="Times New Roman"/>
          <w:color w:val="auto"/>
          <w:highlight w:val="none"/>
        </w:rPr>
        <w:t>%</w:t>
      </w:r>
      <w:r>
        <w:rPr>
          <w:rFonts w:hint="eastAsia" w:ascii="Times New Roman" w:hAnsi="Times New Roman"/>
          <w:color w:val="auto"/>
          <w:highlight w:val="none"/>
          <w:lang w:eastAsia="zh-CN"/>
        </w:rPr>
        <w:t>）</w:t>
      </w:r>
      <w:r>
        <w:rPr>
          <w:rFonts w:hint="eastAsia" w:ascii="Times New Roman" w:hAnsi="Times New Roman"/>
          <w:color w:val="auto"/>
          <w:highlight w:val="none"/>
        </w:rPr>
        <w:t>，见附录4</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控制效率78%；</w:t>
      </w:r>
    </w:p>
    <w:p>
      <w:pPr>
        <w:pStyle w:val="62"/>
        <w:ind w:firstLine="1200" w:firstLineChars="500"/>
        <w:jc w:val="both"/>
        <w:rPr>
          <w:rFonts w:hint="default" w:ascii="Times New Roman" w:hAnsi="Times New Roman" w:eastAsia="宋体"/>
          <w:color w:val="auto"/>
          <w:highlight w:val="none"/>
          <w:lang w:val="en-US" w:eastAsia="zh-CN"/>
        </w:rPr>
      </w:pPr>
      <w:r>
        <w:rPr>
          <w:rFonts w:hint="eastAsia" w:ascii="Times New Roman" w:hAnsi="Times New Roman"/>
          <w:color w:val="auto"/>
          <w:highlight w:val="none"/>
        </w:rPr>
        <w:t>T</w:t>
      </w:r>
      <w:r>
        <w:rPr>
          <w:rFonts w:hint="eastAsia" w:ascii="Times New Roman" w:hAnsi="Times New Roman"/>
          <w:color w:val="auto"/>
          <w:highlight w:val="none"/>
          <w:vertAlign w:val="subscript"/>
        </w:rPr>
        <w:t>m</w:t>
      </w:r>
      <w:r>
        <w:rPr>
          <w:rFonts w:hint="eastAsia" w:ascii="Times New Roman" w:hAnsi="Times New Roman"/>
          <w:color w:val="auto"/>
          <w:highlight w:val="none"/>
        </w:rPr>
        <w:t>指堆场类型控制效率</w:t>
      </w:r>
      <w:r>
        <w:rPr>
          <w:rFonts w:hint="eastAsia" w:ascii="Times New Roman" w:hAnsi="Times New Roman"/>
          <w:color w:val="auto"/>
          <w:highlight w:val="none"/>
          <w:lang w:eastAsia="zh-CN"/>
        </w:rPr>
        <w:t>（</w:t>
      </w:r>
      <w:r>
        <w:rPr>
          <w:rFonts w:hint="eastAsia" w:ascii="Times New Roman" w:hAnsi="Times New Roman"/>
          <w:color w:val="auto"/>
          <w:highlight w:val="none"/>
        </w:rPr>
        <w:t>单位</w:t>
      </w:r>
      <w:r>
        <w:rPr>
          <w:rFonts w:hint="eastAsia" w:ascii="Times New Roman" w:hAnsi="Times New Roman"/>
          <w:color w:val="auto"/>
          <w:highlight w:val="none"/>
          <w:lang w:eastAsia="zh-CN"/>
        </w:rPr>
        <w:t>：</w:t>
      </w:r>
      <w:r>
        <w:rPr>
          <w:rFonts w:hint="eastAsia" w:ascii="Times New Roman" w:hAnsi="Times New Roman"/>
          <w:color w:val="auto"/>
          <w:highlight w:val="none"/>
        </w:rPr>
        <w:t>%</w:t>
      </w:r>
      <w:r>
        <w:rPr>
          <w:rFonts w:hint="eastAsia" w:ascii="Times New Roman" w:hAnsi="Times New Roman"/>
          <w:color w:val="auto"/>
          <w:highlight w:val="none"/>
          <w:lang w:eastAsia="zh-CN"/>
        </w:rPr>
        <w:t>）</w:t>
      </w:r>
      <w:r>
        <w:rPr>
          <w:rFonts w:hint="eastAsia" w:ascii="Times New Roman" w:hAnsi="Times New Roman"/>
          <w:color w:val="auto"/>
          <w:highlight w:val="none"/>
        </w:rPr>
        <w:t>，见附录5。</w:t>
      </w:r>
      <w:r>
        <w:rPr>
          <w:rFonts w:hint="eastAsia" w:ascii="Times New Roman" w:hAnsi="Times New Roman"/>
          <w:color w:val="auto"/>
          <w:highlight w:val="none"/>
          <w:lang w:eastAsia="zh-CN"/>
        </w:rPr>
        <w:t>煤场、灰渣场均为密闭式，控制效率</w:t>
      </w:r>
      <w:r>
        <w:rPr>
          <w:rFonts w:hint="eastAsia" w:ascii="Times New Roman" w:hAnsi="Times New Roman"/>
          <w:color w:val="auto"/>
          <w:highlight w:val="none"/>
          <w:lang w:val="en-US" w:eastAsia="zh-CN"/>
        </w:rPr>
        <w:t>99%</w:t>
      </w:r>
    </w:p>
    <w:p>
      <w:pPr>
        <w:pStyle w:val="62"/>
        <w:jc w:val="both"/>
        <w:rPr>
          <w:rFonts w:hint="eastAsia" w:ascii="Times New Roman" w:hAnsi="Times New Roman"/>
          <w:color w:val="auto"/>
          <w:highlight w:val="none"/>
          <w:lang w:eastAsia="zh-CN"/>
        </w:rPr>
      </w:pPr>
      <w:r>
        <w:rPr>
          <w:rFonts w:hint="eastAsia" w:ascii="Times New Roman" w:hAnsi="Times New Roman"/>
          <w:color w:val="auto"/>
          <w:highlight w:val="none"/>
          <w:lang w:eastAsia="zh-CN"/>
        </w:rPr>
        <w:t>经计算，煤场颗粒物排放量为</w:t>
      </w:r>
      <w:r>
        <w:rPr>
          <w:rFonts w:hint="eastAsia" w:ascii="Times New Roman" w:hAnsi="Times New Roman"/>
          <w:color w:val="auto"/>
          <w:highlight w:val="none"/>
          <w:lang w:val="en-US" w:eastAsia="zh-CN"/>
        </w:rPr>
        <w:t>0.184</w:t>
      </w:r>
      <w:r>
        <w:rPr>
          <w:rFonts w:ascii="Times New Roman" w:hAnsi="Times New Roman"/>
          <w:color w:val="auto"/>
          <w:highlight w:val="none"/>
        </w:rPr>
        <w:t>t/a</w:t>
      </w:r>
      <w:r>
        <w:rPr>
          <w:rFonts w:hint="eastAsia" w:ascii="Times New Roman" w:hAnsi="Times New Roman"/>
          <w:color w:val="auto"/>
          <w:highlight w:val="none"/>
          <w:lang w:eastAsia="zh-CN"/>
        </w:rPr>
        <w:t>。灰渣场颗粒物排放</w:t>
      </w:r>
      <w:r>
        <w:rPr>
          <w:rFonts w:hint="eastAsia" w:ascii="Times New Roman" w:hAnsi="Times New Roman"/>
          <w:color w:val="auto"/>
          <w:highlight w:val="none"/>
          <w:lang w:val="en-US" w:eastAsia="zh-CN"/>
        </w:rPr>
        <w:t>0.178</w:t>
      </w:r>
      <w:r>
        <w:rPr>
          <w:rFonts w:ascii="Times New Roman" w:hAnsi="Times New Roman"/>
          <w:color w:val="auto"/>
          <w:highlight w:val="none"/>
        </w:rPr>
        <w:t>t/a</w:t>
      </w:r>
      <w:r>
        <w:rPr>
          <w:rFonts w:hint="eastAsia" w:ascii="Times New Roman" w:hAnsi="Times New Roman"/>
          <w:color w:val="auto"/>
          <w:highlight w:val="none"/>
          <w:lang w:eastAsia="zh-CN"/>
        </w:rPr>
        <w:t>。</w:t>
      </w:r>
    </w:p>
    <w:p>
      <w:pPr>
        <w:pStyle w:val="62"/>
        <w:adjustRightInd w:val="0"/>
        <w:snapToGrid w:val="0"/>
        <w:jc w:val="both"/>
        <w:rPr>
          <w:rFonts w:hint="eastAsia" w:ascii="Times New Roman" w:hAnsi="Times New Roman"/>
          <w:color w:val="auto"/>
          <w:highlight w:val="none"/>
          <w:lang w:val="en-US" w:eastAsia="zh-CN"/>
        </w:rPr>
      </w:pPr>
      <w:r>
        <w:rPr>
          <w:rFonts w:hint="eastAsia"/>
          <w:color w:val="auto"/>
          <w:szCs w:val="21"/>
          <w:highlight w:val="none"/>
        </w:rPr>
        <w:t>储煤库、灰渣库、原料库</w:t>
      </w:r>
      <w:r>
        <w:rPr>
          <w:rFonts w:hint="eastAsia"/>
          <w:color w:val="auto"/>
          <w:szCs w:val="21"/>
          <w:highlight w:val="none"/>
          <w:lang w:eastAsia="zh-CN"/>
        </w:rPr>
        <w:t>及</w:t>
      </w:r>
      <w:r>
        <w:rPr>
          <w:rFonts w:hint="eastAsia"/>
          <w:color w:val="auto"/>
          <w:szCs w:val="21"/>
          <w:highlight w:val="none"/>
        </w:rPr>
        <w:t>输煤系统等</w:t>
      </w:r>
      <w:r>
        <w:rPr>
          <w:rFonts w:hint="eastAsia"/>
          <w:color w:val="auto"/>
          <w:szCs w:val="21"/>
          <w:highlight w:val="none"/>
          <w:lang w:eastAsia="zh-CN"/>
        </w:rPr>
        <w:t>作为一个面源，</w:t>
      </w:r>
      <w:r>
        <w:rPr>
          <w:rFonts w:hint="eastAsia" w:ascii="Times New Roman" w:hAnsi="Times New Roman"/>
          <w:color w:val="auto"/>
          <w:highlight w:val="none"/>
          <w:lang w:eastAsia="zh-CN"/>
        </w:rPr>
        <w:t>排放速率</w:t>
      </w:r>
      <w:r>
        <w:rPr>
          <w:rFonts w:hint="eastAsia" w:ascii="Times New Roman" w:hAnsi="Times New Roman"/>
          <w:color w:val="auto"/>
          <w:highlight w:val="none"/>
          <w:lang w:val="en-US" w:eastAsia="zh-CN"/>
        </w:rPr>
        <w:t>0.089kg/h。</w:t>
      </w:r>
    </w:p>
    <w:p>
      <w:pPr>
        <w:bidi w:val="0"/>
        <w:rPr>
          <w:color w:val="auto"/>
          <w:highlight w:val="none"/>
        </w:rPr>
      </w:pPr>
      <w:r>
        <w:rPr>
          <w:rFonts w:hint="eastAsia"/>
          <w:color w:val="auto"/>
          <w:highlight w:val="none"/>
          <w:lang w:val="en-US" w:eastAsia="zh-CN"/>
        </w:rPr>
        <w:t>（4）</w:t>
      </w:r>
      <w:r>
        <w:rPr>
          <w:rFonts w:hint="eastAsia"/>
          <w:color w:val="auto"/>
          <w:highlight w:val="none"/>
        </w:rPr>
        <w:t>道路扬尘</w:t>
      </w:r>
    </w:p>
    <w:p>
      <w:pPr>
        <w:bidi w:val="0"/>
        <w:rPr>
          <w:rFonts w:hint="eastAsia" w:ascii="宋体" w:hAnsi="宋体" w:eastAsia="宋体" w:cs="Times New Roman"/>
          <w:color w:val="auto"/>
          <w:spacing w:val="0"/>
          <w:szCs w:val="21"/>
          <w:highlight w:val="none"/>
        </w:rPr>
      </w:pPr>
      <w:r>
        <w:rPr>
          <w:rFonts w:hint="eastAsia"/>
          <w:color w:val="auto"/>
          <w:highlight w:val="none"/>
        </w:rPr>
        <w:t>本项目煤炭、灰渣、尿素等均采用汽车运输，</w:t>
      </w:r>
      <w:r>
        <w:rPr>
          <w:color w:val="auto"/>
          <w:highlight w:val="none"/>
        </w:rPr>
        <w:t>本项目最大用煤量为</w:t>
      </w:r>
      <w:r>
        <w:rPr>
          <w:rFonts w:hint="eastAsia"/>
          <w:color w:val="auto"/>
          <w:highlight w:val="none"/>
          <w:lang w:val="en-US" w:eastAsia="zh-CN"/>
        </w:rPr>
        <w:t>39469.13</w:t>
      </w:r>
      <w:r>
        <w:rPr>
          <w:color w:val="auto"/>
          <w:highlight w:val="none"/>
        </w:rPr>
        <w:t>t，一辆车运输量最大为40t，则年运输量为</w:t>
      </w:r>
      <w:r>
        <w:rPr>
          <w:rFonts w:hint="eastAsia"/>
          <w:color w:val="auto"/>
          <w:highlight w:val="none"/>
          <w:lang w:val="en-US" w:eastAsia="zh-CN"/>
        </w:rPr>
        <w:t>986</w:t>
      </w:r>
      <w:r>
        <w:rPr>
          <w:color w:val="auto"/>
          <w:highlight w:val="none"/>
        </w:rPr>
        <w:t>次。灰渣年产生量为</w:t>
      </w:r>
      <w:r>
        <w:rPr>
          <w:rFonts w:hint="eastAsia"/>
          <w:color w:val="00B050"/>
          <w:highlight w:val="none"/>
          <w:lang w:val="en-US" w:eastAsia="zh-CN"/>
        </w:rPr>
        <w:t>7064.97</w:t>
      </w:r>
      <w:r>
        <w:rPr>
          <w:rFonts w:hint="eastAsia"/>
          <w:color w:val="auto"/>
          <w:highlight w:val="none"/>
          <w:lang w:val="en-US" w:eastAsia="zh-CN"/>
        </w:rPr>
        <w:t>t，</w:t>
      </w:r>
      <w:r>
        <w:rPr>
          <w:rFonts w:hint="eastAsia"/>
          <w:color w:val="auto"/>
          <w:highlight w:val="none"/>
          <w:lang w:eastAsia="zh-CN"/>
        </w:rPr>
        <w:t>脱硫渣年产生量为</w:t>
      </w:r>
      <w:r>
        <w:rPr>
          <w:rFonts w:hint="eastAsia"/>
          <w:color w:val="auto"/>
          <w:highlight w:val="none"/>
          <w:lang w:val="en-US" w:eastAsia="zh-CN"/>
        </w:rPr>
        <w:t>144.26</w:t>
      </w:r>
      <w:r>
        <w:rPr>
          <w:color w:val="auto"/>
          <w:highlight w:val="none"/>
        </w:rPr>
        <w:t>t，一辆车最大运输量按25t计，</w:t>
      </w:r>
      <w:r>
        <w:rPr>
          <w:rFonts w:hint="eastAsia"/>
          <w:color w:val="auto"/>
          <w:highlight w:val="none"/>
          <w:lang w:val="en-US" w:eastAsia="zh-CN"/>
        </w:rPr>
        <w:t>炉渣</w:t>
      </w:r>
      <w:r>
        <w:rPr>
          <w:color w:val="auto"/>
          <w:highlight w:val="none"/>
        </w:rPr>
        <w:t>年运输量为</w:t>
      </w:r>
      <w:r>
        <w:rPr>
          <w:rFonts w:hint="eastAsia"/>
          <w:color w:val="auto"/>
          <w:highlight w:val="none"/>
          <w:lang w:val="en-US" w:eastAsia="zh-CN"/>
        </w:rPr>
        <w:t>85</w:t>
      </w:r>
      <w:r>
        <w:rPr>
          <w:color w:val="auto"/>
          <w:highlight w:val="none"/>
        </w:rPr>
        <w:t>次</w:t>
      </w:r>
      <w:r>
        <w:rPr>
          <w:rFonts w:hint="eastAsia"/>
          <w:color w:val="auto"/>
          <w:highlight w:val="none"/>
          <w:lang w:eastAsia="zh-CN"/>
        </w:rPr>
        <w:t>，</w:t>
      </w:r>
      <w:r>
        <w:rPr>
          <w:rFonts w:hint="eastAsia"/>
          <w:color w:val="auto"/>
          <w:highlight w:val="none"/>
          <w:lang w:val="en-US" w:eastAsia="zh-CN"/>
        </w:rPr>
        <w:t>飞灰</w:t>
      </w:r>
      <w:r>
        <w:rPr>
          <w:color w:val="auto"/>
          <w:highlight w:val="none"/>
        </w:rPr>
        <w:t>年运输量为</w:t>
      </w:r>
      <w:r>
        <w:rPr>
          <w:rFonts w:hint="eastAsia"/>
          <w:color w:val="auto"/>
          <w:highlight w:val="none"/>
          <w:lang w:val="en-US" w:eastAsia="zh-CN"/>
        </w:rPr>
        <w:t>9次，脱硫渣年运输量为20次</w:t>
      </w:r>
      <w:r>
        <w:rPr>
          <w:color w:val="auto"/>
          <w:highlight w:val="none"/>
        </w:rPr>
        <w:t>。</w:t>
      </w:r>
      <w:r>
        <w:rPr>
          <w:rFonts w:hint="eastAsia"/>
          <w:color w:val="auto"/>
          <w:highlight w:val="none"/>
        </w:rPr>
        <w:t>汽车运输量的增大，必然对评价区域的环境造成影响。一般来说，道路扬尘的产生量与道路状况有</w:t>
      </w:r>
      <w:r>
        <w:rPr>
          <w:rFonts w:hint="eastAsia" w:ascii="宋体" w:hAnsi="宋体" w:eastAsia="宋体" w:cs="Times New Roman"/>
          <w:b w:val="0"/>
          <w:bCs w:val="0"/>
          <w:color w:val="auto"/>
          <w:szCs w:val="21"/>
          <w:highlight w:val="none"/>
        </w:rPr>
        <w:t>很大关系。不同车速和地面清洁程度下汽车扬尘</w:t>
      </w:r>
      <w:r>
        <w:rPr>
          <w:rFonts w:hint="default" w:ascii="Times New Roman" w:hAnsi="Times New Roman" w:eastAsia="宋体" w:cs="Times New Roman"/>
          <w:b w:val="0"/>
          <w:bCs w:val="0"/>
          <w:color w:val="auto"/>
          <w:szCs w:val="21"/>
          <w:highlight w:val="none"/>
        </w:rPr>
        <w:t>见表</w:t>
      </w:r>
      <w:r>
        <w:rPr>
          <w:rFonts w:hint="default" w:ascii="Times New Roman" w:hAnsi="Times New Roman" w:eastAsia="宋体" w:cs="Times New Roman"/>
          <w:b w:val="0"/>
          <w:bCs w:val="0"/>
          <w:color w:val="auto"/>
          <w:spacing w:val="0"/>
          <w:szCs w:val="21"/>
          <w:highlight w:val="none"/>
        </w:rPr>
        <w:t>3.</w:t>
      </w:r>
      <w:r>
        <w:rPr>
          <w:rFonts w:hint="eastAsia" w:eastAsia="宋体" w:cs="Times New Roman"/>
          <w:b w:val="0"/>
          <w:bCs w:val="0"/>
          <w:color w:val="auto"/>
          <w:spacing w:val="0"/>
          <w:szCs w:val="21"/>
          <w:highlight w:val="none"/>
          <w:lang w:val="en-US" w:eastAsia="zh-CN"/>
        </w:rPr>
        <w:t>11</w:t>
      </w:r>
      <w:r>
        <w:rPr>
          <w:rFonts w:hint="default" w:ascii="Times New Roman" w:hAnsi="Times New Roman" w:eastAsia="宋体" w:cs="Times New Roman"/>
          <w:b w:val="0"/>
          <w:bCs w:val="0"/>
          <w:color w:val="auto"/>
          <w:spacing w:val="0"/>
          <w:szCs w:val="21"/>
          <w:highlight w:val="none"/>
        </w:rPr>
        <w:t>-</w:t>
      </w:r>
      <w:r>
        <w:rPr>
          <w:rFonts w:hint="eastAsia" w:eastAsia="宋体" w:cs="Times New Roman"/>
          <w:b w:val="0"/>
          <w:bCs w:val="0"/>
          <w:color w:val="auto"/>
          <w:spacing w:val="0"/>
          <w:szCs w:val="21"/>
          <w:highlight w:val="none"/>
          <w:lang w:val="en-US" w:eastAsia="zh-CN"/>
        </w:rPr>
        <w:t>3</w:t>
      </w:r>
      <w:r>
        <w:rPr>
          <w:rFonts w:hint="default" w:ascii="Times New Roman" w:hAnsi="Times New Roman" w:eastAsia="宋体" w:cs="Times New Roman"/>
          <w:b w:val="0"/>
          <w:bCs w:val="0"/>
          <w:color w:val="auto"/>
          <w:spacing w:val="0"/>
          <w:szCs w:val="21"/>
          <w:highlight w:val="none"/>
        </w:rPr>
        <w:t>。</w:t>
      </w:r>
    </w:p>
    <w:p>
      <w:pPr>
        <w:tabs>
          <w:tab w:val="left" w:pos="2289"/>
          <w:tab w:val="left" w:pos="6295"/>
        </w:tabs>
        <w:spacing w:line="240" w:lineRule="auto"/>
        <w:ind w:firstLine="0" w:firstLineChars="0"/>
        <w:jc w:val="center"/>
        <w:rPr>
          <w:rFonts w:hint="default" w:ascii="Times New Roman" w:hAnsi="Times New Roman" w:eastAsia="宋体" w:cs="Times New Roman"/>
          <w:b/>
          <w:color w:val="auto"/>
          <w:spacing w:val="-2"/>
          <w:sz w:val="21"/>
          <w:szCs w:val="21"/>
          <w:highlight w:val="none"/>
        </w:rPr>
      </w:pPr>
      <w:r>
        <w:rPr>
          <w:rFonts w:hint="default" w:ascii="Times New Roman" w:hAnsi="Times New Roman" w:eastAsia="宋体" w:cs="Times New Roman"/>
          <w:b/>
          <w:color w:val="auto"/>
          <w:sz w:val="21"/>
          <w:szCs w:val="21"/>
          <w:highlight w:val="none"/>
        </w:rPr>
        <w:t>表3.</w:t>
      </w:r>
      <w:r>
        <w:rPr>
          <w:rFonts w:hint="eastAsia"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rPr>
        <w:t>-</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不同车速和地面清洁程度下汽车扬尘（kg/辆·km）</w:t>
      </w:r>
    </w:p>
    <w:tbl>
      <w:tblPr>
        <w:tblStyle w:val="31"/>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346"/>
        <w:gridCol w:w="829"/>
        <w:gridCol w:w="1056"/>
        <w:gridCol w:w="1056"/>
        <w:gridCol w:w="1056"/>
        <w:gridCol w:w="105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51" w:type="pct"/>
            <w:gridSpan w:val="2"/>
            <w:noWrap w:val="0"/>
            <w:vAlign w:val="center"/>
          </w:tcPr>
          <w:p>
            <w:pPr>
              <w:pStyle w:val="42"/>
              <w:spacing w:line="240" w:lineRule="auto"/>
              <w:ind w:firstLine="0" w:firstLineChars="0"/>
              <w:jc w:val="both"/>
              <w:rPr>
                <w:rFonts w:ascii="Times New Roman" w:hAnsi="Times New Roman"/>
                <w:color w:val="auto"/>
                <w:sz w:val="21"/>
                <w:szCs w:val="21"/>
                <w:highlight w:val="none"/>
              </w:rPr>
            </w:pPr>
            <w:r>
              <w:rPr>
                <w:rFonts w:ascii="Times New Roman" w:hAnsi="Times New Roman"/>
                <w:b/>
                <w:bCs/>
                <w:color w:val="auto"/>
                <w:sz w:val="21"/>
                <w:szCs w:val="21"/>
                <w:highlight w:val="none"/>
              </w:rPr>
              <w:t>地面清洁程度（kg/m</w:t>
            </w:r>
            <w:r>
              <w:rPr>
                <w:rFonts w:ascii="Times New Roman" w:hAnsi="Times New Roman"/>
                <w:b/>
                <w:bCs/>
                <w:color w:val="auto"/>
                <w:sz w:val="21"/>
                <w:szCs w:val="21"/>
                <w:highlight w:val="none"/>
                <w:vertAlign w:val="superscript"/>
              </w:rPr>
              <w:t>2</w:t>
            </w:r>
            <w:r>
              <w:rPr>
                <w:rFonts w:ascii="Times New Roman" w:hAnsi="Times New Roman"/>
                <w:b/>
                <w:bCs/>
                <w:color w:val="auto"/>
                <w:sz w:val="21"/>
                <w:szCs w:val="21"/>
                <w:highlight w:val="none"/>
              </w:rPr>
              <w:t>）</w:t>
            </w:r>
          </w:p>
        </w:tc>
        <w:tc>
          <w:tcPr>
            <w:tcW w:w="500"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b/>
                <w:color w:val="auto"/>
                <w:sz w:val="21"/>
                <w:szCs w:val="21"/>
                <w:highlight w:val="none"/>
              </w:rPr>
              <w:t>0.1</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b/>
                <w:color w:val="auto"/>
                <w:sz w:val="21"/>
                <w:szCs w:val="21"/>
                <w:highlight w:val="none"/>
              </w:rPr>
              <w:t>0.2</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b/>
                <w:color w:val="auto"/>
                <w:sz w:val="21"/>
                <w:szCs w:val="21"/>
                <w:highlight w:val="none"/>
              </w:rPr>
              <w:t>0.3</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b/>
                <w:color w:val="auto"/>
                <w:sz w:val="21"/>
                <w:szCs w:val="21"/>
                <w:highlight w:val="none"/>
              </w:rPr>
              <w:t>0.4</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b/>
                <w:color w:val="auto"/>
                <w:sz w:val="21"/>
                <w:szCs w:val="21"/>
                <w:highlight w:val="none"/>
              </w:rPr>
              <w:t>0.5</w:t>
            </w:r>
          </w:p>
        </w:tc>
        <w:tc>
          <w:tcPr>
            <w:tcW w:w="498" w:type="pct"/>
            <w:noWrap w:val="0"/>
            <w:vAlign w:val="center"/>
          </w:tcPr>
          <w:p>
            <w:pPr>
              <w:pStyle w:val="42"/>
              <w:spacing w:line="240" w:lineRule="auto"/>
              <w:ind w:firstLine="0" w:firstLineChars="0"/>
              <w:jc w:val="center"/>
              <w:rPr>
                <w:rFonts w:ascii="Times New Roman" w:hAnsi="Times New Roman"/>
                <w:b/>
                <w:color w:val="auto"/>
                <w:sz w:val="21"/>
                <w:szCs w:val="21"/>
                <w:highlight w:val="none"/>
              </w:rPr>
            </w:pPr>
            <w:r>
              <w:rPr>
                <w:rFonts w:ascii="Times New Roman" w:hAnsi="Times New Roman"/>
                <w:b/>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9" w:type="pct"/>
            <w:vMerge w:val="restar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车辆</w:t>
            </w:r>
          </w:p>
          <w:p>
            <w:pPr>
              <w:tabs>
                <w:tab w:val="left" w:pos="2289"/>
                <w:tab w:val="left" w:pos="6295"/>
              </w:tabs>
              <w:spacing w:line="240" w:lineRule="auto"/>
              <w:ind w:firstLine="0" w:firstLineChars="0"/>
              <w:jc w:val="center"/>
              <w:rPr>
                <w:rFonts w:ascii="Times New Roman"/>
                <w:b/>
                <w:color w:val="auto"/>
                <w:sz w:val="21"/>
                <w:szCs w:val="21"/>
                <w:highlight w:val="none"/>
              </w:rPr>
            </w:pPr>
            <w:r>
              <w:rPr>
                <w:rFonts w:ascii="Times New Roman"/>
                <w:color w:val="auto"/>
                <w:spacing w:val="-2"/>
                <w:sz w:val="21"/>
                <w:szCs w:val="21"/>
                <w:highlight w:val="none"/>
              </w:rPr>
              <w:t>（km/h）</w:t>
            </w:r>
          </w:p>
        </w:tc>
        <w:tc>
          <w:tcPr>
            <w:tcW w:w="812"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500"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pacing w:val="-2"/>
                <w:sz w:val="21"/>
                <w:szCs w:val="21"/>
                <w:highlight w:val="none"/>
              </w:rPr>
              <w:t>0.0511</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0.0859</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pacing w:val="-2"/>
                <w:sz w:val="21"/>
                <w:szCs w:val="21"/>
                <w:highlight w:val="none"/>
              </w:rPr>
              <w:t>0.1164</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0.1444</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0.1707</w:t>
            </w:r>
          </w:p>
        </w:tc>
        <w:tc>
          <w:tcPr>
            <w:tcW w:w="498"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9" w:type="pct"/>
            <w:vMerge w:val="continue"/>
            <w:noWrap w:val="0"/>
            <w:vAlign w:val="center"/>
          </w:tcPr>
          <w:p>
            <w:pPr>
              <w:tabs>
                <w:tab w:val="left" w:pos="2289"/>
                <w:tab w:val="left" w:pos="6295"/>
              </w:tabs>
              <w:spacing w:line="240" w:lineRule="auto"/>
              <w:ind w:firstLine="0" w:firstLineChars="0"/>
              <w:jc w:val="center"/>
              <w:rPr>
                <w:rFonts w:ascii="Times New Roman"/>
                <w:b/>
                <w:color w:val="auto"/>
                <w:sz w:val="21"/>
                <w:szCs w:val="21"/>
                <w:highlight w:val="none"/>
              </w:rPr>
            </w:pPr>
          </w:p>
        </w:tc>
        <w:tc>
          <w:tcPr>
            <w:tcW w:w="812"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10</w:t>
            </w:r>
          </w:p>
        </w:tc>
        <w:tc>
          <w:tcPr>
            <w:tcW w:w="500"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0.1021</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0.1717</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0.2328</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0.2888</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0.3414</w:t>
            </w:r>
          </w:p>
        </w:tc>
        <w:tc>
          <w:tcPr>
            <w:tcW w:w="498"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9" w:type="pct"/>
            <w:vMerge w:val="continue"/>
            <w:noWrap w:val="0"/>
            <w:vAlign w:val="center"/>
          </w:tcPr>
          <w:p>
            <w:pPr>
              <w:tabs>
                <w:tab w:val="left" w:pos="2289"/>
                <w:tab w:val="left" w:pos="6295"/>
              </w:tabs>
              <w:spacing w:line="240" w:lineRule="auto"/>
              <w:ind w:firstLine="0" w:firstLineChars="0"/>
              <w:jc w:val="center"/>
              <w:rPr>
                <w:rFonts w:ascii="Times New Roman"/>
                <w:b/>
                <w:color w:val="auto"/>
                <w:sz w:val="21"/>
                <w:szCs w:val="21"/>
                <w:highlight w:val="none"/>
              </w:rPr>
            </w:pPr>
          </w:p>
        </w:tc>
        <w:tc>
          <w:tcPr>
            <w:tcW w:w="812"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15</w:t>
            </w:r>
          </w:p>
        </w:tc>
        <w:tc>
          <w:tcPr>
            <w:tcW w:w="500"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0.1532</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0.2576</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0.3491</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0.4332</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0.5121</w:t>
            </w:r>
          </w:p>
        </w:tc>
        <w:tc>
          <w:tcPr>
            <w:tcW w:w="498"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39" w:type="pct"/>
            <w:vMerge w:val="continue"/>
            <w:noWrap w:val="0"/>
            <w:vAlign w:val="center"/>
          </w:tcPr>
          <w:p>
            <w:pPr>
              <w:tabs>
                <w:tab w:val="left" w:pos="2289"/>
                <w:tab w:val="left" w:pos="6295"/>
              </w:tabs>
              <w:spacing w:line="240" w:lineRule="auto"/>
              <w:ind w:firstLine="0" w:firstLineChars="0"/>
              <w:jc w:val="center"/>
              <w:rPr>
                <w:rFonts w:ascii="Times New Roman"/>
                <w:b/>
                <w:color w:val="auto"/>
                <w:sz w:val="21"/>
                <w:szCs w:val="21"/>
                <w:highlight w:val="none"/>
              </w:rPr>
            </w:pPr>
          </w:p>
        </w:tc>
        <w:tc>
          <w:tcPr>
            <w:tcW w:w="812"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25</w:t>
            </w:r>
          </w:p>
        </w:tc>
        <w:tc>
          <w:tcPr>
            <w:tcW w:w="500"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0.2553</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0.4293</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0.5822</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0.7220</w:t>
            </w:r>
          </w:p>
        </w:tc>
        <w:tc>
          <w:tcPr>
            <w:tcW w:w="637"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0.8536</w:t>
            </w:r>
          </w:p>
        </w:tc>
        <w:tc>
          <w:tcPr>
            <w:tcW w:w="498" w:type="pct"/>
            <w:noWrap w:val="0"/>
            <w:vAlign w:val="center"/>
          </w:tcPr>
          <w:p>
            <w:pPr>
              <w:pStyle w:val="42"/>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1.4535</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highlight w:val="none"/>
        </w:rPr>
      </w:pPr>
      <w:r>
        <w:rPr>
          <w:rFonts w:hint="eastAsia"/>
          <w:color w:val="auto"/>
          <w:highlight w:val="none"/>
        </w:rPr>
        <w:t>可以看出，道路愈清洁、车速愈慢，产生的扬尘就愈小，运输道路扬尘在自然风作用下的影响范围一般在100m以内。该项目原料进厂运输道路为硬化路，较清洁，扬尘产生量少，因此对沿线环境影响相对较小。</w:t>
      </w:r>
    </w:p>
    <w:p>
      <w:pPr>
        <w:pStyle w:val="7"/>
        <w:bidi w:val="0"/>
        <w:jc w:val="both"/>
        <w:rPr>
          <w:color w:val="auto"/>
          <w:highlight w:val="none"/>
        </w:rPr>
      </w:pPr>
      <w:r>
        <w:rPr>
          <w:rFonts w:hint="eastAsia"/>
          <w:color w:val="auto"/>
          <w:highlight w:val="none"/>
          <w:lang w:val="en-US" w:eastAsia="zh-CN"/>
        </w:rPr>
        <w:t xml:space="preserve">3.3.2.3 </w:t>
      </w:r>
      <w:r>
        <w:rPr>
          <w:color w:val="auto"/>
          <w:highlight w:val="none"/>
        </w:rPr>
        <w:t>非正常工况</w:t>
      </w:r>
    </w:p>
    <w:p>
      <w:pPr>
        <w:pStyle w:val="62"/>
        <w:jc w:val="both"/>
        <w:rPr>
          <w:rFonts w:ascii="Times New Roman" w:hAnsi="Times New Roman"/>
          <w:color w:val="auto"/>
          <w:kern w:val="2"/>
          <w:highlight w:val="none"/>
        </w:rPr>
      </w:pPr>
      <w:r>
        <w:rPr>
          <w:rFonts w:ascii="Times New Roman" w:hAnsi="Times New Roman"/>
          <w:color w:val="auto"/>
          <w:kern w:val="2"/>
          <w:highlight w:val="none"/>
        </w:rPr>
        <w:t>本项目的非正常工况主要指</w:t>
      </w:r>
      <w:r>
        <w:rPr>
          <w:rFonts w:hint="eastAsia" w:ascii="Times New Roman" w:hAnsi="Times New Roman"/>
          <w:color w:val="auto"/>
          <w:kern w:val="2"/>
          <w:highlight w:val="none"/>
        </w:rPr>
        <w:t>开停炉、设备检修、设备运转异常等非正常工况下和</w:t>
      </w:r>
      <w:r>
        <w:rPr>
          <w:rFonts w:ascii="Times New Roman" w:hAnsi="Times New Roman"/>
          <w:color w:val="auto"/>
          <w:kern w:val="2"/>
          <w:highlight w:val="none"/>
        </w:rPr>
        <w:t>废气处理系统</w:t>
      </w:r>
      <w:r>
        <w:rPr>
          <w:rFonts w:hint="eastAsia" w:ascii="Times New Roman" w:hAnsi="Times New Roman"/>
          <w:color w:val="auto"/>
          <w:kern w:val="2"/>
          <w:highlight w:val="none"/>
        </w:rPr>
        <w:t>达不到应有效率</w:t>
      </w:r>
      <w:r>
        <w:rPr>
          <w:rFonts w:ascii="Times New Roman" w:hAnsi="Times New Roman"/>
          <w:color w:val="auto"/>
          <w:kern w:val="2"/>
          <w:highlight w:val="none"/>
        </w:rPr>
        <w:t>情况时，污染物处理无法达标而排入环境的状态。</w:t>
      </w:r>
    </w:p>
    <w:p>
      <w:pPr>
        <w:pStyle w:val="62"/>
        <w:jc w:val="both"/>
        <w:rPr>
          <w:rFonts w:ascii="Times New Roman" w:hAnsi="Times New Roman"/>
          <w:color w:val="auto"/>
          <w:highlight w:val="none"/>
        </w:rPr>
      </w:pPr>
      <w:r>
        <w:rPr>
          <w:rFonts w:ascii="Times New Roman" w:hAnsi="Times New Roman"/>
          <w:color w:val="auto"/>
          <w:kern w:val="2"/>
          <w:highlight w:val="none"/>
        </w:rPr>
        <w:t>本项目非正常工况主要是</w:t>
      </w:r>
      <w:r>
        <w:rPr>
          <w:rFonts w:hint="eastAsia" w:ascii="Times New Roman" w:hAnsi="Times New Roman"/>
          <w:color w:val="auto"/>
          <w:kern w:val="2"/>
          <w:highlight w:val="none"/>
        </w:rPr>
        <w:t>颗粒物</w:t>
      </w:r>
      <w:r>
        <w:rPr>
          <w:rFonts w:ascii="Times New Roman" w:hAnsi="Times New Roman"/>
          <w:color w:val="auto"/>
          <w:kern w:val="2"/>
          <w:highlight w:val="none"/>
        </w:rPr>
        <w:t>、二氧化硫、氮氧化物超标造成大气污染问题。突发事故持续时间按</w:t>
      </w:r>
      <w:r>
        <w:rPr>
          <w:rFonts w:hint="eastAsia" w:ascii="Times New Roman" w:hAnsi="Times New Roman"/>
          <w:color w:val="auto"/>
          <w:kern w:val="2"/>
          <w:highlight w:val="none"/>
        </w:rPr>
        <w:t>6</w:t>
      </w:r>
      <w:r>
        <w:rPr>
          <w:rFonts w:ascii="Times New Roman" w:hAnsi="Times New Roman"/>
          <w:color w:val="auto"/>
          <w:kern w:val="2"/>
          <w:highlight w:val="none"/>
        </w:rPr>
        <w:t>0min考虑，</w:t>
      </w:r>
      <w:r>
        <w:rPr>
          <w:rFonts w:hint="eastAsia" w:ascii="Times New Roman" w:hAnsi="Times New Roman"/>
          <w:color w:val="auto"/>
          <w:kern w:val="2"/>
          <w:highlight w:val="none"/>
          <w:lang w:eastAsia="zh-CN"/>
        </w:rPr>
        <w:t>每年发生一次，</w:t>
      </w:r>
      <w:r>
        <w:rPr>
          <w:rFonts w:ascii="Times New Roman" w:hAnsi="Times New Roman"/>
          <w:color w:val="auto"/>
          <w:kern w:val="2"/>
          <w:highlight w:val="none"/>
        </w:rPr>
        <w:t>废气处理系统</w:t>
      </w:r>
      <w:r>
        <w:rPr>
          <w:rFonts w:hint="eastAsia" w:ascii="Times New Roman" w:hAnsi="Times New Roman"/>
          <w:color w:val="auto"/>
          <w:kern w:val="2"/>
          <w:highlight w:val="none"/>
          <w:lang w:eastAsia="zh-CN"/>
        </w:rPr>
        <w:t>故障，</w:t>
      </w:r>
      <w:r>
        <w:rPr>
          <w:rFonts w:hint="eastAsia" w:ascii="Times New Roman" w:hAnsi="Times New Roman"/>
          <w:color w:val="auto"/>
          <w:kern w:val="2"/>
          <w:highlight w:val="none"/>
          <w:lang w:val="en-US" w:eastAsia="zh-CN"/>
        </w:rPr>
        <w:t>脱硝</w:t>
      </w:r>
      <w:r>
        <w:rPr>
          <w:rFonts w:ascii="Times New Roman" w:hAnsi="Times New Roman"/>
          <w:color w:val="auto"/>
          <w:kern w:val="2"/>
          <w:highlight w:val="none"/>
        </w:rPr>
        <w:t>效率</w:t>
      </w:r>
      <w:r>
        <w:rPr>
          <w:rFonts w:hint="eastAsia" w:ascii="Times New Roman" w:hAnsi="Times New Roman"/>
          <w:color w:val="auto"/>
          <w:kern w:val="2"/>
          <w:highlight w:val="none"/>
          <w:lang w:eastAsia="zh-CN"/>
        </w:rPr>
        <w:t>按</w:t>
      </w:r>
      <w:r>
        <w:rPr>
          <w:rFonts w:hint="eastAsia" w:ascii="Times New Roman" w:hAnsi="Times New Roman"/>
          <w:color w:val="auto"/>
          <w:kern w:val="2"/>
          <w:highlight w:val="none"/>
          <w:lang w:val="en-US" w:eastAsia="zh-CN"/>
        </w:rPr>
        <w:t>0</w:t>
      </w:r>
      <w:r>
        <w:rPr>
          <w:rFonts w:ascii="Times New Roman" w:hAnsi="Times New Roman"/>
          <w:color w:val="auto"/>
          <w:kern w:val="2"/>
          <w:highlight w:val="none"/>
        </w:rPr>
        <w:t>%，</w:t>
      </w:r>
      <w:r>
        <w:rPr>
          <w:rFonts w:hint="eastAsia" w:ascii="Times New Roman" w:hAnsi="Times New Roman"/>
          <w:color w:val="auto"/>
          <w:kern w:val="2"/>
          <w:highlight w:val="none"/>
          <w:lang w:eastAsia="zh-CN"/>
        </w:rPr>
        <w:t>除尘效率按</w:t>
      </w:r>
      <w:r>
        <w:rPr>
          <w:rFonts w:hint="eastAsia" w:ascii="Times New Roman" w:hAnsi="Times New Roman"/>
          <w:color w:val="auto"/>
          <w:kern w:val="2"/>
          <w:highlight w:val="none"/>
          <w:lang w:val="en-US" w:eastAsia="zh-CN"/>
        </w:rPr>
        <w:t>70%，脱硫效率按50%，汞及其化合物协同处置效率按20%计，</w:t>
      </w:r>
      <w:r>
        <w:rPr>
          <w:rFonts w:ascii="Times New Roman" w:hAnsi="Times New Roman"/>
          <w:color w:val="auto"/>
          <w:highlight w:val="none"/>
        </w:rPr>
        <w:t>则排放源强见表3.</w:t>
      </w:r>
      <w:r>
        <w:rPr>
          <w:rFonts w:hint="eastAsia" w:ascii="Times New Roman" w:hAnsi="Times New Roman"/>
          <w:color w:val="auto"/>
          <w:highlight w:val="none"/>
          <w:lang w:val="en-US" w:eastAsia="zh-CN"/>
        </w:rPr>
        <w:t>11</w:t>
      </w:r>
      <w:r>
        <w:rPr>
          <w:rFonts w:hint="eastAsia" w:ascii="Times New Roman" w:hAnsi="Times New Roman"/>
          <w:color w:val="auto"/>
          <w:highlight w:val="none"/>
        </w:rPr>
        <w:t>-</w:t>
      </w:r>
      <w:r>
        <w:rPr>
          <w:rFonts w:hint="eastAsia" w:ascii="Times New Roman" w:hAnsi="Times New Roman"/>
          <w:color w:val="auto"/>
          <w:highlight w:val="none"/>
          <w:lang w:val="en-US" w:eastAsia="zh-CN"/>
        </w:rPr>
        <w:t>4</w:t>
      </w:r>
      <w:r>
        <w:rPr>
          <w:rFonts w:ascii="Times New Roman" w:hAnsi="Times New Roman"/>
          <w:color w:val="auto"/>
          <w:highlight w:val="none"/>
        </w:rPr>
        <w:t>。</w:t>
      </w:r>
    </w:p>
    <w:p>
      <w:pPr>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rPr>
        <w:t>表3.</w:t>
      </w:r>
      <w:r>
        <w:rPr>
          <w:rFonts w:hint="eastAsia" w:cs="Times New Roman"/>
          <w:b/>
          <w:bCs/>
          <w:color w:val="auto"/>
          <w:kern w:val="0"/>
          <w:sz w:val="21"/>
          <w:szCs w:val="21"/>
          <w:highlight w:val="none"/>
          <w:lang w:val="en-US" w:eastAsia="zh-CN"/>
        </w:rPr>
        <w:t>11</w:t>
      </w:r>
      <w:r>
        <w:rPr>
          <w:rFonts w:hint="default" w:ascii="Times New Roman" w:hAnsi="Times New Roman" w:cs="Times New Roman"/>
          <w:b/>
          <w:bCs/>
          <w:color w:val="auto"/>
          <w:kern w:val="0"/>
          <w:sz w:val="21"/>
          <w:szCs w:val="21"/>
          <w:highlight w:val="none"/>
        </w:rPr>
        <w:t>-</w:t>
      </w:r>
      <w:r>
        <w:rPr>
          <w:rFonts w:hint="eastAsia" w:cs="Times New Roman"/>
          <w:b/>
          <w:bCs/>
          <w:color w:val="auto"/>
          <w:kern w:val="0"/>
          <w:sz w:val="21"/>
          <w:szCs w:val="21"/>
          <w:highlight w:val="none"/>
          <w:lang w:val="en-US" w:eastAsia="zh-CN"/>
        </w:rPr>
        <w:t>4</w:t>
      </w:r>
      <w:r>
        <w:rPr>
          <w:rFonts w:hint="default" w:ascii="Times New Roman" w:hAnsi="Times New Roman" w:cs="Times New Roman"/>
          <w:b/>
          <w:bCs/>
          <w:color w:val="auto"/>
          <w:kern w:val="0"/>
          <w:sz w:val="21"/>
          <w:szCs w:val="21"/>
          <w:highlight w:val="none"/>
        </w:rPr>
        <w:t xml:space="preserve"> </w:t>
      </w:r>
      <w:r>
        <w:rPr>
          <w:rFonts w:hint="eastAsia" w:cs="Times New Roman"/>
          <w:b/>
          <w:bCs/>
          <w:color w:val="auto"/>
          <w:kern w:val="0"/>
          <w:sz w:val="21"/>
          <w:szCs w:val="21"/>
          <w:highlight w:val="none"/>
          <w:lang w:val="en-US" w:eastAsia="zh-CN"/>
        </w:rPr>
        <w:t xml:space="preserve"> </w:t>
      </w:r>
      <w:r>
        <w:rPr>
          <w:rFonts w:hint="default" w:ascii="Times New Roman" w:hAnsi="Times New Roman" w:cs="Times New Roman"/>
          <w:b/>
          <w:bCs/>
          <w:color w:val="auto"/>
          <w:kern w:val="0"/>
          <w:sz w:val="21"/>
          <w:szCs w:val="21"/>
          <w:highlight w:val="none"/>
        </w:rPr>
        <w:t xml:space="preserve">  非正常工况废气污染物排放表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5"/>
        <w:gridCol w:w="856"/>
        <w:gridCol w:w="790"/>
        <w:gridCol w:w="798"/>
        <w:gridCol w:w="643"/>
        <w:gridCol w:w="621"/>
        <w:gridCol w:w="490"/>
        <w:gridCol w:w="619"/>
        <w:gridCol w:w="1055"/>
        <w:gridCol w:w="480"/>
        <w:gridCol w:w="480"/>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460"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烟气量（Nm</w:t>
            </w:r>
            <w:r>
              <w:rPr>
                <w:rFonts w:hint="eastAsia" w:cs="Times New Roman"/>
                <w:b/>
                <w:bCs/>
                <w:color w:val="auto"/>
                <w:spacing w:val="-1"/>
                <w:sz w:val="21"/>
                <w:szCs w:val="21"/>
                <w:highlight w:val="none"/>
                <w:vertAlign w:val="superscript"/>
                <w:lang w:val="en-US" w:eastAsia="zh-CN"/>
              </w:rPr>
              <w:t>3</w:t>
            </w:r>
            <w:r>
              <w:rPr>
                <w:rFonts w:hint="default" w:ascii="Times New Roman" w:hAnsi="Times New Roman" w:eastAsia="宋体" w:cs="Times New Roman"/>
                <w:b/>
                <w:bCs/>
                <w:color w:val="auto"/>
                <w:spacing w:val="-1"/>
                <w:sz w:val="21"/>
                <w:szCs w:val="21"/>
                <w:highlight w:val="none"/>
              </w:rPr>
              <w:t>/h）</w:t>
            </w: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污染物种类</w:t>
            </w:r>
          </w:p>
        </w:tc>
        <w:tc>
          <w:tcPr>
            <w:tcW w:w="50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pacing w:val="-2"/>
                <w:sz w:val="21"/>
                <w:szCs w:val="21"/>
                <w:highlight w:val="none"/>
              </w:rPr>
              <w:t>排放浓度</w:t>
            </w:r>
            <w:r>
              <w:rPr>
                <w:rFonts w:hint="default" w:ascii="Times New Roman" w:hAnsi="Times New Roman" w:eastAsia="宋体" w:cs="Times New Roman"/>
                <w:b/>
                <w:bCs/>
                <w:color w:val="auto"/>
                <w:spacing w:val="-1"/>
                <w:sz w:val="21"/>
                <w:szCs w:val="21"/>
                <w:highlight w:val="none"/>
              </w:rPr>
              <w:t>mg/m</w:t>
            </w:r>
            <w:r>
              <w:rPr>
                <w:rFonts w:hint="eastAsia" w:cs="Times New Roman"/>
                <w:b/>
                <w:bCs/>
                <w:color w:val="auto"/>
                <w:spacing w:val="-1"/>
                <w:sz w:val="21"/>
                <w:szCs w:val="21"/>
                <w:highlight w:val="none"/>
                <w:vertAlign w:val="superscript"/>
                <w:lang w:val="en-US" w:eastAsia="zh-CN"/>
              </w:rPr>
              <w:t>3</w:t>
            </w:r>
          </w:p>
        </w:tc>
        <w:tc>
          <w:tcPr>
            <w:tcW w:w="49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排放量kg/h</w:t>
            </w:r>
          </w:p>
        </w:tc>
        <w:tc>
          <w:tcPr>
            <w:tcW w:w="427"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排气筒高度</w:t>
            </w:r>
          </w:p>
        </w:tc>
        <w:tc>
          <w:tcPr>
            <w:tcW w:w="40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排气筒内径</w:t>
            </w:r>
          </w:p>
        </w:tc>
        <w:tc>
          <w:tcPr>
            <w:tcW w:w="322"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温度</w:t>
            </w:r>
          </w:p>
        </w:tc>
        <w:tc>
          <w:tcPr>
            <w:tcW w:w="330"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2"/>
                <w:sz w:val="21"/>
                <w:szCs w:val="21"/>
                <w:highlight w:val="none"/>
              </w:rPr>
              <w:t>污染源名称</w:t>
            </w:r>
          </w:p>
        </w:tc>
        <w:tc>
          <w:tcPr>
            <w:tcW w:w="564"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坐标</w:t>
            </w:r>
          </w:p>
        </w:tc>
        <w:tc>
          <w:tcPr>
            <w:tcW w:w="316"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ascii="Times New Roman" w:hAnsi="Times New Roman" w:eastAsia="宋体" w:cs="Times New Roman"/>
                <w:b/>
                <w:bCs/>
                <w:color w:val="auto"/>
                <w:spacing w:val="6"/>
                <w:sz w:val="21"/>
                <w:szCs w:val="21"/>
                <w:highlight w:val="none"/>
                <w:lang w:eastAsia="zh-CN"/>
              </w:rPr>
            </w:pPr>
            <w:r>
              <w:rPr>
                <w:rFonts w:hint="eastAsia" w:cs="Times New Roman"/>
                <w:b/>
                <w:bCs/>
                <w:color w:val="auto"/>
                <w:spacing w:val="6"/>
                <w:sz w:val="21"/>
                <w:szCs w:val="21"/>
                <w:highlight w:val="none"/>
                <w:lang w:eastAsia="zh-CN"/>
              </w:rPr>
              <w:t>类型</w:t>
            </w:r>
          </w:p>
        </w:tc>
        <w:tc>
          <w:tcPr>
            <w:tcW w:w="316"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b/>
                <w:bCs/>
                <w:color w:val="auto"/>
                <w:spacing w:val="6"/>
                <w:sz w:val="21"/>
                <w:szCs w:val="21"/>
                <w:highlight w:val="none"/>
                <w:lang w:eastAsia="zh-CN"/>
              </w:rPr>
            </w:pPr>
            <w:r>
              <w:rPr>
                <w:rFonts w:hint="default" w:ascii="Times New Roman" w:hAnsi="Times New Roman" w:eastAsia="宋体" w:cs="Times New Roman"/>
                <w:b/>
                <w:bCs/>
                <w:color w:val="auto"/>
                <w:sz w:val="21"/>
                <w:szCs w:val="21"/>
                <w:highlight w:val="none"/>
              </w:rPr>
              <w:t>年发生频次/次</w:t>
            </w:r>
          </w:p>
        </w:tc>
        <w:tc>
          <w:tcPr>
            <w:tcW w:w="316" w:type="pc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b/>
                <w:bCs/>
                <w:color w:val="auto"/>
                <w:spacing w:val="6"/>
                <w:sz w:val="21"/>
                <w:szCs w:val="21"/>
                <w:highlight w:val="none"/>
                <w:lang w:eastAsia="zh-CN"/>
              </w:rPr>
            </w:pPr>
            <w:r>
              <w:rPr>
                <w:rFonts w:hint="default" w:ascii="Times New Roman" w:hAnsi="Times New Roman" w:eastAsia="宋体" w:cs="Times New Roman"/>
                <w:b/>
                <w:bCs/>
                <w:color w:val="auto"/>
                <w:sz w:val="21"/>
                <w:szCs w:val="21"/>
                <w:highlight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46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8.8</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颗粒物</w:t>
            </w:r>
          </w:p>
        </w:tc>
        <w:tc>
          <w:tcPr>
            <w:tcW w:w="50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45.18</w:t>
            </w:r>
          </w:p>
        </w:tc>
        <w:tc>
          <w:tcPr>
            <w:tcW w:w="49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3.978</w:t>
            </w:r>
          </w:p>
        </w:tc>
        <w:tc>
          <w:tcPr>
            <w:tcW w:w="42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45m</w:t>
            </w:r>
          </w:p>
        </w:tc>
        <w:tc>
          <w:tcPr>
            <w:tcW w:w="40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2.5m</w:t>
            </w:r>
          </w:p>
        </w:tc>
        <w:tc>
          <w:tcPr>
            <w:tcW w:w="32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33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DA001</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锅炉烟囱</w:t>
            </w:r>
          </w:p>
        </w:tc>
        <w:tc>
          <w:tcPr>
            <w:tcW w:w="56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E83.667972</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N46.508582</w:t>
            </w:r>
          </w:p>
        </w:tc>
        <w:tc>
          <w:tcPr>
            <w:tcW w:w="316" w:type="pct"/>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316" w:type="pct"/>
            <w:vMerge w:val="restar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316" w:type="pct"/>
            <w:vMerge w:val="restart"/>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及时停炉维修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6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SO</w:t>
            </w:r>
            <w:r>
              <w:rPr>
                <w:rFonts w:hint="default" w:ascii="Times New Roman" w:hAnsi="Times New Roman" w:eastAsia="宋体" w:cs="Times New Roman"/>
                <w:color w:val="auto"/>
                <w:spacing w:val="-5"/>
                <w:position w:val="-2"/>
                <w:sz w:val="21"/>
                <w:szCs w:val="21"/>
                <w:highlight w:val="none"/>
                <w:vertAlign w:val="subscript"/>
              </w:rPr>
              <w:t>2</w:t>
            </w:r>
          </w:p>
        </w:tc>
        <w:tc>
          <w:tcPr>
            <w:tcW w:w="50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73.19</w:t>
            </w:r>
          </w:p>
        </w:tc>
        <w:tc>
          <w:tcPr>
            <w:tcW w:w="49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6.26</w:t>
            </w:r>
          </w:p>
        </w:tc>
        <w:tc>
          <w:tcPr>
            <w:tcW w:w="42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40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2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3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56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6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ascii="Times New Roman" w:hAnsi="Times New Roman" w:eastAsia="宋体" w:cs="Times New Roman"/>
                <w:color w:val="0000FF"/>
                <w:sz w:val="21"/>
                <w:szCs w:val="21"/>
                <w:highlight w:val="none"/>
                <w:lang w:eastAsia="zh-CN"/>
              </w:rPr>
            </w:pPr>
            <w:r>
              <w:rPr>
                <w:rFonts w:hint="default" w:ascii="Times New Roman" w:hAnsi="Times New Roman" w:eastAsia="宋体" w:cs="Times New Roman"/>
                <w:color w:val="0000FF"/>
                <w:sz w:val="21"/>
                <w:szCs w:val="21"/>
                <w:highlight w:val="none"/>
              </w:rPr>
              <w:t>NO</w:t>
            </w:r>
            <w:r>
              <w:rPr>
                <w:rFonts w:hint="eastAsia" w:cs="Times New Roman"/>
                <w:color w:val="0000FF"/>
                <w:position w:val="-2"/>
                <w:sz w:val="21"/>
                <w:szCs w:val="21"/>
                <w:highlight w:val="none"/>
                <w:vertAlign w:val="subscript"/>
                <w:lang w:val="en-US" w:eastAsia="zh-CN"/>
              </w:rPr>
              <w:t>X</w:t>
            </w:r>
          </w:p>
        </w:tc>
        <w:tc>
          <w:tcPr>
            <w:tcW w:w="50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100</w:t>
            </w:r>
          </w:p>
        </w:tc>
        <w:tc>
          <w:tcPr>
            <w:tcW w:w="49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8.55</w:t>
            </w:r>
          </w:p>
        </w:tc>
        <w:tc>
          <w:tcPr>
            <w:tcW w:w="42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40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2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3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56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46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54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汞及其化合物</w:t>
            </w:r>
          </w:p>
        </w:tc>
        <w:tc>
          <w:tcPr>
            <w:tcW w:w="50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0.04768</w:t>
            </w:r>
          </w:p>
        </w:tc>
        <w:tc>
          <w:tcPr>
            <w:tcW w:w="495"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0.000419</w:t>
            </w:r>
          </w:p>
        </w:tc>
        <w:tc>
          <w:tcPr>
            <w:tcW w:w="42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cs="Times New Roman"/>
                <w:color w:val="auto"/>
                <w:sz w:val="21"/>
                <w:szCs w:val="21"/>
                <w:highlight w:val="none"/>
                <w:lang w:val="en-US" w:eastAsia="zh-CN"/>
              </w:rPr>
            </w:pPr>
          </w:p>
        </w:tc>
        <w:tc>
          <w:tcPr>
            <w:tcW w:w="401"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cs="Times New Roman"/>
                <w:color w:val="auto"/>
                <w:sz w:val="21"/>
                <w:szCs w:val="21"/>
                <w:highlight w:val="none"/>
                <w:lang w:val="en-US" w:eastAsia="zh-CN"/>
              </w:rPr>
            </w:pPr>
          </w:p>
        </w:tc>
        <w:tc>
          <w:tcPr>
            <w:tcW w:w="32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cs="Times New Roman"/>
                <w:color w:val="auto"/>
                <w:sz w:val="21"/>
                <w:szCs w:val="21"/>
                <w:highlight w:val="none"/>
                <w:lang w:val="en-US" w:eastAsia="zh-CN"/>
              </w:rPr>
            </w:pPr>
          </w:p>
        </w:tc>
        <w:tc>
          <w:tcPr>
            <w:tcW w:w="33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cs="Times New Roman"/>
                <w:color w:val="auto"/>
                <w:sz w:val="21"/>
                <w:szCs w:val="21"/>
                <w:highlight w:val="none"/>
                <w:lang w:val="en-US" w:eastAsia="zh-CN"/>
              </w:rPr>
            </w:pPr>
          </w:p>
        </w:tc>
        <w:tc>
          <w:tcPr>
            <w:tcW w:w="56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cs="Times New Roman"/>
                <w:color w:val="auto"/>
                <w:sz w:val="21"/>
                <w:szCs w:val="21"/>
                <w:highlight w:val="none"/>
                <w:lang w:val="en-US" w:eastAsia="zh-CN"/>
              </w:rPr>
            </w:pPr>
          </w:p>
        </w:tc>
        <w:tc>
          <w:tcPr>
            <w:tcW w:w="31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cs="Times New Roman"/>
                <w:color w:val="auto"/>
                <w:sz w:val="21"/>
                <w:szCs w:val="21"/>
                <w:highlight w:val="none"/>
                <w:lang w:val="en-US" w:eastAsia="zh-CN"/>
              </w:rPr>
            </w:pPr>
          </w:p>
        </w:tc>
      </w:tr>
    </w:tbl>
    <w:p>
      <w:pPr>
        <w:bidi w:val="0"/>
        <w:rPr>
          <w:rFonts w:hint="default"/>
          <w:color w:val="auto"/>
          <w:highlight w:val="none"/>
          <w:lang w:val="en-US" w:eastAsia="zh-CN"/>
        </w:rPr>
      </w:pPr>
      <w:r>
        <w:rPr>
          <w:rFonts w:hint="default"/>
          <w:color w:val="auto"/>
          <w:highlight w:val="none"/>
          <w:lang w:val="en-US" w:eastAsia="zh-CN"/>
        </w:rPr>
        <w:t>建设单位应严格控制废气非正常排放，并采取以下措施：</w:t>
      </w:r>
    </w:p>
    <w:p>
      <w:pPr>
        <w:bidi w:val="0"/>
        <w:rPr>
          <w:rFonts w:hint="default"/>
          <w:color w:val="auto"/>
          <w:highlight w:val="none"/>
          <w:lang w:val="en-US" w:eastAsia="zh-CN"/>
        </w:rPr>
      </w:pPr>
      <w:r>
        <w:rPr>
          <w:rFonts w:hint="default"/>
          <w:color w:val="auto"/>
          <w:highlight w:val="none"/>
          <w:lang w:val="en-US" w:eastAsia="zh-CN"/>
        </w:rPr>
        <w:t>①安排专门的锅炉技术人员以及其他设备的维护人员，加强设备额维护，确保设备处于良好的运转状态，杜绝因设备不正常运转时产生的污染物超标现象。</w:t>
      </w:r>
    </w:p>
    <w:p>
      <w:pPr>
        <w:bidi w:val="0"/>
        <w:rPr>
          <w:rFonts w:hint="default"/>
          <w:color w:val="auto"/>
          <w:highlight w:val="none"/>
          <w:lang w:val="en-US" w:eastAsia="zh-CN"/>
        </w:rPr>
      </w:pPr>
      <w:r>
        <w:rPr>
          <w:rFonts w:hint="default"/>
          <w:color w:val="auto"/>
          <w:highlight w:val="none"/>
          <w:lang w:val="en-US" w:eastAsia="zh-CN"/>
        </w:rPr>
        <w:t>②企业应当对环保设施建立运行档案，制定相关制度定期检查和维护，并将检查结果记录存档。</w:t>
      </w:r>
    </w:p>
    <w:p>
      <w:pPr>
        <w:bidi w:val="0"/>
        <w:rPr>
          <w:rFonts w:hint="default"/>
          <w:color w:val="auto"/>
          <w:highlight w:val="none"/>
          <w:lang w:val="en-US" w:eastAsia="zh-CN"/>
        </w:rPr>
      </w:pPr>
      <w:r>
        <w:rPr>
          <w:rFonts w:hint="default"/>
          <w:color w:val="auto"/>
          <w:highlight w:val="none"/>
          <w:lang w:val="en-US" w:eastAsia="zh-CN"/>
        </w:rPr>
        <w:t>③企业应配备专业的环保设备管理人员，对设备进行维护和管理。</w:t>
      </w:r>
    </w:p>
    <w:p>
      <w:pPr>
        <w:bidi w:val="0"/>
        <w:rPr>
          <w:rFonts w:hint="default"/>
          <w:color w:val="auto"/>
          <w:highlight w:val="none"/>
          <w:lang w:val="en-US" w:eastAsia="zh-CN"/>
        </w:rPr>
      </w:pPr>
      <w:r>
        <w:rPr>
          <w:rFonts w:hint="eastAsia"/>
          <w:color w:val="auto"/>
          <w:highlight w:val="none"/>
          <w:lang w:val="en-US" w:eastAsia="zh-CN"/>
        </w:rPr>
        <w:t>④</w:t>
      </w:r>
      <w:r>
        <w:rPr>
          <w:rFonts w:hint="default"/>
          <w:color w:val="auto"/>
          <w:highlight w:val="none"/>
          <w:lang w:val="en-US" w:eastAsia="zh-CN"/>
        </w:rPr>
        <w:t>企业应及时更换老化部件，以免影响设备的正常运行。</w:t>
      </w:r>
    </w:p>
    <w:p>
      <w:pPr>
        <w:bidi w:val="0"/>
        <w:rPr>
          <w:color w:val="auto"/>
          <w:highlight w:val="none"/>
        </w:rPr>
      </w:pPr>
      <w:r>
        <w:rPr>
          <w:rFonts w:hint="eastAsia"/>
          <w:color w:val="auto"/>
          <w:highlight w:val="none"/>
          <w:lang w:val="en-US" w:eastAsia="zh-CN"/>
        </w:rPr>
        <w:t>⑤</w:t>
      </w:r>
      <w:r>
        <w:rPr>
          <w:rFonts w:hint="default"/>
          <w:color w:val="auto"/>
          <w:highlight w:val="none"/>
          <w:lang w:val="en-US" w:eastAsia="zh-CN"/>
        </w:rPr>
        <w:t>设环保管理专员，对环保管理人员及技术人员进行岗位培训。</w:t>
      </w:r>
    </w:p>
    <w:p>
      <w:pPr>
        <w:pStyle w:val="6"/>
        <w:keepNext/>
        <w:keepLines/>
        <w:pageBreakBefore w:val="0"/>
        <w:widowControl w:val="0"/>
        <w:kinsoku/>
        <w:wordWrap/>
        <w:overflowPunct/>
        <w:topLinePunct w:val="0"/>
        <w:autoSpaceDE/>
        <w:autoSpaceDN/>
        <w:bidi w:val="0"/>
        <w:adjustRightInd w:val="0"/>
        <w:snapToGrid w:val="0"/>
        <w:ind w:left="0" w:leftChars="0" w:firstLine="0" w:firstLineChars="0"/>
        <w:textAlignment w:val="auto"/>
        <w:rPr>
          <w:color w:val="auto"/>
          <w:highlight w:val="none"/>
        </w:rPr>
      </w:pPr>
      <w:r>
        <w:rPr>
          <w:rFonts w:hint="eastAsia"/>
          <w:color w:val="auto"/>
          <w:highlight w:val="none"/>
          <w:lang w:val="en-US" w:eastAsia="zh-CN"/>
        </w:rPr>
        <w:t xml:space="preserve">3.3.3 </w:t>
      </w:r>
      <w:r>
        <w:rPr>
          <w:rFonts w:hint="eastAsia"/>
          <w:color w:val="auto"/>
          <w:highlight w:val="none"/>
        </w:rPr>
        <w:t>运营期废水污染物</w:t>
      </w:r>
    </w:p>
    <w:p>
      <w:pPr>
        <w:pStyle w:val="62"/>
        <w:jc w:val="both"/>
        <w:rPr>
          <w:rFonts w:ascii="Times New Roman" w:hAnsi="Times New Roman"/>
          <w:color w:val="auto"/>
          <w:kern w:val="2"/>
          <w:highlight w:val="none"/>
          <w:lang w:val="de-DE"/>
        </w:rPr>
      </w:pPr>
      <w:r>
        <w:rPr>
          <w:rFonts w:ascii="Times New Roman" w:hAnsi="Times New Roman"/>
          <w:color w:val="auto"/>
          <w:kern w:val="2"/>
          <w:highlight w:val="none"/>
          <w:lang w:val="de-DE"/>
        </w:rPr>
        <w:t>本项目锅炉房所产生废水主要来自锅炉排水、软化及除氧装置排水、冷却循环排水等。</w:t>
      </w:r>
    </w:p>
    <w:p>
      <w:pPr>
        <w:pStyle w:val="62"/>
        <w:jc w:val="both"/>
        <w:rPr>
          <w:rFonts w:ascii="Times New Roman" w:hAnsi="Times New Roman"/>
          <w:color w:val="auto"/>
          <w:kern w:val="2"/>
          <w:highlight w:val="none"/>
          <w:lang w:val="de-DE"/>
        </w:rPr>
      </w:pPr>
      <w:r>
        <w:rPr>
          <w:rFonts w:hint="eastAsia" w:ascii="Times New Roman" w:hAnsi="Times New Roman"/>
          <w:color w:val="auto"/>
          <w:kern w:val="2"/>
          <w:highlight w:val="none"/>
          <w:lang w:val="de-DE"/>
        </w:rPr>
        <w:t>（</w:t>
      </w:r>
      <w:r>
        <w:rPr>
          <w:rFonts w:hint="eastAsia" w:ascii="Times New Roman" w:hAnsi="Times New Roman"/>
          <w:color w:val="auto"/>
          <w:kern w:val="2"/>
          <w:highlight w:val="none"/>
        </w:rPr>
        <w:t>1</w:t>
      </w:r>
      <w:r>
        <w:rPr>
          <w:rFonts w:hint="eastAsia" w:ascii="Times New Roman" w:hAnsi="Times New Roman"/>
          <w:color w:val="auto"/>
          <w:kern w:val="2"/>
          <w:highlight w:val="none"/>
          <w:lang w:val="de-DE"/>
        </w:rPr>
        <w:t>）</w:t>
      </w:r>
      <w:r>
        <w:rPr>
          <w:rFonts w:ascii="Times New Roman" w:hAnsi="Times New Roman"/>
          <w:color w:val="auto"/>
          <w:kern w:val="2"/>
          <w:highlight w:val="none"/>
          <w:lang w:val="de-DE"/>
        </w:rPr>
        <w:t>锅炉排污水</w:t>
      </w:r>
    </w:p>
    <w:p>
      <w:pPr>
        <w:spacing w:line="360" w:lineRule="auto"/>
        <w:ind w:firstLine="518"/>
        <w:rPr>
          <w:rFonts w:ascii="宋体" w:hAnsi="宋体" w:cs="宋体"/>
          <w:color w:val="auto"/>
          <w:spacing w:val="-8"/>
          <w:sz w:val="24"/>
          <w:szCs w:val="24"/>
          <w:highlight w:val="none"/>
        </w:rPr>
      </w:pPr>
      <w:r>
        <w:rPr>
          <w:rFonts w:ascii="宋体" w:hAnsi="宋体" w:cs="宋体"/>
          <w:color w:val="auto"/>
          <w:spacing w:val="-12"/>
          <w:sz w:val="24"/>
          <w:szCs w:val="24"/>
          <w:highlight w:val="none"/>
        </w:rPr>
        <w:t>锅炉运行过程会产生一定量排污水，根据《工业锅炉房设计手册》，定期排污</w:t>
      </w:r>
      <w:r>
        <w:rPr>
          <w:rFonts w:ascii="宋体" w:hAnsi="宋体" w:cs="宋体"/>
          <w:color w:val="auto"/>
          <w:spacing w:val="-8"/>
          <w:sz w:val="24"/>
          <w:szCs w:val="24"/>
          <w:highlight w:val="none"/>
        </w:rPr>
        <w:t>水量由下式计算：</w:t>
      </w:r>
    </w:p>
    <w:p>
      <w:pPr>
        <w:spacing w:line="360" w:lineRule="auto"/>
        <w:ind w:firstLine="518"/>
        <w:rPr>
          <w:rFonts w:ascii="宋体" w:hAnsi="宋体" w:cs="宋体"/>
          <w:color w:val="auto"/>
          <w:spacing w:val="-8"/>
          <w:sz w:val="24"/>
          <w:szCs w:val="24"/>
          <w:highlight w:val="none"/>
        </w:rPr>
      </w:pPr>
    </w:p>
    <w:p>
      <w:pPr>
        <w:pStyle w:val="2"/>
        <w:jc w:val="center"/>
        <w:rPr>
          <w:rFonts w:hint="eastAsia" w:eastAsia="宋体"/>
          <w:color w:val="auto"/>
          <w:highlight w:val="none"/>
        </w:rPr>
      </w:pPr>
      <w:r>
        <w:rPr>
          <w:rFonts w:hint="eastAsia" w:eastAsia="宋体"/>
          <w:color w:val="auto"/>
          <w:highlight w:val="none"/>
        </w:rPr>
        <w:drawing>
          <wp:anchor distT="0" distB="0" distL="114300" distR="114300" simplePos="0" relativeHeight="251660288" behindDoc="1" locked="0" layoutInCell="1" allowOverlap="1">
            <wp:simplePos x="0" y="0"/>
            <wp:positionH relativeFrom="column">
              <wp:posOffset>1712595</wp:posOffset>
            </wp:positionH>
            <wp:positionV relativeFrom="paragraph">
              <wp:posOffset>-487680</wp:posOffset>
            </wp:positionV>
            <wp:extent cx="2148205" cy="601980"/>
            <wp:effectExtent l="0" t="0" r="4445" b="7620"/>
            <wp:wrapThrough wrapText="bothSides">
              <wp:wrapPolygon>
                <wp:start x="0" y="0"/>
                <wp:lineTo x="0" y="21190"/>
                <wp:lineTo x="21453" y="21190"/>
                <wp:lineTo x="21453" y="0"/>
                <wp:lineTo x="0" y="0"/>
              </wp:wrapPolygon>
            </wp:wrapThrough>
            <wp:docPr id="21" name="图片 11" descr="1650787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1650787667(1)"/>
                    <pic:cNvPicPr>
                      <a:picLocks noChangeAspect="1"/>
                    </pic:cNvPicPr>
                  </pic:nvPicPr>
                  <pic:blipFill>
                    <a:blip r:embed="rId49"/>
                    <a:stretch>
                      <a:fillRect/>
                    </a:stretch>
                  </pic:blipFill>
                  <pic:spPr>
                    <a:xfrm>
                      <a:off x="0" y="0"/>
                      <a:ext cx="2148205" cy="601980"/>
                    </a:xfrm>
                    <a:prstGeom prst="rect">
                      <a:avLst/>
                    </a:prstGeom>
                    <a:noFill/>
                    <a:ln>
                      <a:noFill/>
                    </a:ln>
                  </pic:spPr>
                </pic:pic>
              </a:graphicData>
            </a:graphic>
          </wp:anchor>
        </w:drawing>
      </w:r>
    </w:p>
    <w:p>
      <w:pPr>
        <w:spacing w:line="360" w:lineRule="auto"/>
        <w:ind w:firstLine="420" w:firstLineChars="200"/>
        <w:rPr>
          <w:color w:val="auto"/>
          <w:sz w:val="24"/>
          <w:szCs w:val="24"/>
          <w:highlight w:val="none"/>
          <w:lang w:val="de-DE"/>
        </w:rPr>
      </w:pPr>
      <w:r>
        <w:rPr>
          <w:rFonts w:ascii="宋体" w:hAnsi="宋体" w:cs="宋体"/>
          <w:color w:val="auto"/>
          <w:spacing w:val="-5"/>
          <w:w w:val="92"/>
          <w:sz w:val="24"/>
          <w:szCs w:val="24"/>
          <w:highlight w:val="none"/>
        </w:rPr>
        <w:t>式中</w:t>
      </w:r>
      <w:r>
        <w:rPr>
          <w:color w:val="auto"/>
          <w:sz w:val="24"/>
          <w:szCs w:val="24"/>
          <w:highlight w:val="none"/>
          <w:lang w:val="de-DE"/>
        </w:rPr>
        <w:t>：G—定期排污水量，m</w:t>
      </w:r>
      <w:r>
        <w:rPr>
          <w:color w:val="auto"/>
          <w:sz w:val="24"/>
          <w:szCs w:val="24"/>
          <w:highlight w:val="none"/>
          <w:vertAlign w:val="superscript"/>
          <w:lang w:val="de-DE"/>
        </w:rPr>
        <w:t>3</w:t>
      </w:r>
      <w:r>
        <w:rPr>
          <w:color w:val="auto"/>
          <w:sz w:val="24"/>
          <w:szCs w:val="24"/>
          <w:highlight w:val="none"/>
          <w:lang w:val="de-DE"/>
        </w:rPr>
        <w:t>/次·台；</w:t>
      </w:r>
    </w:p>
    <w:p>
      <w:pPr>
        <w:spacing w:line="360" w:lineRule="auto"/>
        <w:ind w:right="538" w:firstLine="960" w:firstLineChars="400"/>
        <w:rPr>
          <w:color w:val="auto"/>
          <w:sz w:val="24"/>
          <w:szCs w:val="24"/>
          <w:highlight w:val="none"/>
          <w:lang w:val="de-DE"/>
        </w:rPr>
      </w:pPr>
      <w:r>
        <w:rPr>
          <w:color w:val="auto"/>
          <w:sz w:val="24"/>
          <w:szCs w:val="24"/>
          <w:highlight w:val="none"/>
          <w:lang w:val="de-DE"/>
        </w:rPr>
        <w:t>D</w:t>
      </w:r>
      <w:r>
        <w:rPr>
          <w:color w:val="auto"/>
          <w:sz w:val="24"/>
          <w:szCs w:val="24"/>
          <w:highlight w:val="none"/>
          <w:vertAlign w:val="subscript"/>
          <w:lang w:val="de-DE"/>
        </w:rPr>
        <w:t>p</w:t>
      </w:r>
      <w:r>
        <w:rPr>
          <w:color w:val="auto"/>
          <w:sz w:val="24"/>
          <w:szCs w:val="24"/>
          <w:highlight w:val="none"/>
          <w:lang w:val="de-DE"/>
        </w:rPr>
        <w:t>—定期排污在沉淀池内经扩散后的污水量，m</w:t>
      </w:r>
      <w:r>
        <w:rPr>
          <w:color w:val="auto"/>
          <w:sz w:val="24"/>
          <w:szCs w:val="24"/>
          <w:highlight w:val="none"/>
          <w:vertAlign w:val="superscript"/>
          <w:lang w:val="de-DE"/>
        </w:rPr>
        <w:t>3</w:t>
      </w:r>
      <w:r>
        <w:rPr>
          <w:color w:val="auto"/>
          <w:sz w:val="24"/>
          <w:szCs w:val="24"/>
          <w:highlight w:val="none"/>
          <w:lang w:val="de-DE"/>
        </w:rPr>
        <w:t>/次·台，取0.15；</w:t>
      </w:r>
    </w:p>
    <w:p>
      <w:pPr>
        <w:spacing w:line="360" w:lineRule="auto"/>
        <w:ind w:right="538" w:firstLine="960" w:firstLineChars="400"/>
        <w:rPr>
          <w:color w:val="auto"/>
          <w:sz w:val="24"/>
          <w:szCs w:val="24"/>
          <w:highlight w:val="none"/>
          <w:lang w:val="de-DE"/>
        </w:rPr>
      </w:pPr>
      <w:r>
        <w:rPr>
          <w:color w:val="auto"/>
          <w:sz w:val="24"/>
          <w:szCs w:val="24"/>
          <w:highlight w:val="none"/>
          <w:lang w:val="de-DE"/>
        </w:rPr>
        <w:t>T</w:t>
      </w:r>
      <w:r>
        <w:rPr>
          <w:color w:val="auto"/>
          <w:sz w:val="24"/>
          <w:szCs w:val="24"/>
          <w:highlight w:val="none"/>
          <w:vertAlign w:val="subscript"/>
          <w:lang w:val="de-DE"/>
        </w:rPr>
        <w:t>p</w:t>
      </w:r>
      <w:r>
        <w:rPr>
          <w:color w:val="auto"/>
          <w:sz w:val="24"/>
          <w:szCs w:val="24"/>
          <w:highlight w:val="none"/>
          <w:lang w:val="de-DE"/>
        </w:rPr>
        <w:t>—排污水温度，取95℃；</w:t>
      </w:r>
    </w:p>
    <w:p>
      <w:pPr>
        <w:spacing w:line="360" w:lineRule="auto"/>
        <w:ind w:firstLine="960" w:firstLineChars="400"/>
        <w:rPr>
          <w:color w:val="auto"/>
          <w:sz w:val="24"/>
          <w:szCs w:val="24"/>
          <w:highlight w:val="none"/>
          <w:lang w:val="de-DE"/>
        </w:rPr>
      </w:pPr>
      <w:r>
        <w:rPr>
          <w:color w:val="auto"/>
          <w:sz w:val="24"/>
          <w:szCs w:val="24"/>
          <w:highlight w:val="none"/>
          <w:lang w:val="de-DE"/>
        </w:rPr>
        <w:t>T</w:t>
      </w:r>
      <w:r>
        <w:rPr>
          <w:color w:val="auto"/>
          <w:sz w:val="24"/>
          <w:szCs w:val="24"/>
          <w:highlight w:val="none"/>
          <w:vertAlign w:val="subscript"/>
          <w:lang w:val="de-DE"/>
        </w:rPr>
        <w:t>0</w:t>
      </w:r>
      <w:r>
        <w:rPr>
          <w:color w:val="auto"/>
          <w:sz w:val="24"/>
          <w:szCs w:val="24"/>
          <w:highlight w:val="none"/>
          <w:lang w:val="de-DE"/>
        </w:rPr>
        <w:t>—冷却水温度，取2</w:t>
      </w:r>
      <w:r>
        <w:rPr>
          <w:rFonts w:hint="eastAsia"/>
          <w:color w:val="auto"/>
          <w:sz w:val="24"/>
          <w:szCs w:val="24"/>
          <w:highlight w:val="none"/>
          <w:lang w:val="en-US" w:eastAsia="zh-CN"/>
        </w:rPr>
        <w:t>5</w:t>
      </w:r>
      <w:r>
        <w:rPr>
          <w:color w:val="auto"/>
          <w:sz w:val="24"/>
          <w:szCs w:val="24"/>
          <w:highlight w:val="none"/>
          <w:lang w:val="de-DE"/>
        </w:rPr>
        <w:t>℃。</w:t>
      </w:r>
    </w:p>
    <w:p>
      <w:pPr>
        <w:pStyle w:val="62"/>
        <w:jc w:val="both"/>
        <w:rPr>
          <w:rFonts w:ascii="Times New Roman" w:hAnsi="Times New Roman"/>
          <w:color w:val="0000FF"/>
          <w:kern w:val="2"/>
          <w:highlight w:val="none"/>
          <w:lang w:val="de-DE"/>
        </w:rPr>
      </w:pPr>
      <w:r>
        <w:rPr>
          <w:rFonts w:ascii="Times New Roman" w:hAnsi="Times New Roman"/>
          <w:color w:val="0000FF"/>
          <w:kern w:val="2"/>
          <w:highlight w:val="none"/>
          <w:lang w:val="de-DE"/>
        </w:rPr>
        <w:t>锅炉每天排污3次，则锅炉产生排污水1.</w:t>
      </w:r>
      <w:r>
        <w:rPr>
          <w:rFonts w:hint="eastAsia" w:ascii="Times New Roman" w:hAnsi="Times New Roman"/>
          <w:color w:val="0000FF"/>
          <w:kern w:val="2"/>
          <w:highlight w:val="none"/>
          <w:lang w:val="en-US" w:eastAsia="zh-CN"/>
        </w:rPr>
        <w:t>7</w:t>
      </w:r>
      <w:r>
        <w:rPr>
          <w:rFonts w:ascii="Times New Roman" w:hAnsi="Times New Roman"/>
          <w:color w:val="0000FF"/>
          <w:kern w:val="2"/>
          <w:highlight w:val="none"/>
          <w:lang w:val="de-DE"/>
        </w:rPr>
        <w:t>m</w:t>
      </w:r>
      <w:r>
        <w:rPr>
          <w:rFonts w:ascii="Times New Roman" w:hAnsi="Times New Roman"/>
          <w:color w:val="0000FF"/>
          <w:kern w:val="2"/>
          <w:highlight w:val="none"/>
          <w:vertAlign w:val="superscript"/>
          <w:lang w:val="de-DE"/>
        </w:rPr>
        <w:t>3</w:t>
      </w:r>
      <w:r>
        <w:rPr>
          <w:rFonts w:ascii="Times New Roman" w:hAnsi="Times New Roman"/>
          <w:color w:val="0000FF"/>
          <w:kern w:val="2"/>
          <w:highlight w:val="none"/>
          <w:lang w:val="de-DE"/>
        </w:rPr>
        <w:t>/d(</w:t>
      </w:r>
      <w:r>
        <w:rPr>
          <w:rFonts w:hint="eastAsia" w:ascii="Times New Roman" w:hAnsi="Times New Roman"/>
          <w:color w:val="0000FF"/>
          <w:kern w:val="2"/>
          <w:highlight w:val="none"/>
          <w:lang w:val="en-US" w:eastAsia="zh-CN"/>
        </w:rPr>
        <w:t>306</w:t>
      </w:r>
      <w:r>
        <w:rPr>
          <w:rFonts w:ascii="Times New Roman" w:hAnsi="Times New Roman"/>
          <w:color w:val="0000FF"/>
          <w:kern w:val="2"/>
          <w:highlight w:val="none"/>
          <w:lang w:val="de-DE"/>
        </w:rPr>
        <w:t>m</w:t>
      </w:r>
      <w:r>
        <w:rPr>
          <w:rFonts w:ascii="Times New Roman" w:hAnsi="Times New Roman"/>
          <w:color w:val="0000FF"/>
          <w:kern w:val="2"/>
          <w:highlight w:val="none"/>
          <w:vertAlign w:val="superscript"/>
          <w:lang w:val="de-DE"/>
        </w:rPr>
        <w:t>3</w:t>
      </w:r>
      <w:r>
        <w:rPr>
          <w:rFonts w:ascii="Times New Roman" w:hAnsi="Times New Roman"/>
          <w:color w:val="0000FF"/>
          <w:kern w:val="2"/>
          <w:highlight w:val="none"/>
          <w:lang w:val="de-DE"/>
        </w:rPr>
        <w:t>/a)，</w:t>
      </w:r>
      <w:r>
        <w:rPr>
          <w:rFonts w:hint="eastAsia" w:ascii="Times New Roman" w:hAnsi="Times New Roman"/>
          <w:color w:val="0000FF"/>
          <w:kern w:val="2"/>
          <w:highlight w:val="none"/>
          <w:lang w:val="de-DE"/>
        </w:rPr>
        <w:t>该水主要污染物为pH、CODcr、SS等，</w:t>
      </w:r>
      <w:r>
        <w:rPr>
          <w:rFonts w:ascii="Times New Roman" w:hAnsi="Times New Roman"/>
          <w:color w:val="0000FF"/>
          <w:kern w:val="2"/>
          <w:highlight w:val="none"/>
          <w:lang w:val="de-DE"/>
        </w:rPr>
        <w:t>全部排入厂区沉淀池一并冷却，处理后可用于</w:t>
      </w:r>
      <w:r>
        <w:rPr>
          <w:rFonts w:hint="eastAsia" w:ascii="Times New Roman" w:hAnsi="Times New Roman"/>
          <w:color w:val="0000FF"/>
          <w:kern w:val="2"/>
          <w:highlight w:val="none"/>
          <w:lang w:val="de-DE"/>
        </w:rPr>
        <w:t>锅炉房灰渣调湿降尘处理，不外排</w:t>
      </w:r>
      <w:r>
        <w:rPr>
          <w:rFonts w:ascii="Times New Roman" w:hAnsi="Times New Roman"/>
          <w:color w:val="0000FF"/>
          <w:kern w:val="2"/>
          <w:highlight w:val="none"/>
          <w:lang w:val="de-DE"/>
        </w:rPr>
        <w:t>。</w:t>
      </w:r>
      <w:r>
        <w:rPr>
          <w:rFonts w:hint="eastAsia" w:ascii="Times New Roman" w:hAnsi="Times New Roman"/>
          <w:color w:val="0000FF"/>
          <w:kern w:val="2"/>
          <w:highlight w:val="none"/>
          <w:lang w:val="de-DE"/>
        </w:rPr>
        <w:t>锅炉酸洗废水为非经常性排水，采用中和、沉淀处理</w:t>
      </w:r>
      <w:r>
        <w:rPr>
          <w:rFonts w:ascii="Times New Roman" w:hAnsi="Times New Roman"/>
          <w:color w:val="0000FF"/>
          <w:kern w:val="2"/>
          <w:highlight w:val="none"/>
          <w:lang w:val="de-DE"/>
        </w:rPr>
        <w:t>后</w:t>
      </w:r>
      <w:r>
        <w:rPr>
          <w:rFonts w:hint="eastAsia" w:ascii="Times New Roman" w:hAnsi="Times New Roman"/>
          <w:color w:val="0000FF"/>
          <w:kern w:val="2"/>
          <w:highlight w:val="none"/>
          <w:lang w:val="de-DE" w:eastAsia="zh-CN"/>
        </w:rPr>
        <w:t>，也</w:t>
      </w:r>
      <w:r>
        <w:rPr>
          <w:rFonts w:ascii="Times New Roman" w:hAnsi="Times New Roman"/>
          <w:color w:val="0000FF"/>
          <w:kern w:val="2"/>
          <w:highlight w:val="none"/>
          <w:lang w:val="de-DE"/>
        </w:rPr>
        <w:t>用于</w:t>
      </w:r>
      <w:r>
        <w:rPr>
          <w:rFonts w:hint="eastAsia" w:ascii="Times New Roman" w:hAnsi="Times New Roman"/>
          <w:color w:val="0000FF"/>
          <w:kern w:val="2"/>
          <w:highlight w:val="none"/>
          <w:lang w:val="de-DE"/>
        </w:rPr>
        <w:t>锅炉房灰渣调湿降尘处理，不外排</w:t>
      </w:r>
      <w:r>
        <w:rPr>
          <w:rFonts w:ascii="Times New Roman" w:hAnsi="Times New Roman"/>
          <w:color w:val="0000FF"/>
          <w:kern w:val="2"/>
          <w:highlight w:val="none"/>
          <w:lang w:val="de-DE"/>
        </w:rPr>
        <w:t>。</w:t>
      </w:r>
    </w:p>
    <w:p>
      <w:pPr>
        <w:pStyle w:val="62"/>
        <w:jc w:val="both"/>
        <w:rPr>
          <w:rFonts w:ascii="Times New Roman" w:hAnsi="Times New Roman"/>
          <w:color w:val="0000FF"/>
          <w:kern w:val="2"/>
          <w:highlight w:val="none"/>
          <w:lang w:val="de-DE"/>
        </w:rPr>
      </w:pPr>
      <w:r>
        <w:rPr>
          <w:rFonts w:hint="eastAsia" w:ascii="Times New Roman" w:hAnsi="Times New Roman"/>
          <w:color w:val="0000FF"/>
          <w:kern w:val="2"/>
          <w:highlight w:val="none"/>
          <w:lang w:val="de-DE"/>
        </w:rPr>
        <w:t>（</w:t>
      </w:r>
      <w:r>
        <w:rPr>
          <w:rFonts w:hint="eastAsia" w:ascii="Times New Roman" w:hAnsi="Times New Roman"/>
          <w:color w:val="0000FF"/>
          <w:kern w:val="2"/>
          <w:highlight w:val="none"/>
          <w:lang w:val="en-US" w:eastAsia="zh-CN"/>
        </w:rPr>
        <w:t>2</w:t>
      </w:r>
      <w:r>
        <w:rPr>
          <w:rFonts w:hint="eastAsia" w:ascii="Times New Roman" w:hAnsi="Times New Roman"/>
          <w:color w:val="0000FF"/>
          <w:kern w:val="2"/>
          <w:highlight w:val="none"/>
          <w:lang w:val="de-DE"/>
        </w:rPr>
        <w:t>）软化及除氧装置排水</w:t>
      </w:r>
    </w:p>
    <w:p>
      <w:pPr>
        <w:pStyle w:val="62"/>
        <w:jc w:val="both"/>
        <w:rPr>
          <w:rFonts w:ascii="Times New Roman" w:hAnsi="Times New Roman"/>
          <w:color w:val="0000FF"/>
          <w:kern w:val="2"/>
          <w:highlight w:val="none"/>
          <w:lang w:val="de-DE"/>
        </w:rPr>
      </w:pPr>
      <w:r>
        <w:rPr>
          <w:rFonts w:hint="eastAsia" w:ascii="Times New Roman" w:hAnsi="Times New Roman"/>
          <w:color w:val="0000FF"/>
          <w:kern w:val="2"/>
          <w:highlight w:val="none"/>
          <w:lang w:val="de-DE"/>
        </w:rPr>
        <w:t>锅炉软水制备系统会有一定量的离子交换树脂再生水，废水量按照总水量的10%计算，则树脂再生废水产生量约为</w:t>
      </w:r>
      <w:r>
        <w:rPr>
          <w:rFonts w:hint="eastAsia" w:ascii="Times New Roman" w:hAnsi="Times New Roman"/>
          <w:color w:val="0000FF"/>
          <w:kern w:val="2"/>
          <w:highlight w:val="none"/>
          <w:lang w:val="en-US" w:eastAsia="zh-CN"/>
        </w:rPr>
        <w:t>21.3</w:t>
      </w:r>
      <w:r>
        <w:rPr>
          <w:rFonts w:hint="eastAsia" w:ascii="Times New Roman" w:hAnsi="Times New Roman"/>
          <w:color w:val="0000FF"/>
          <w:kern w:val="2"/>
          <w:highlight w:val="none"/>
          <w:lang w:val="de-DE"/>
        </w:rPr>
        <w:t>m</w:t>
      </w:r>
      <w:r>
        <w:rPr>
          <w:rFonts w:hint="eastAsia" w:ascii="Times New Roman" w:hAnsi="Times New Roman"/>
          <w:color w:val="0000FF"/>
          <w:kern w:val="2"/>
          <w:highlight w:val="none"/>
          <w:vertAlign w:val="superscript"/>
          <w:lang w:val="de-DE"/>
        </w:rPr>
        <w:t>3</w:t>
      </w:r>
      <w:r>
        <w:rPr>
          <w:rFonts w:hint="eastAsia" w:ascii="Times New Roman" w:hAnsi="Times New Roman"/>
          <w:color w:val="0000FF"/>
          <w:kern w:val="2"/>
          <w:highlight w:val="none"/>
          <w:lang w:val="de-DE"/>
        </w:rPr>
        <w:t>/d。该水主要污染物为pH、CODcr、SS等，</w:t>
      </w:r>
      <w:r>
        <w:rPr>
          <w:rFonts w:hint="eastAsia" w:ascii="Times New Roman" w:hAnsi="Times New Roman"/>
          <w:color w:val="0000FF"/>
          <w:kern w:val="2"/>
          <w:highlight w:val="none"/>
          <w:lang w:val="de-DE" w:eastAsia="zh-CN"/>
        </w:rPr>
        <w:t>污染物浓度低，</w:t>
      </w:r>
      <w:r>
        <w:rPr>
          <w:rFonts w:hint="eastAsia" w:ascii="Times New Roman" w:hAnsi="Times New Roman"/>
          <w:color w:val="0000FF"/>
          <w:kern w:val="2"/>
          <w:highlight w:val="none"/>
          <w:lang w:val="de-DE"/>
        </w:rPr>
        <w:t>属于清净下水，经防渗收集池收集后用于锅炉房灰渣调湿降尘处理，不外排。</w:t>
      </w:r>
    </w:p>
    <w:p>
      <w:pPr>
        <w:bidi w:val="0"/>
        <w:rPr>
          <w:color w:val="auto"/>
          <w:highlight w:val="none"/>
          <w:lang w:val="de-DE"/>
        </w:rPr>
      </w:pPr>
      <w:r>
        <w:rPr>
          <w:rFonts w:hint="eastAsia"/>
          <w:color w:val="auto"/>
          <w:highlight w:val="none"/>
          <w:lang w:val="de-DE"/>
        </w:rPr>
        <w:t>（</w:t>
      </w:r>
      <w:r>
        <w:rPr>
          <w:rFonts w:hint="eastAsia"/>
          <w:color w:val="auto"/>
          <w:highlight w:val="none"/>
          <w:lang w:val="en-US" w:eastAsia="zh-CN"/>
        </w:rPr>
        <w:t>3</w:t>
      </w:r>
      <w:r>
        <w:rPr>
          <w:rFonts w:hint="eastAsia"/>
          <w:color w:val="auto"/>
          <w:highlight w:val="none"/>
          <w:lang w:val="de-DE"/>
        </w:rPr>
        <w:t>）</w:t>
      </w:r>
      <w:r>
        <w:rPr>
          <w:color w:val="auto"/>
          <w:highlight w:val="none"/>
          <w:lang w:val="de-DE"/>
        </w:rPr>
        <w:t>循环冷却系统用水</w:t>
      </w:r>
    </w:p>
    <w:p>
      <w:pPr>
        <w:bidi w:val="0"/>
        <w:rPr>
          <w:color w:val="auto"/>
          <w:highlight w:val="none"/>
          <w:lang w:val="de-DE"/>
        </w:rPr>
      </w:pPr>
      <w:r>
        <w:rPr>
          <w:color w:val="auto"/>
          <w:highlight w:val="none"/>
          <w:lang w:val="de-DE"/>
        </w:rPr>
        <w:t>锅炉循环冷却系统水耗主要为煤闸板冷却水耗、引风机轴冷却水、炉排风机冷却用水等，经设计核算：总耗水量约</w:t>
      </w:r>
      <w:r>
        <w:rPr>
          <w:rFonts w:hint="eastAsia"/>
          <w:color w:val="auto"/>
          <w:highlight w:val="none"/>
        </w:rPr>
        <w:t>10</w:t>
      </w:r>
      <w:r>
        <w:rPr>
          <w:color w:val="auto"/>
          <w:highlight w:val="none"/>
          <w:lang w:val="de-DE"/>
        </w:rPr>
        <w:t>m</w:t>
      </w:r>
      <w:r>
        <w:rPr>
          <w:color w:val="auto"/>
          <w:highlight w:val="none"/>
          <w:vertAlign w:val="superscript"/>
          <w:lang w:val="de-DE"/>
        </w:rPr>
        <w:t>3</w:t>
      </w:r>
      <w:r>
        <w:rPr>
          <w:color w:val="auto"/>
          <w:highlight w:val="none"/>
          <w:lang w:val="de-DE"/>
        </w:rPr>
        <w:t>/d；冷却系统排污水约占冷却系统总耗水量水的1%，即</w:t>
      </w:r>
      <w:r>
        <w:rPr>
          <w:rFonts w:hint="eastAsia"/>
          <w:color w:val="auto"/>
          <w:highlight w:val="none"/>
        </w:rPr>
        <w:t>1</w:t>
      </w:r>
      <w:r>
        <w:rPr>
          <w:color w:val="auto"/>
          <w:highlight w:val="none"/>
          <w:lang w:val="de-DE"/>
        </w:rPr>
        <w:t>m</w:t>
      </w:r>
      <w:r>
        <w:rPr>
          <w:color w:val="auto"/>
          <w:highlight w:val="none"/>
          <w:vertAlign w:val="superscript"/>
          <w:lang w:val="de-DE"/>
        </w:rPr>
        <w:t>3</w:t>
      </w:r>
      <w:r>
        <w:rPr>
          <w:color w:val="auto"/>
          <w:highlight w:val="none"/>
          <w:lang w:val="de-DE"/>
        </w:rPr>
        <w:t>/d，主要经沉淀池处理后回用</w:t>
      </w:r>
      <w:r>
        <w:rPr>
          <w:rFonts w:hint="eastAsia" w:ascii="Times New Roman" w:hAnsi="Times New Roman"/>
          <w:color w:val="auto"/>
          <w:kern w:val="2"/>
          <w:highlight w:val="none"/>
          <w:lang w:val="de-DE"/>
        </w:rPr>
        <w:t>锅炉房灰渣调湿降尘处理，不外排</w:t>
      </w:r>
      <w:r>
        <w:rPr>
          <w:color w:val="auto"/>
          <w:highlight w:val="none"/>
          <w:lang w:val="de-DE"/>
        </w:rPr>
        <w:t>。</w:t>
      </w:r>
    </w:p>
    <w:p>
      <w:pPr>
        <w:pStyle w:val="62"/>
        <w:jc w:val="both"/>
        <w:rPr>
          <w:rFonts w:hint="eastAsia" w:ascii="Times New Roman" w:hAnsi="Times New Roman"/>
          <w:color w:val="auto"/>
          <w:kern w:val="2"/>
          <w:highlight w:val="none"/>
          <w:lang w:val="de-DE"/>
        </w:rPr>
      </w:pPr>
      <w:r>
        <w:rPr>
          <w:rFonts w:ascii="Times New Roman" w:hAnsi="Times New Roman"/>
          <w:color w:val="auto"/>
          <w:kern w:val="2"/>
          <w:highlight w:val="none"/>
          <w:lang w:val="de-DE"/>
        </w:rPr>
        <w:t>（</w:t>
      </w:r>
      <w:r>
        <w:rPr>
          <w:rFonts w:hint="eastAsia" w:ascii="Times New Roman" w:hAnsi="Times New Roman"/>
          <w:color w:val="auto"/>
          <w:kern w:val="2"/>
          <w:highlight w:val="none"/>
        </w:rPr>
        <w:t>4</w:t>
      </w:r>
      <w:r>
        <w:rPr>
          <w:rFonts w:ascii="Times New Roman" w:hAnsi="Times New Roman"/>
          <w:color w:val="auto"/>
          <w:kern w:val="2"/>
          <w:highlight w:val="none"/>
          <w:lang w:val="de-DE"/>
        </w:rPr>
        <w:t>）</w:t>
      </w:r>
      <w:r>
        <w:rPr>
          <w:rFonts w:hint="eastAsia" w:ascii="Times New Roman" w:hAnsi="Times New Roman"/>
          <w:color w:val="auto"/>
          <w:kern w:val="2"/>
          <w:highlight w:val="none"/>
          <w:lang w:val="de-DE"/>
        </w:rPr>
        <w:t>湿法</w:t>
      </w:r>
      <w:r>
        <w:rPr>
          <w:rFonts w:ascii="Times New Roman" w:hAnsi="Times New Roman"/>
          <w:color w:val="auto"/>
          <w:kern w:val="2"/>
          <w:highlight w:val="none"/>
          <w:lang w:val="de-DE"/>
        </w:rPr>
        <w:t>脱硫</w:t>
      </w:r>
      <w:r>
        <w:rPr>
          <w:rFonts w:hint="eastAsia" w:ascii="Times New Roman" w:hAnsi="Times New Roman"/>
          <w:color w:val="auto"/>
          <w:kern w:val="2"/>
          <w:highlight w:val="none"/>
          <w:lang w:val="de-DE"/>
        </w:rPr>
        <w:t>废水</w:t>
      </w:r>
    </w:p>
    <w:p>
      <w:pPr>
        <w:pStyle w:val="62"/>
        <w:jc w:val="both"/>
        <w:rPr>
          <w:rFonts w:ascii="Times New Roman" w:hAnsi="Times New Roman"/>
          <w:color w:val="auto"/>
          <w:kern w:val="2"/>
          <w:highlight w:val="none"/>
          <w:lang w:val="de-DE"/>
        </w:rPr>
      </w:pPr>
      <w:r>
        <w:rPr>
          <w:rFonts w:hint="default" w:ascii="Times New Roman" w:hAnsi="Times New Roman" w:cs="Times New Roman"/>
          <w:color w:val="auto"/>
          <w:spacing w:val="13"/>
          <w:w w:val="102"/>
          <w:sz w:val="24"/>
          <w:szCs w:val="24"/>
          <w:highlight w:val="none"/>
        </w:rPr>
        <w:t>本项目锅炉燃烧废气选用</w:t>
      </w:r>
      <w:r>
        <w:rPr>
          <w:rFonts w:hint="eastAsia" w:ascii="Times New Roman" w:hAnsi="Times New Roman" w:cs="Times New Roman"/>
          <w:color w:val="00B050"/>
          <w:spacing w:val="13"/>
          <w:w w:val="102"/>
          <w:sz w:val="24"/>
          <w:szCs w:val="24"/>
          <w:highlight w:val="none"/>
          <w:lang w:eastAsia="zh-CN"/>
        </w:rPr>
        <w:t>石灰石膏法</w:t>
      </w:r>
      <w:r>
        <w:rPr>
          <w:rFonts w:hint="default" w:ascii="Times New Roman" w:hAnsi="Times New Roman" w:cs="Times New Roman"/>
          <w:color w:val="auto"/>
          <w:spacing w:val="13"/>
          <w:w w:val="102"/>
          <w:sz w:val="24"/>
          <w:szCs w:val="24"/>
          <w:highlight w:val="none"/>
        </w:rPr>
        <w:t>脱硫工艺，</w:t>
      </w:r>
      <w:r>
        <w:rPr>
          <w:rFonts w:hint="default" w:ascii="Times New Roman" w:hAnsi="Times New Roman" w:cs="Times New Roman"/>
          <w:color w:val="auto"/>
          <w:spacing w:val="13"/>
          <w:w w:val="102"/>
          <w:sz w:val="24"/>
          <w:szCs w:val="24"/>
          <w:highlight w:val="none"/>
          <w:lang w:eastAsia="zh-CN"/>
        </w:rPr>
        <w:t>根据建设单位提供的资料，脱硫系统补水量约为10m</w:t>
      </w:r>
      <w:r>
        <w:rPr>
          <w:rFonts w:hint="default" w:ascii="Times New Roman" w:hAnsi="Times New Roman" w:cs="Times New Roman"/>
          <w:color w:val="auto"/>
          <w:spacing w:val="13"/>
          <w:w w:val="102"/>
          <w:sz w:val="24"/>
          <w:szCs w:val="24"/>
          <w:highlight w:val="none"/>
          <w:vertAlign w:val="superscript"/>
          <w:lang w:eastAsia="zh-CN"/>
        </w:rPr>
        <w:t>3</w:t>
      </w:r>
      <w:r>
        <w:rPr>
          <w:rFonts w:hint="default" w:ascii="Times New Roman" w:hAnsi="Times New Roman" w:cs="Times New Roman"/>
          <w:color w:val="auto"/>
          <w:spacing w:val="13"/>
          <w:w w:val="102"/>
          <w:sz w:val="24"/>
          <w:szCs w:val="24"/>
          <w:highlight w:val="none"/>
          <w:lang w:eastAsia="zh-CN"/>
        </w:rPr>
        <w:t>/d</w:t>
      </w:r>
      <w:r>
        <w:rPr>
          <w:rFonts w:hint="default" w:ascii="Times New Roman" w:hAnsi="Times New Roman" w:cs="Times New Roman"/>
          <w:color w:val="auto"/>
          <w:spacing w:val="13"/>
          <w:w w:val="102"/>
          <w:sz w:val="24"/>
          <w:szCs w:val="24"/>
          <w:highlight w:val="none"/>
        </w:rPr>
        <w:t>。</w:t>
      </w:r>
      <w:r>
        <w:rPr>
          <w:color w:val="auto"/>
          <w:spacing w:val="-5"/>
          <w:sz w:val="24"/>
          <w:szCs w:val="24"/>
          <w:highlight w:val="none"/>
        </w:rPr>
        <w:t>脱硫系统设置有中和沉淀池</w:t>
      </w:r>
      <w:r>
        <w:rPr>
          <w:rFonts w:hint="eastAsia"/>
          <w:color w:val="auto"/>
          <w:spacing w:val="-5"/>
          <w:sz w:val="24"/>
          <w:szCs w:val="24"/>
          <w:highlight w:val="none"/>
          <w:lang w:eastAsia="zh-CN"/>
        </w:rPr>
        <w:t>、</w:t>
      </w:r>
      <w:r>
        <w:rPr>
          <w:color w:val="auto"/>
          <w:spacing w:val="-5"/>
          <w:sz w:val="24"/>
          <w:szCs w:val="24"/>
          <w:highlight w:val="none"/>
        </w:rPr>
        <w:t>循环池，脱硫废水经中和、沉淀池处理后回用。</w:t>
      </w:r>
    </w:p>
    <w:p>
      <w:pPr>
        <w:pStyle w:val="62"/>
        <w:jc w:val="both"/>
        <w:rPr>
          <w:rFonts w:ascii="Times New Roman" w:hAnsi="Times New Roman"/>
          <w:color w:val="auto"/>
          <w:kern w:val="2"/>
          <w:highlight w:val="none"/>
          <w:lang w:val="de-DE"/>
        </w:rPr>
      </w:pPr>
      <w:r>
        <w:rPr>
          <w:rFonts w:hint="eastAsia" w:ascii="Times New Roman" w:hAnsi="Times New Roman"/>
          <w:color w:val="auto"/>
          <w:kern w:val="2"/>
          <w:highlight w:val="none"/>
          <w:lang w:val="de-DE"/>
        </w:rPr>
        <w:t>（</w:t>
      </w:r>
      <w:r>
        <w:rPr>
          <w:rFonts w:hint="eastAsia" w:ascii="Times New Roman" w:hAnsi="Times New Roman"/>
          <w:color w:val="auto"/>
          <w:kern w:val="2"/>
          <w:highlight w:val="none"/>
          <w:lang w:val="en-US" w:eastAsia="zh-CN"/>
        </w:rPr>
        <w:t>5</w:t>
      </w:r>
      <w:r>
        <w:rPr>
          <w:rFonts w:hint="eastAsia" w:ascii="Times New Roman" w:hAnsi="Times New Roman"/>
          <w:color w:val="auto"/>
          <w:kern w:val="2"/>
          <w:highlight w:val="none"/>
          <w:lang w:val="de-DE"/>
        </w:rPr>
        <w:t>）</w:t>
      </w:r>
      <w:r>
        <w:rPr>
          <w:rFonts w:ascii="Times New Roman" w:hAnsi="Times New Roman"/>
          <w:color w:val="auto"/>
          <w:kern w:val="2"/>
          <w:highlight w:val="none"/>
          <w:lang w:val="de-DE"/>
        </w:rPr>
        <w:t>生活用水</w:t>
      </w:r>
    </w:p>
    <w:p>
      <w:pPr>
        <w:bidi w:val="0"/>
        <w:rPr>
          <w:rFonts w:hint="eastAsia" w:ascii="Times New Roman" w:hAnsi="Times New Roman"/>
          <w:color w:val="auto"/>
          <w:kern w:val="2"/>
          <w:highlight w:val="none"/>
          <w:lang w:val="de-DE" w:eastAsia="zh-CN"/>
        </w:rPr>
      </w:pPr>
      <w:r>
        <w:rPr>
          <w:rFonts w:hint="eastAsia" w:ascii="Times New Roman" w:hAnsi="Times New Roman"/>
          <w:color w:val="auto"/>
          <w:kern w:val="2"/>
          <w:highlight w:val="none"/>
          <w:lang w:val="de-DE" w:eastAsia="zh-CN"/>
        </w:rPr>
        <w:t>本项目</w:t>
      </w:r>
      <w:r>
        <w:rPr>
          <w:rFonts w:hint="eastAsia"/>
          <w:color w:val="auto"/>
          <w:kern w:val="2"/>
          <w:highlight w:val="none"/>
          <w:lang w:val="de-DE" w:eastAsia="zh-CN"/>
        </w:rPr>
        <w:t>无新增</w:t>
      </w:r>
      <w:r>
        <w:rPr>
          <w:rFonts w:hint="eastAsia" w:ascii="Times New Roman" w:hAnsi="Times New Roman"/>
          <w:color w:val="auto"/>
          <w:kern w:val="2"/>
          <w:highlight w:val="none"/>
          <w:lang w:val="de-DE" w:eastAsia="zh-CN"/>
        </w:rPr>
        <w:t>劳动定员</w:t>
      </w:r>
      <w:r>
        <w:rPr>
          <w:rFonts w:hint="eastAsia"/>
          <w:color w:val="auto"/>
          <w:kern w:val="2"/>
          <w:highlight w:val="none"/>
          <w:lang w:val="de-DE" w:eastAsia="zh-CN"/>
        </w:rPr>
        <w:t>，仍依托原有员工，无新增生活用水。</w:t>
      </w:r>
    </w:p>
    <w:p>
      <w:pPr>
        <w:pStyle w:val="6"/>
        <w:bidi w:val="0"/>
        <w:ind w:left="0" w:leftChars="0" w:firstLine="0" w:firstLineChars="0"/>
        <w:rPr>
          <w:color w:val="auto"/>
          <w:highlight w:val="none"/>
        </w:rPr>
      </w:pPr>
      <w:r>
        <w:rPr>
          <w:rFonts w:hint="eastAsia"/>
          <w:color w:val="auto"/>
          <w:highlight w:val="none"/>
          <w:lang w:val="en-US" w:eastAsia="zh-CN"/>
        </w:rPr>
        <w:t xml:space="preserve">3.3.4 </w:t>
      </w:r>
      <w:r>
        <w:rPr>
          <w:rFonts w:hint="eastAsia"/>
          <w:color w:val="auto"/>
          <w:highlight w:val="none"/>
        </w:rPr>
        <w:t>运营期固废污染物</w:t>
      </w:r>
    </w:p>
    <w:p>
      <w:pPr>
        <w:widowControl/>
        <w:spacing w:line="360" w:lineRule="auto"/>
        <w:ind w:firstLine="480" w:firstLineChars="200"/>
        <w:rPr>
          <w:color w:val="auto"/>
          <w:sz w:val="24"/>
          <w:szCs w:val="24"/>
          <w:highlight w:val="none"/>
          <w:lang w:val="de-DE"/>
        </w:rPr>
      </w:pPr>
      <w:r>
        <w:rPr>
          <w:color w:val="auto"/>
          <w:sz w:val="24"/>
          <w:szCs w:val="24"/>
          <w:highlight w:val="none"/>
          <w:lang w:val="de-DE"/>
        </w:rPr>
        <w:t>（1）</w:t>
      </w:r>
      <w:r>
        <w:rPr>
          <w:rFonts w:hint="eastAsia"/>
          <w:color w:val="auto"/>
          <w:sz w:val="24"/>
          <w:szCs w:val="24"/>
          <w:highlight w:val="none"/>
          <w:lang w:val="de-DE"/>
        </w:rPr>
        <w:t>灰渣</w:t>
      </w:r>
    </w:p>
    <w:p>
      <w:pPr>
        <w:widowControl/>
        <w:spacing w:line="360" w:lineRule="auto"/>
        <w:ind w:firstLine="480" w:firstLineChars="200"/>
        <w:rPr>
          <w:color w:val="auto"/>
          <w:sz w:val="24"/>
          <w:szCs w:val="24"/>
          <w:highlight w:val="none"/>
        </w:rPr>
      </w:pPr>
      <w:r>
        <w:rPr>
          <w:rFonts w:hint="eastAsia"/>
          <w:color w:val="auto"/>
          <w:sz w:val="24"/>
          <w:szCs w:val="24"/>
          <w:highlight w:val="none"/>
        </w:rPr>
        <w:t>根</w:t>
      </w:r>
      <w:r>
        <w:rPr>
          <w:color w:val="auto"/>
          <w:sz w:val="24"/>
          <w:szCs w:val="24"/>
          <w:highlight w:val="none"/>
        </w:rPr>
        <w:t>据《污染源源强核算技术指南锅炉》（HJ 991-2018）中的公式，锅炉运行过程的</w:t>
      </w:r>
      <w:r>
        <w:rPr>
          <w:rFonts w:hint="eastAsia"/>
          <w:color w:val="auto"/>
          <w:sz w:val="24"/>
          <w:szCs w:val="24"/>
          <w:highlight w:val="none"/>
        </w:rPr>
        <w:t>炉渣</w:t>
      </w:r>
      <w:r>
        <w:rPr>
          <w:color w:val="auto"/>
          <w:sz w:val="24"/>
          <w:szCs w:val="24"/>
          <w:highlight w:val="none"/>
        </w:rPr>
        <w:t>计算过程如下：</w:t>
      </w:r>
    </w:p>
    <w:p>
      <w:pPr>
        <w:spacing w:line="360" w:lineRule="auto"/>
        <w:ind w:firstLine="480" w:firstLineChars="200"/>
        <w:jc w:val="center"/>
        <w:rPr>
          <w:color w:val="auto"/>
          <w:sz w:val="24"/>
          <w:szCs w:val="24"/>
          <w:highlight w:val="none"/>
        </w:rPr>
      </w:pPr>
      <w:r>
        <w:rPr>
          <w:color w:val="auto"/>
          <w:highlight w:val="none"/>
        </w:rPr>
        <w:drawing>
          <wp:inline distT="0" distB="0" distL="114300" distR="114300">
            <wp:extent cx="2305050" cy="581025"/>
            <wp:effectExtent l="0" t="0" r="0"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0"/>
                    <a:stretch>
                      <a:fillRect/>
                    </a:stretch>
                  </pic:blipFill>
                  <pic:spPr>
                    <a:xfrm>
                      <a:off x="0" y="0"/>
                      <a:ext cx="2305050" cy="581025"/>
                    </a:xfrm>
                    <a:prstGeom prst="rect">
                      <a:avLst/>
                    </a:prstGeom>
                    <a:noFill/>
                    <a:ln>
                      <a:noFill/>
                    </a:ln>
                  </pic:spPr>
                </pic:pic>
              </a:graphicData>
            </a:graphic>
          </wp:inline>
        </w:drawing>
      </w:r>
    </w:p>
    <w:p>
      <w:pPr>
        <w:spacing w:line="360" w:lineRule="auto"/>
        <w:ind w:firstLine="480" w:firstLineChars="200"/>
        <w:jc w:val="left"/>
        <w:rPr>
          <w:color w:val="auto"/>
          <w:sz w:val="24"/>
          <w:szCs w:val="24"/>
          <w:highlight w:val="none"/>
        </w:rPr>
      </w:pPr>
      <w:r>
        <w:rPr>
          <w:color w:val="auto"/>
          <w:sz w:val="24"/>
          <w:szCs w:val="24"/>
          <w:highlight w:val="none"/>
        </w:rPr>
        <w:t>式中：E</w:t>
      </w:r>
      <w:r>
        <w:rPr>
          <w:color w:val="auto"/>
          <w:sz w:val="24"/>
          <w:szCs w:val="24"/>
          <w:highlight w:val="none"/>
          <w:vertAlign w:val="subscript"/>
        </w:rPr>
        <w:t>hz</w:t>
      </w:r>
      <w:r>
        <w:rPr>
          <w:color w:val="auto"/>
          <w:sz w:val="24"/>
          <w:szCs w:val="24"/>
          <w:highlight w:val="none"/>
        </w:rPr>
        <w:t>——核算时段内灰渣产生量，t；</w:t>
      </w:r>
    </w:p>
    <w:p>
      <w:pPr>
        <w:spacing w:line="360" w:lineRule="auto"/>
        <w:ind w:firstLine="480" w:firstLineChars="200"/>
        <w:jc w:val="left"/>
        <w:rPr>
          <w:color w:val="auto"/>
          <w:sz w:val="24"/>
          <w:szCs w:val="24"/>
          <w:highlight w:val="none"/>
        </w:rPr>
      </w:pPr>
      <w:r>
        <w:rPr>
          <w:color w:val="auto"/>
          <w:sz w:val="24"/>
          <w:szCs w:val="24"/>
          <w:highlight w:val="none"/>
        </w:rPr>
        <w:t xml:space="preserve">      R——核算时段内锅炉燃烧耗量，t；</w:t>
      </w:r>
    </w:p>
    <w:p>
      <w:pPr>
        <w:spacing w:line="360" w:lineRule="auto"/>
        <w:ind w:firstLine="480" w:firstLineChars="200"/>
        <w:jc w:val="left"/>
        <w:rPr>
          <w:color w:val="auto"/>
          <w:sz w:val="24"/>
          <w:szCs w:val="24"/>
          <w:highlight w:val="none"/>
        </w:rPr>
      </w:pPr>
      <w:r>
        <w:rPr>
          <w:color w:val="auto"/>
          <w:sz w:val="24"/>
          <w:szCs w:val="24"/>
          <w:highlight w:val="none"/>
        </w:rPr>
        <w:t xml:space="preserve">      A</w:t>
      </w:r>
      <w:r>
        <w:rPr>
          <w:color w:val="auto"/>
          <w:sz w:val="24"/>
          <w:szCs w:val="24"/>
          <w:highlight w:val="none"/>
          <w:vertAlign w:val="subscript"/>
        </w:rPr>
        <w:t>ar</w:t>
      </w:r>
      <w:r>
        <w:rPr>
          <w:color w:val="auto"/>
          <w:sz w:val="24"/>
          <w:szCs w:val="24"/>
          <w:highlight w:val="none"/>
        </w:rPr>
        <w:t>——收到基灰分的质量分数，%</w:t>
      </w:r>
    </w:p>
    <w:p>
      <w:pPr>
        <w:pStyle w:val="62"/>
        <w:jc w:val="both"/>
        <w:rPr>
          <w:rFonts w:ascii="Times New Roman" w:hAnsi="Times New Roman"/>
          <w:color w:val="auto"/>
          <w:kern w:val="2"/>
          <w:highlight w:val="none"/>
          <w:lang w:val="de-DE"/>
        </w:rPr>
      </w:pPr>
      <w:r>
        <w:rPr>
          <w:rFonts w:ascii="Times New Roman" w:hAnsi="Times New Roman"/>
          <w:color w:val="auto"/>
          <w:highlight w:val="none"/>
        </w:rPr>
        <w:t xml:space="preserve">      q</w:t>
      </w:r>
      <w:r>
        <w:rPr>
          <w:rFonts w:ascii="Times New Roman" w:hAnsi="Times New Roman"/>
          <w:color w:val="auto"/>
          <w:highlight w:val="none"/>
          <w:vertAlign w:val="subscript"/>
        </w:rPr>
        <w:t>4</w:t>
      </w:r>
      <w:r>
        <w:rPr>
          <w:rFonts w:ascii="Times New Roman" w:hAnsi="Times New Roman"/>
          <w:color w:val="auto"/>
          <w:highlight w:val="none"/>
        </w:rPr>
        <w:t>——锅炉</w:t>
      </w:r>
      <w:r>
        <w:rPr>
          <w:rFonts w:ascii="Times New Roman" w:hAnsi="Times New Roman"/>
          <w:color w:val="auto"/>
          <w:kern w:val="2"/>
          <w:highlight w:val="none"/>
          <w:lang w:val="de-DE"/>
        </w:rPr>
        <w:t>机械不完全燃烧热损失，%，取值10；</w:t>
      </w:r>
    </w:p>
    <w:p>
      <w:pPr>
        <w:pStyle w:val="62"/>
        <w:jc w:val="both"/>
        <w:rPr>
          <w:rFonts w:hint="eastAsia" w:ascii="Times New Roman" w:hAnsi="Times New Roman" w:eastAsia="宋体"/>
          <w:color w:val="auto"/>
          <w:kern w:val="2"/>
          <w:highlight w:val="none"/>
          <w:lang w:val="de-DE" w:eastAsia="zh-CN"/>
        </w:rPr>
      </w:pPr>
      <w:r>
        <w:rPr>
          <w:rFonts w:ascii="Times New Roman" w:hAnsi="Times New Roman"/>
          <w:color w:val="auto"/>
          <w:kern w:val="2"/>
          <w:highlight w:val="none"/>
          <w:lang w:val="de-DE"/>
        </w:rPr>
        <w:t xml:space="preserve">      Q</w:t>
      </w:r>
      <w:r>
        <w:rPr>
          <w:rFonts w:ascii="Times New Roman" w:hAnsi="Times New Roman"/>
          <w:color w:val="auto"/>
          <w:kern w:val="2"/>
          <w:highlight w:val="none"/>
          <w:vertAlign w:val="subscript"/>
          <w:lang w:val="de-DE"/>
        </w:rPr>
        <w:t>net,ar</w:t>
      </w:r>
      <w:r>
        <w:rPr>
          <w:rFonts w:ascii="Times New Roman" w:hAnsi="Times New Roman"/>
          <w:color w:val="auto"/>
          <w:highlight w:val="none"/>
        </w:rPr>
        <w:t>——</w:t>
      </w:r>
      <w:r>
        <w:rPr>
          <w:rFonts w:ascii="Times New Roman" w:hAnsi="Times New Roman"/>
          <w:color w:val="auto"/>
          <w:kern w:val="2"/>
          <w:highlight w:val="none"/>
          <w:lang w:val="de-DE"/>
        </w:rPr>
        <w:t>收到基低位发热量，kJ/kg</w:t>
      </w:r>
      <w:r>
        <w:rPr>
          <w:rFonts w:hint="eastAsia" w:ascii="Times New Roman" w:hAnsi="Times New Roman"/>
          <w:color w:val="auto"/>
          <w:kern w:val="2"/>
          <w:highlight w:val="none"/>
          <w:lang w:val="de-DE" w:eastAsia="zh-CN"/>
        </w:rPr>
        <w:t>。</w:t>
      </w:r>
    </w:p>
    <w:p>
      <w:pPr>
        <w:bidi w:val="0"/>
        <w:rPr>
          <w:color w:val="auto"/>
          <w:highlight w:val="none"/>
        </w:rPr>
      </w:pPr>
      <w:r>
        <w:rPr>
          <w:color w:val="auto"/>
          <w:highlight w:val="none"/>
        </w:rPr>
        <w:t>根据业主提供的煤质</w:t>
      </w:r>
      <w:r>
        <w:rPr>
          <w:rFonts w:hint="eastAsia"/>
          <w:color w:val="auto"/>
          <w:highlight w:val="none"/>
          <w:lang w:eastAsia="zh-CN"/>
        </w:rPr>
        <w:t>分析</w:t>
      </w:r>
      <w:r>
        <w:rPr>
          <w:color w:val="auto"/>
          <w:highlight w:val="none"/>
        </w:rPr>
        <w:t>可知，Aar为</w:t>
      </w:r>
      <w:r>
        <w:rPr>
          <w:rFonts w:hint="eastAsia"/>
          <w:color w:val="auto"/>
          <w:highlight w:val="none"/>
          <w:lang w:val="en-US" w:eastAsia="zh-CN"/>
        </w:rPr>
        <w:t>12.2</w:t>
      </w:r>
      <w:r>
        <w:rPr>
          <w:color w:val="auto"/>
          <w:highlight w:val="none"/>
        </w:rPr>
        <w:t>，</w:t>
      </w:r>
      <w:r>
        <w:rPr>
          <w:rFonts w:hint="default" w:ascii="Times New Roman" w:hAnsi="Times New Roman" w:cs="Times New Roman"/>
          <w:color w:val="0000FF"/>
          <w:highlight w:val="none"/>
        </w:rPr>
        <w:t>Qnet</w:t>
      </w:r>
      <w:r>
        <w:rPr>
          <w:rFonts w:hint="eastAsia" w:cs="Times New Roman"/>
          <w:color w:val="0000FF"/>
          <w:highlight w:val="none"/>
          <w:lang w:eastAsia="zh-CN"/>
        </w:rPr>
        <w:t>，</w:t>
      </w:r>
      <w:r>
        <w:rPr>
          <w:rFonts w:hint="default" w:ascii="Times New Roman" w:hAnsi="Times New Roman" w:cs="Times New Roman"/>
          <w:color w:val="0000FF"/>
          <w:highlight w:val="none"/>
        </w:rPr>
        <w:t>a</w:t>
      </w:r>
      <w:r>
        <w:rPr>
          <w:color w:val="0000FF"/>
          <w:highlight w:val="none"/>
        </w:rPr>
        <w:t>r为</w:t>
      </w:r>
      <w:r>
        <w:rPr>
          <w:rFonts w:hint="eastAsia"/>
          <w:color w:val="0000FF"/>
          <w:highlight w:val="none"/>
          <w:lang w:val="en-US" w:eastAsia="zh-CN"/>
        </w:rPr>
        <w:t>19.30MJ/kg</w:t>
      </w:r>
      <w:r>
        <w:rPr>
          <w:color w:val="0000FF"/>
          <w:highlight w:val="none"/>
        </w:rPr>
        <w:t>。</w:t>
      </w:r>
    </w:p>
    <w:p>
      <w:pPr>
        <w:bidi w:val="0"/>
        <w:rPr>
          <w:color w:val="auto"/>
          <w:highlight w:val="none"/>
        </w:rPr>
      </w:pPr>
      <w:r>
        <w:rPr>
          <w:color w:val="auto"/>
          <w:highlight w:val="none"/>
        </w:rPr>
        <w:t>根据上述公式，</w:t>
      </w:r>
      <w:r>
        <w:rPr>
          <w:color w:val="0000FF"/>
          <w:highlight w:val="none"/>
        </w:rPr>
        <w:t>本项目产生的灰渣</w:t>
      </w:r>
      <w:r>
        <w:rPr>
          <w:rFonts w:hint="eastAsia"/>
          <w:color w:val="0000FF"/>
          <w:highlight w:val="none"/>
          <w:lang w:eastAsia="zh-CN"/>
        </w:rPr>
        <w:t>（飞灰和炉渣）</w:t>
      </w:r>
      <w:r>
        <w:rPr>
          <w:color w:val="0000FF"/>
          <w:highlight w:val="none"/>
        </w:rPr>
        <w:t>为</w:t>
      </w:r>
      <w:r>
        <w:rPr>
          <w:rFonts w:hint="eastAsia"/>
          <w:color w:val="0000FF"/>
          <w:highlight w:val="none"/>
          <w:lang w:val="en-US" w:eastAsia="zh-CN"/>
        </w:rPr>
        <w:t>7064.97</w:t>
      </w:r>
      <w:r>
        <w:rPr>
          <w:color w:val="0000FF"/>
          <w:highlight w:val="none"/>
        </w:rPr>
        <w:t>t/a。</w:t>
      </w:r>
      <w:r>
        <w:rPr>
          <w:rFonts w:hint="eastAsia"/>
          <w:color w:val="auto"/>
          <w:highlight w:val="none"/>
          <w:lang w:eastAsia="zh-CN"/>
        </w:rPr>
        <w:t>炉</w:t>
      </w:r>
      <w:r>
        <w:rPr>
          <w:color w:val="auto"/>
          <w:highlight w:val="none"/>
        </w:rPr>
        <w:t>渣中</w:t>
      </w:r>
      <w:r>
        <w:rPr>
          <w:rFonts w:hint="eastAsia"/>
          <w:color w:val="auto"/>
          <w:highlight w:val="none"/>
        </w:rPr>
        <w:t>主要成分</w:t>
      </w:r>
      <w:r>
        <w:rPr>
          <w:color w:val="auto"/>
          <w:highlight w:val="none"/>
        </w:rPr>
        <w:t>为SiO</w:t>
      </w:r>
      <w:r>
        <w:rPr>
          <w:color w:val="auto"/>
          <w:highlight w:val="none"/>
          <w:vertAlign w:val="subscript"/>
        </w:rPr>
        <w:t>2</w:t>
      </w:r>
      <w:r>
        <w:rPr>
          <w:color w:val="auto"/>
          <w:highlight w:val="none"/>
        </w:rPr>
        <w:t>、Al</w:t>
      </w:r>
      <w:r>
        <w:rPr>
          <w:color w:val="auto"/>
          <w:highlight w:val="none"/>
          <w:vertAlign w:val="subscript"/>
        </w:rPr>
        <w:t>2</w:t>
      </w:r>
      <w:r>
        <w:rPr>
          <w:color w:val="auto"/>
          <w:highlight w:val="none"/>
        </w:rPr>
        <w:t>O</w:t>
      </w:r>
      <w:r>
        <w:rPr>
          <w:color w:val="auto"/>
          <w:highlight w:val="none"/>
          <w:vertAlign w:val="subscript"/>
        </w:rPr>
        <w:t>3</w:t>
      </w:r>
      <w:r>
        <w:rPr>
          <w:color w:val="auto"/>
          <w:highlight w:val="none"/>
        </w:rPr>
        <w:t>等无机物，属一般工业固体废弃物，渣场临时储存后集中送至建材企业综合利用。</w:t>
      </w:r>
    </w:p>
    <w:p>
      <w:pPr>
        <w:bidi w:val="0"/>
        <w:rPr>
          <w:color w:val="auto"/>
          <w:highlight w:val="none"/>
        </w:rPr>
      </w:pPr>
      <w:r>
        <w:rPr>
          <w:rFonts w:hint="eastAsia"/>
          <w:color w:val="auto"/>
          <w:highlight w:val="none"/>
          <w:lang w:eastAsia="zh-CN"/>
        </w:rPr>
        <w:t>布袋除尘器收集的飞灰：</w:t>
      </w:r>
      <w:r>
        <w:rPr>
          <w:color w:val="auto"/>
          <w:highlight w:val="none"/>
        </w:rPr>
        <w:t>烟尘产生量×除尘=</w:t>
      </w:r>
      <w:r>
        <w:rPr>
          <w:rFonts w:hint="eastAsia"/>
          <w:color w:val="auto"/>
          <w:highlight w:val="none"/>
          <w:lang w:val="en-US" w:eastAsia="zh-CN"/>
        </w:rPr>
        <w:t>54.1</w:t>
      </w:r>
      <w:r>
        <w:rPr>
          <w:color w:val="auto"/>
          <w:highlight w:val="none"/>
        </w:rPr>
        <w:t>×99.</w:t>
      </w:r>
      <w:r>
        <w:rPr>
          <w:rFonts w:hint="eastAsia"/>
          <w:color w:val="auto"/>
          <w:highlight w:val="none"/>
        </w:rPr>
        <w:t>5</w:t>
      </w:r>
      <w:r>
        <w:rPr>
          <w:color w:val="auto"/>
          <w:highlight w:val="none"/>
        </w:rPr>
        <w:t>%=</w:t>
      </w:r>
      <w:r>
        <w:rPr>
          <w:rFonts w:hint="eastAsia"/>
          <w:color w:val="auto"/>
          <w:highlight w:val="none"/>
          <w:lang w:val="en-US" w:eastAsia="zh-CN"/>
        </w:rPr>
        <w:t>53.83</w:t>
      </w:r>
      <w:r>
        <w:rPr>
          <w:color w:val="auto"/>
          <w:highlight w:val="none"/>
        </w:rPr>
        <w:t>a。</w:t>
      </w:r>
    </w:p>
    <w:p>
      <w:pPr>
        <w:bidi w:val="0"/>
        <w:rPr>
          <w:rFonts w:hint="eastAsia"/>
          <w:color w:val="auto"/>
          <w:sz w:val="24"/>
          <w:szCs w:val="24"/>
          <w:highlight w:val="none"/>
          <w:lang w:eastAsia="zh-CN"/>
        </w:rPr>
      </w:pPr>
      <w:r>
        <w:rPr>
          <w:rFonts w:hint="eastAsia" w:ascii="Times New Roman" w:hAnsi="Times New Roman"/>
          <w:color w:val="auto"/>
          <w:kern w:val="2"/>
          <w:highlight w:val="none"/>
          <w:lang w:val="de-DE" w:eastAsia="zh-CN"/>
        </w:rPr>
        <w:t>飞灰排放量：</w:t>
      </w:r>
      <w:r>
        <w:rPr>
          <w:rFonts w:hint="eastAsia"/>
          <w:color w:val="auto"/>
          <w:spacing w:val="-4"/>
          <w:sz w:val="24"/>
          <w:szCs w:val="24"/>
          <w:highlight w:val="none"/>
          <w:lang w:val="en-US" w:eastAsia="zh-CN"/>
        </w:rPr>
        <w:t>53.83</w:t>
      </w:r>
      <w:r>
        <w:rPr>
          <w:color w:val="auto"/>
          <w:spacing w:val="-4"/>
          <w:sz w:val="24"/>
          <w:szCs w:val="24"/>
          <w:highlight w:val="none"/>
        </w:rPr>
        <w:t>t/a</w:t>
      </w:r>
      <w:r>
        <w:rPr>
          <w:rFonts w:hint="eastAsia"/>
          <w:color w:val="auto"/>
          <w:sz w:val="24"/>
          <w:szCs w:val="24"/>
          <w:highlight w:val="none"/>
          <w:lang w:eastAsia="zh-CN"/>
        </w:rPr>
        <w:t>。</w:t>
      </w:r>
    </w:p>
    <w:p>
      <w:pPr>
        <w:bidi w:val="0"/>
        <w:rPr>
          <w:rFonts w:hint="eastAsia" w:eastAsia="宋体"/>
          <w:color w:val="auto"/>
          <w:sz w:val="24"/>
          <w:szCs w:val="24"/>
          <w:highlight w:val="none"/>
          <w:lang w:val="en-US" w:eastAsia="zh-CN"/>
        </w:rPr>
      </w:pPr>
      <w:r>
        <w:rPr>
          <w:color w:val="auto"/>
          <w:sz w:val="24"/>
          <w:szCs w:val="24"/>
          <w:highlight w:val="none"/>
          <w:lang w:val="en-GB"/>
        </w:rPr>
        <w:t>除尘灰中主要为粉尘，根据《一般工业固体废物贮存和填埋污染控制标准》（GB18599-2020）及相关工程经验，将本项目的锅炉除尘灰按照</w:t>
      </w:r>
      <w:r>
        <w:rPr>
          <w:rFonts w:hint="eastAsia"/>
          <w:color w:val="auto"/>
          <w:sz w:val="24"/>
          <w:szCs w:val="24"/>
          <w:highlight w:val="none"/>
          <w:lang w:val="en-GB" w:eastAsia="zh-CN"/>
        </w:rPr>
        <w:t>一般</w:t>
      </w:r>
      <w:r>
        <w:rPr>
          <w:color w:val="auto"/>
          <w:sz w:val="24"/>
          <w:szCs w:val="24"/>
          <w:highlight w:val="none"/>
          <w:lang w:val="en-GB"/>
        </w:rPr>
        <w:t>工业固体废物处理。</w:t>
      </w:r>
      <w:r>
        <w:rPr>
          <w:rFonts w:hint="eastAsia"/>
          <w:color w:val="0000FF"/>
          <w:sz w:val="24"/>
          <w:szCs w:val="24"/>
          <w:highlight w:val="none"/>
          <w:lang w:val="en-GB" w:eastAsia="zh-CN"/>
        </w:rPr>
        <w:t>炉渣产生量：</w:t>
      </w:r>
      <w:r>
        <w:rPr>
          <w:rFonts w:hint="eastAsia"/>
          <w:color w:val="00B050"/>
          <w:sz w:val="24"/>
          <w:szCs w:val="24"/>
          <w:highlight w:val="none"/>
          <w:lang w:val="en-US" w:eastAsia="zh-CN"/>
        </w:rPr>
        <w:t>7064.97</w:t>
      </w:r>
      <w:r>
        <w:rPr>
          <w:rFonts w:hint="eastAsia"/>
          <w:color w:val="0000FF"/>
          <w:sz w:val="24"/>
          <w:szCs w:val="24"/>
          <w:highlight w:val="none"/>
          <w:lang w:val="en-US" w:eastAsia="zh-CN"/>
        </w:rPr>
        <w:t>-53.83=</w:t>
      </w:r>
      <w:r>
        <w:rPr>
          <w:rFonts w:hint="eastAsia"/>
          <w:color w:val="00B050"/>
          <w:sz w:val="24"/>
          <w:szCs w:val="24"/>
          <w:highlight w:val="none"/>
          <w:lang w:val="en-US" w:eastAsia="zh-CN"/>
        </w:rPr>
        <w:t>7011.14</w:t>
      </w:r>
      <w:r>
        <w:rPr>
          <w:color w:val="0000FF"/>
          <w:sz w:val="24"/>
          <w:szCs w:val="24"/>
          <w:highlight w:val="none"/>
        </w:rPr>
        <w:t>t/a</w:t>
      </w:r>
      <w:r>
        <w:rPr>
          <w:rFonts w:hint="eastAsia"/>
          <w:color w:val="0000FF"/>
          <w:sz w:val="24"/>
          <w:szCs w:val="24"/>
          <w:highlight w:val="none"/>
          <w:lang w:eastAsia="zh-CN"/>
        </w:rPr>
        <w:t>，</w:t>
      </w:r>
      <w:r>
        <w:rPr>
          <w:rFonts w:hint="eastAsia"/>
          <w:color w:val="auto"/>
          <w:sz w:val="24"/>
          <w:szCs w:val="24"/>
          <w:highlight w:val="none"/>
          <w:lang w:eastAsia="zh-CN"/>
        </w:rPr>
        <w:t>布袋除尘器收集的飞灰</w:t>
      </w:r>
      <w:r>
        <w:rPr>
          <w:rFonts w:hint="eastAsia"/>
          <w:color w:val="auto"/>
          <w:sz w:val="24"/>
          <w:szCs w:val="24"/>
          <w:highlight w:val="none"/>
          <w:lang w:val="en-US" w:eastAsia="zh-CN"/>
        </w:rPr>
        <w:t>53.83</w:t>
      </w:r>
      <w:r>
        <w:rPr>
          <w:color w:val="auto"/>
          <w:sz w:val="24"/>
          <w:szCs w:val="24"/>
          <w:highlight w:val="none"/>
        </w:rPr>
        <w:t>t/a</w:t>
      </w:r>
      <w:r>
        <w:rPr>
          <w:rFonts w:hint="eastAsia"/>
          <w:color w:val="auto"/>
          <w:sz w:val="24"/>
          <w:szCs w:val="24"/>
          <w:highlight w:val="none"/>
          <w:lang w:eastAsia="zh-CN"/>
        </w:rPr>
        <w:t>，经过环保设施处理后高空排放烟尘量：</w:t>
      </w:r>
      <w:r>
        <w:rPr>
          <w:rFonts w:hint="eastAsia"/>
          <w:color w:val="auto"/>
          <w:sz w:val="24"/>
          <w:szCs w:val="24"/>
          <w:highlight w:val="none"/>
          <w:lang w:val="en-US" w:eastAsia="zh-CN"/>
        </w:rPr>
        <w:t>0.27</w:t>
      </w:r>
      <w:r>
        <w:rPr>
          <w:color w:val="auto"/>
          <w:sz w:val="24"/>
          <w:szCs w:val="24"/>
          <w:highlight w:val="none"/>
        </w:rPr>
        <w:t>t/a</w:t>
      </w:r>
      <w:r>
        <w:rPr>
          <w:rFonts w:hint="eastAsia"/>
          <w:color w:val="auto"/>
          <w:sz w:val="24"/>
          <w:szCs w:val="24"/>
          <w:highlight w:val="none"/>
          <w:lang w:eastAsia="zh-CN"/>
        </w:rPr>
        <w:t>。</w:t>
      </w:r>
    </w:p>
    <w:p>
      <w:pPr>
        <w:widowControl/>
        <w:spacing w:line="360" w:lineRule="auto"/>
        <w:ind w:firstLine="480" w:firstLineChars="200"/>
        <w:rPr>
          <w:rFonts w:hint="eastAsia" w:eastAsia="宋体"/>
          <w:color w:val="auto"/>
          <w:sz w:val="24"/>
          <w:szCs w:val="24"/>
          <w:highlight w:val="none"/>
          <w:lang w:val="de-DE" w:eastAsia="zh-CN"/>
        </w:rPr>
      </w:pPr>
      <w:r>
        <w:rPr>
          <w:color w:val="auto"/>
          <w:sz w:val="24"/>
          <w:szCs w:val="24"/>
          <w:highlight w:val="none"/>
          <w:lang w:val="de-DE"/>
        </w:rPr>
        <w:t>（2）</w:t>
      </w:r>
      <w:r>
        <w:rPr>
          <w:rFonts w:hint="eastAsia"/>
          <w:color w:val="auto"/>
          <w:sz w:val="24"/>
          <w:szCs w:val="24"/>
          <w:highlight w:val="none"/>
          <w:lang w:val="de-DE" w:eastAsia="zh-CN"/>
        </w:rPr>
        <w:t>脱硫渣</w:t>
      </w:r>
    </w:p>
    <w:p>
      <w:pPr>
        <w:widowControl/>
        <w:spacing w:line="360" w:lineRule="auto"/>
        <w:ind w:firstLine="420"/>
        <w:rPr>
          <w:color w:val="auto"/>
          <w:sz w:val="24"/>
          <w:szCs w:val="24"/>
          <w:highlight w:val="none"/>
        </w:rPr>
      </w:pPr>
      <w:r>
        <w:rPr>
          <w:rFonts w:hint="eastAsia"/>
          <w:color w:val="auto"/>
          <w:sz w:val="24"/>
          <w:szCs w:val="24"/>
          <w:highlight w:val="none"/>
        </w:rPr>
        <w:t>本项目采用湿法烟气脱硫工艺，</w:t>
      </w:r>
      <w:r>
        <w:rPr>
          <w:rFonts w:hint="eastAsia"/>
          <w:color w:val="auto"/>
          <w:sz w:val="24"/>
          <w:szCs w:val="24"/>
          <w:highlight w:val="none"/>
          <w:lang w:eastAsia="zh-CN"/>
        </w:rPr>
        <w:t>脱硫渣</w:t>
      </w:r>
      <w:r>
        <w:rPr>
          <w:rFonts w:hint="eastAsia"/>
          <w:color w:val="auto"/>
          <w:sz w:val="24"/>
          <w:szCs w:val="24"/>
          <w:highlight w:val="none"/>
        </w:rPr>
        <w:t>产生量源强按环保部《污染源源强核算技术指南锅炉》（HJ991-2018）物料衡算法计算，计算公式如下：</w:t>
      </w:r>
    </w:p>
    <w:p>
      <w:pPr>
        <w:widowControl/>
        <w:spacing w:line="360" w:lineRule="auto"/>
        <w:jc w:val="center"/>
        <w:rPr>
          <w:color w:val="auto"/>
          <w:sz w:val="24"/>
          <w:szCs w:val="24"/>
          <w:highlight w:val="none"/>
        </w:rPr>
      </w:pPr>
      <w:r>
        <w:rPr>
          <w:rFonts w:hint="eastAsia"/>
          <w:color w:val="auto"/>
          <w:highlight w:val="none"/>
        </w:rPr>
        <w:drawing>
          <wp:inline distT="0" distB="0" distL="114300" distR="114300">
            <wp:extent cx="1894840" cy="755015"/>
            <wp:effectExtent l="0" t="0" r="10160" b="6985"/>
            <wp:docPr id="22" name="图片 13" descr="155246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1552468734(1)"/>
                    <pic:cNvPicPr>
                      <a:picLocks noChangeAspect="1"/>
                    </pic:cNvPicPr>
                  </pic:nvPicPr>
                  <pic:blipFill>
                    <a:blip r:embed="rId51"/>
                    <a:stretch>
                      <a:fillRect/>
                    </a:stretch>
                  </pic:blipFill>
                  <pic:spPr>
                    <a:xfrm>
                      <a:off x="0" y="0"/>
                      <a:ext cx="1894840" cy="755015"/>
                    </a:xfrm>
                    <a:prstGeom prst="rect">
                      <a:avLst/>
                    </a:prstGeom>
                    <a:noFill/>
                    <a:ln>
                      <a:noFill/>
                    </a:ln>
                  </pic:spPr>
                </pic:pic>
              </a:graphicData>
            </a:graphic>
          </wp:inline>
        </w:drawing>
      </w:r>
    </w:p>
    <w:p>
      <w:pPr>
        <w:spacing w:line="360" w:lineRule="auto"/>
        <w:ind w:firstLine="480"/>
        <w:rPr>
          <w:color w:val="auto"/>
          <w:sz w:val="24"/>
          <w:szCs w:val="24"/>
          <w:highlight w:val="none"/>
        </w:rPr>
      </w:pPr>
      <w:r>
        <w:rPr>
          <w:color w:val="auto"/>
          <w:sz w:val="24"/>
          <w:szCs w:val="24"/>
          <w:highlight w:val="none"/>
        </w:rPr>
        <w:t>式中：E——核算时段内脱硫副产物产生量，t；</w:t>
      </w:r>
    </w:p>
    <w:p>
      <w:pPr>
        <w:spacing w:line="360" w:lineRule="auto"/>
        <w:ind w:firstLine="1080" w:firstLineChars="450"/>
        <w:rPr>
          <w:color w:val="auto"/>
          <w:sz w:val="24"/>
          <w:szCs w:val="24"/>
          <w:highlight w:val="none"/>
        </w:rPr>
      </w:pPr>
      <w:r>
        <w:rPr>
          <w:color w:val="auto"/>
          <w:sz w:val="24"/>
          <w:szCs w:val="24"/>
          <w:highlight w:val="none"/>
        </w:rPr>
        <w:t>M</w:t>
      </w:r>
      <w:r>
        <w:rPr>
          <w:color w:val="auto"/>
          <w:sz w:val="24"/>
          <w:szCs w:val="24"/>
          <w:highlight w:val="none"/>
          <w:vertAlign w:val="subscript"/>
        </w:rPr>
        <w:t>F</w:t>
      </w:r>
      <w:r>
        <w:rPr>
          <w:color w:val="auto"/>
          <w:sz w:val="24"/>
          <w:szCs w:val="24"/>
          <w:highlight w:val="none"/>
        </w:rPr>
        <w:t>——脱硫副产物摩尔质量，取值为172；</w:t>
      </w:r>
    </w:p>
    <w:p>
      <w:pPr>
        <w:spacing w:line="360" w:lineRule="auto"/>
        <w:ind w:firstLine="1080" w:firstLineChars="450"/>
        <w:rPr>
          <w:color w:val="auto"/>
          <w:sz w:val="24"/>
          <w:szCs w:val="24"/>
          <w:highlight w:val="none"/>
        </w:rPr>
      </w:pPr>
      <w:r>
        <w:rPr>
          <w:color w:val="auto"/>
          <w:sz w:val="24"/>
          <w:szCs w:val="24"/>
          <w:highlight w:val="none"/>
        </w:rPr>
        <w:t>E</w:t>
      </w:r>
      <w:r>
        <w:rPr>
          <w:color w:val="auto"/>
          <w:sz w:val="24"/>
          <w:szCs w:val="24"/>
          <w:highlight w:val="none"/>
          <w:vertAlign w:val="subscript"/>
        </w:rPr>
        <w:t>S</w:t>
      </w:r>
      <w:r>
        <w:rPr>
          <w:color w:val="auto"/>
          <w:sz w:val="24"/>
          <w:szCs w:val="24"/>
          <w:highlight w:val="none"/>
        </w:rPr>
        <w:t>——核算时段内二氧化硫脱出量，t；</w:t>
      </w:r>
    </w:p>
    <w:p>
      <w:pPr>
        <w:spacing w:line="360" w:lineRule="auto"/>
        <w:ind w:firstLine="1080" w:firstLineChars="450"/>
        <w:rPr>
          <w:color w:val="auto"/>
          <w:sz w:val="24"/>
          <w:szCs w:val="24"/>
          <w:highlight w:val="none"/>
        </w:rPr>
      </w:pPr>
      <w:r>
        <w:rPr>
          <w:color w:val="auto"/>
          <w:sz w:val="24"/>
          <w:szCs w:val="24"/>
          <w:highlight w:val="none"/>
        </w:rPr>
        <w:t>64——二氧化硫摩尔质量；</w:t>
      </w:r>
    </w:p>
    <w:p>
      <w:pPr>
        <w:spacing w:line="360" w:lineRule="auto"/>
        <w:ind w:firstLine="1080" w:firstLineChars="450"/>
        <w:rPr>
          <w:color w:val="auto"/>
          <w:sz w:val="24"/>
          <w:szCs w:val="24"/>
          <w:highlight w:val="none"/>
        </w:rPr>
      </w:pPr>
      <w:r>
        <w:rPr>
          <w:color w:val="auto"/>
          <w:sz w:val="24"/>
          <w:szCs w:val="24"/>
          <w:highlight w:val="none"/>
        </w:rPr>
        <w:t>C</w:t>
      </w:r>
      <w:r>
        <w:rPr>
          <w:color w:val="auto"/>
          <w:sz w:val="24"/>
          <w:szCs w:val="24"/>
          <w:highlight w:val="none"/>
          <w:vertAlign w:val="subscript"/>
        </w:rPr>
        <w:t>s</w:t>
      </w:r>
      <w:r>
        <w:rPr>
          <w:color w:val="auto"/>
          <w:sz w:val="24"/>
          <w:szCs w:val="24"/>
          <w:highlight w:val="none"/>
        </w:rPr>
        <w:t>——脱硫副产物含水率，%，副产物含水率一般≤10%，取10%；</w:t>
      </w:r>
    </w:p>
    <w:p>
      <w:pPr>
        <w:spacing w:line="360" w:lineRule="auto"/>
        <w:ind w:firstLine="1080" w:firstLineChars="450"/>
        <w:rPr>
          <w:color w:val="auto"/>
          <w:sz w:val="24"/>
          <w:szCs w:val="24"/>
          <w:highlight w:val="none"/>
        </w:rPr>
      </w:pPr>
      <w:r>
        <w:rPr>
          <w:color w:val="auto"/>
          <w:sz w:val="24"/>
          <w:szCs w:val="24"/>
          <w:highlight w:val="none"/>
        </w:rPr>
        <w:t>C</w:t>
      </w:r>
      <w:r>
        <w:rPr>
          <w:color w:val="auto"/>
          <w:sz w:val="24"/>
          <w:szCs w:val="24"/>
          <w:highlight w:val="none"/>
          <w:vertAlign w:val="subscript"/>
        </w:rPr>
        <w:t>g</w:t>
      </w:r>
      <w:r>
        <w:rPr>
          <w:color w:val="auto"/>
          <w:sz w:val="24"/>
          <w:szCs w:val="24"/>
          <w:highlight w:val="none"/>
        </w:rPr>
        <w:t>——脱硫副产物纯度，%，副产物纯度一般≥90%，取90%。</w:t>
      </w:r>
    </w:p>
    <w:p>
      <w:pPr>
        <w:spacing w:line="360" w:lineRule="auto"/>
        <w:ind w:firstLine="1024" w:firstLineChars="427"/>
        <w:rPr>
          <w:color w:val="auto"/>
          <w:sz w:val="24"/>
          <w:szCs w:val="24"/>
          <w:highlight w:val="none"/>
        </w:rPr>
      </w:pPr>
      <w:r>
        <w:rPr>
          <w:color w:val="auto"/>
          <w:sz w:val="24"/>
          <w:szCs w:val="24"/>
          <w:highlight w:val="none"/>
        </w:rPr>
        <w:t>E</w:t>
      </w:r>
      <w:r>
        <w:rPr>
          <w:color w:val="auto"/>
          <w:sz w:val="24"/>
          <w:szCs w:val="24"/>
          <w:highlight w:val="none"/>
          <w:vertAlign w:val="subscript"/>
        </w:rPr>
        <w:t>S</w:t>
      </w:r>
      <w:r>
        <w:rPr>
          <w:color w:val="auto"/>
          <w:sz w:val="24"/>
          <w:szCs w:val="24"/>
          <w:highlight w:val="none"/>
        </w:rPr>
        <w:t>计算公式：</w:t>
      </w:r>
    </w:p>
    <w:p>
      <w:pPr>
        <w:spacing w:line="360" w:lineRule="auto"/>
        <w:ind w:firstLine="480"/>
        <w:jc w:val="center"/>
        <w:rPr>
          <w:color w:val="auto"/>
          <w:highlight w:val="none"/>
        </w:rPr>
      </w:pPr>
      <w:r>
        <w:rPr>
          <w:rFonts w:hint="eastAsia"/>
          <w:color w:val="auto"/>
          <w:highlight w:val="none"/>
        </w:rPr>
        <w:drawing>
          <wp:inline distT="0" distB="0" distL="114300" distR="114300">
            <wp:extent cx="2543810" cy="485140"/>
            <wp:effectExtent l="0" t="0" r="8890" b="10160"/>
            <wp:docPr id="23" name="图片 14" descr="1552469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1552469632(1)"/>
                    <pic:cNvPicPr>
                      <a:picLocks noChangeAspect="1"/>
                    </pic:cNvPicPr>
                  </pic:nvPicPr>
                  <pic:blipFill>
                    <a:blip r:embed="rId52"/>
                    <a:stretch>
                      <a:fillRect/>
                    </a:stretch>
                  </pic:blipFill>
                  <pic:spPr>
                    <a:xfrm>
                      <a:off x="0" y="0"/>
                      <a:ext cx="2543810" cy="485140"/>
                    </a:xfrm>
                    <a:prstGeom prst="rect">
                      <a:avLst/>
                    </a:prstGeom>
                    <a:noFill/>
                    <a:ln>
                      <a:noFill/>
                    </a:ln>
                  </pic:spPr>
                </pic:pic>
              </a:graphicData>
            </a:graphic>
          </wp:inline>
        </w:drawing>
      </w:r>
    </w:p>
    <w:p>
      <w:pPr>
        <w:spacing w:line="360" w:lineRule="auto"/>
        <w:ind w:firstLine="480"/>
        <w:rPr>
          <w:color w:val="auto"/>
          <w:sz w:val="24"/>
          <w:szCs w:val="24"/>
          <w:highlight w:val="none"/>
        </w:rPr>
      </w:pPr>
      <w:r>
        <w:rPr>
          <w:color w:val="auto"/>
          <w:sz w:val="24"/>
          <w:szCs w:val="24"/>
          <w:highlight w:val="none"/>
        </w:rPr>
        <w:t>式中：K——燃料中的硫燃烧后氧化成二氧化硫的份额，层燃炉取0.8</w:t>
      </w:r>
      <w:r>
        <w:rPr>
          <w:rFonts w:hint="eastAsia"/>
          <w:color w:val="auto"/>
          <w:sz w:val="24"/>
          <w:szCs w:val="24"/>
          <w:highlight w:val="none"/>
        </w:rPr>
        <w:t>0</w:t>
      </w:r>
      <w:r>
        <w:rPr>
          <w:color w:val="auto"/>
          <w:sz w:val="24"/>
          <w:szCs w:val="24"/>
          <w:highlight w:val="none"/>
        </w:rPr>
        <w:t>；</w:t>
      </w:r>
    </w:p>
    <w:p>
      <w:pPr>
        <w:spacing w:line="360" w:lineRule="auto"/>
        <w:ind w:firstLine="1200" w:firstLineChars="500"/>
        <w:rPr>
          <w:color w:val="auto"/>
          <w:sz w:val="24"/>
          <w:szCs w:val="24"/>
          <w:highlight w:val="none"/>
        </w:rPr>
      </w:pPr>
      <w:r>
        <w:rPr>
          <w:color w:val="auto"/>
          <w:sz w:val="24"/>
          <w:szCs w:val="24"/>
          <w:highlight w:val="none"/>
        </w:rPr>
        <w:t>R——核算时段内锅炉燃料耗量</w:t>
      </w:r>
      <w:r>
        <w:rPr>
          <w:rFonts w:hint="eastAsia"/>
          <w:color w:val="auto"/>
          <w:sz w:val="24"/>
          <w:szCs w:val="24"/>
          <w:highlight w:val="none"/>
        </w:rPr>
        <w:t>，t</w:t>
      </w:r>
      <w:r>
        <w:rPr>
          <w:color w:val="auto"/>
          <w:sz w:val="24"/>
          <w:szCs w:val="24"/>
          <w:highlight w:val="none"/>
        </w:rPr>
        <w:t>；</w:t>
      </w:r>
    </w:p>
    <w:p>
      <w:pPr>
        <w:spacing w:line="360" w:lineRule="auto"/>
        <w:ind w:firstLine="1200" w:firstLineChars="500"/>
        <w:rPr>
          <w:color w:val="auto"/>
          <w:sz w:val="24"/>
          <w:szCs w:val="24"/>
          <w:highlight w:val="none"/>
        </w:rPr>
      </w:pPr>
      <w:r>
        <w:rPr>
          <w:color w:val="auto"/>
          <w:sz w:val="24"/>
          <w:szCs w:val="24"/>
          <w:highlight w:val="none"/>
        </w:rPr>
        <w:t>q</w:t>
      </w:r>
      <w:r>
        <w:rPr>
          <w:color w:val="auto"/>
          <w:sz w:val="24"/>
          <w:szCs w:val="24"/>
          <w:highlight w:val="none"/>
          <w:vertAlign w:val="subscript"/>
        </w:rPr>
        <w:t>4</w:t>
      </w:r>
      <w:r>
        <w:rPr>
          <w:color w:val="auto"/>
          <w:sz w:val="24"/>
          <w:szCs w:val="24"/>
          <w:highlight w:val="none"/>
        </w:rPr>
        <w:t>——锅炉机械不完全燃烧热损失，%，取10；</w:t>
      </w:r>
    </w:p>
    <w:p>
      <w:pPr>
        <w:spacing w:line="360" w:lineRule="auto"/>
        <w:ind w:firstLine="1200" w:firstLineChars="500"/>
        <w:rPr>
          <w:color w:val="auto"/>
          <w:sz w:val="24"/>
          <w:szCs w:val="24"/>
          <w:highlight w:val="none"/>
        </w:rPr>
      </w:pPr>
      <w:r>
        <w:rPr>
          <w:color w:val="auto"/>
          <w:sz w:val="24"/>
          <w:szCs w:val="24"/>
          <w:highlight w:val="none"/>
        </w:rPr>
        <w:t>η</w:t>
      </w:r>
      <w:r>
        <w:rPr>
          <w:color w:val="auto"/>
          <w:sz w:val="24"/>
          <w:szCs w:val="24"/>
          <w:highlight w:val="none"/>
          <w:vertAlign w:val="subscript"/>
        </w:rPr>
        <w:t>s</w:t>
      </w:r>
      <w:r>
        <w:rPr>
          <w:color w:val="auto"/>
          <w:sz w:val="24"/>
          <w:szCs w:val="24"/>
          <w:highlight w:val="none"/>
        </w:rPr>
        <w:t>——脱硫效率，%，取</w:t>
      </w:r>
      <w:r>
        <w:rPr>
          <w:rFonts w:hint="eastAsia"/>
          <w:color w:val="auto"/>
          <w:sz w:val="24"/>
          <w:szCs w:val="24"/>
          <w:highlight w:val="none"/>
        </w:rPr>
        <w:t>8</w:t>
      </w:r>
      <w:r>
        <w:rPr>
          <w:color w:val="auto"/>
          <w:sz w:val="24"/>
          <w:szCs w:val="24"/>
          <w:highlight w:val="none"/>
        </w:rPr>
        <w:t>5；</w:t>
      </w:r>
    </w:p>
    <w:p>
      <w:pPr>
        <w:spacing w:line="360" w:lineRule="auto"/>
        <w:ind w:firstLine="1200" w:firstLineChars="500"/>
        <w:rPr>
          <w:color w:val="auto"/>
          <w:sz w:val="24"/>
          <w:szCs w:val="24"/>
          <w:highlight w:val="none"/>
        </w:rPr>
      </w:pPr>
      <w:r>
        <w:rPr>
          <w:color w:val="auto"/>
          <w:sz w:val="24"/>
          <w:szCs w:val="24"/>
          <w:highlight w:val="none"/>
        </w:rPr>
        <w:t>S</w:t>
      </w:r>
      <w:r>
        <w:rPr>
          <w:color w:val="auto"/>
          <w:sz w:val="24"/>
          <w:szCs w:val="24"/>
          <w:highlight w:val="none"/>
          <w:vertAlign w:val="subscript"/>
        </w:rPr>
        <w:t>ar</w:t>
      </w:r>
      <w:r>
        <w:rPr>
          <w:color w:val="auto"/>
          <w:sz w:val="24"/>
          <w:szCs w:val="24"/>
          <w:highlight w:val="none"/>
        </w:rPr>
        <w:t>——收到基硫的质量分数，%，取</w:t>
      </w:r>
      <w:r>
        <w:rPr>
          <w:rFonts w:hint="eastAsia"/>
          <w:color w:val="auto"/>
          <w:sz w:val="24"/>
          <w:szCs w:val="24"/>
          <w:highlight w:val="none"/>
          <w:lang w:val="en-US" w:eastAsia="zh-CN"/>
        </w:rPr>
        <w:t>0.09</w:t>
      </w:r>
      <w:r>
        <w:rPr>
          <w:color w:val="auto"/>
          <w:sz w:val="24"/>
          <w:szCs w:val="24"/>
          <w:highlight w:val="none"/>
        </w:rPr>
        <w:t>；</w:t>
      </w:r>
    </w:p>
    <w:p>
      <w:pPr>
        <w:widowControl/>
        <w:spacing w:line="360" w:lineRule="auto"/>
        <w:ind w:firstLine="420"/>
        <w:rPr>
          <w:color w:val="auto"/>
          <w:kern w:val="0"/>
          <w:sz w:val="24"/>
          <w:szCs w:val="24"/>
          <w:highlight w:val="none"/>
        </w:rPr>
      </w:pPr>
      <w:r>
        <w:rPr>
          <w:rFonts w:hint="eastAsia"/>
          <w:color w:val="auto"/>
          <w:sz w:val="24"/>
          <w:szCs w:val="24"/>
          <w:highlight w:val="none"/>
        </w:rPr>
        <w:t>本工程</w:t>
      </w:r>
      <w:r>
        <w:rPr>
          <w:rFonts w:hint="eastAsia"/>
          <w:color w:val="auto"/>
          <w:sz w:val="24"/>
          <w:szCs w:val="24"/>
          <w:highlight w:val="none"/>
          <w:lang w:eastAsia="zh-CN"/>
        </w:rPr>
        <w:t>脱硫渣</w:t>
      </w:r>
      <w:r>
        <w:rPr>
          <w:rFonts w:hint="eastAsia"/>
          <w:color w:val="auto"/>
          <w:sz w:val="24"/>
          <w:szCs w:val="24"/>
          <w:highlight w:val="none"/>
        </w:rPr>
        <w:t>排放量为</w:t>
      </w:r>
      <w:r>
        <w:rPr>
          <w:rFonts w:hint="eastAsia"/>
          <w:color w:val="auto"/>
          <w:sz w:val="24"/>
          <w:szCs w:val="24"/>
          <w:highlight w:val="none"/>
          <w:lang w:val="en-US" w:eastAsia="zh-CN"/>
        </w:rPr>
        <w:t>144.26</w:t>
      </w:r>
      <w:r>
        <w:rPr>
          <w:rFonts w:hint="eastAsia"/>
          <w:color w:val="auto"/>
          <w:sz w:val="24"/>
          <w:szCs w:val="24"/>
          <w:highlight w:val="none"/>
        </w:rPr>
        <w:t>t/a，定期外售综合利用。</w:t>
      </w:r>
      <w:r>
        <w:rPr>
          <w:rFonts w:hint="eastAsia"/>
          <w:snapToGrid w:val="0"/>
          <w:color w:val="auto"/>
          <w:kern w:val="0"/>
          <w:sz w:val="24"/>
          <w:szCs w:val="20"/>
          <w:highlight w:val="none"/>
          <w:lang w:eastAsia="zh-CN"/>
        </w:rPr>
        <w:t>脱硫渣</w:t>
      </w:r>
      <w:r>
        <w:rPr>
          <w:rFonts w:hint="eastAsia"/>
          <w:color w:val="auto"/>
          <w:sz w:val="24"/>
          <w:szCs w:val="24"/>
          <w:highlight w:val="none"/>
        </w:rPr>
        <w:t>主要成分</w:t>
      </w:r>
      <w:r>
        <w:rPr>
          <w:snapToGrid w:val="0"/>
          <w:color w:val="auto"/>
          <w:kern w:val="0"/>
          <w:sz w:val="24"/>
          <w:szCs w:val="20"/>
          <w:highlight w:val="none"/>
        </w:rPr>
        <w:t>为硫酸钙等无机物，属</w:t>
      </w:r>
      <w:r>
        <w:rPr>
          <w:rFonts w:hint="eastAsia"/>
          <w:snapToGrid w:val="0"/>
          <w:color w:val="auto"/>
          <w:kern w:val="0"/>
          <w:sz w:val="24"/>
          <w:szCs w:val="20"/>
          <w:highlight w:val="none"/>
          <w:lang w:eastAsia="zh-CN"/>
        </w:rPr>
        <w:t>一</w:t>
      </w:r>
      <w:r>
        <w:rPr>
          <w:snapToGrid w:val="0"/>
          <w:color w:val="auto"/>
          <w:kern w:val="0"/>
          <w:sz w:val="24"/>
          <w:szCs w:val="20"/>
          <w:highlight w:val="none"/>
        </w:rPr>
        <w:t>类一般工业固体废弃物，</w:t>
      </w:r>
      <w:r>
        <w:rPr>
          <w:rFonts w:hint="eastAsia"/>
          <w:color w:val="auto"/>
          <w:sz w:val="24"/>
          <w:szCs w:val="24"/>
          <w:highlight w:val="none"/>
        </w:rPr>
        <w:t>包含少量湍流除尘系统产生的部分沉渣，但由于含量很少，并不会影响</w:t>
      </w:r>
      <w:r>
        <w:rPr>
          <w:rFonts w:hint="eastAsia"/>
          <w:color w:val="auto"/>
          <w:sz w:val="24"/>
          <w:szCs w:val="24"/>
          <w:highlight w:val="none"/>
          <w:lang w:eastAsia="zh-CN"/>
        </w:rPr>
        <w:t>脱硫渣</w:t>
      </w:r>
      <w:r>
        <w:rPr>
          <w:rFonts w:hint="eastAsia"/>
          <w:color w:val="auto"/>
          <w:sz w:val="24"/>
          <w:szCs w:val="24"/>
          <w:highlight w:val="none"/>
        </w:rPr>
        <w:t>的回收，</w:t>
      </w:r>
      <w:r>
        <w:rPr>
          <w:snapToGrid w:val="0"/>
          <w:color w:val="auto"/>
          <w:kern w:val="0"/>
          <w:sz w:val="24"/>
          <w:szCs w:val="20"/>
          <w:highlight w:val="none"/>
        </w:rPr>
        <w:t>脱硫渣与灰渣排放方式相同，先排至灰渣场临时储存，最后送至建材企业</w:t>
      </w:r>
      <w:r>
        <w:rPr>
          <w:color w:val="auto"/>
          <w:kern w:val="0"/>
          <w:sz w:val="24"/>
          <w:szCs w:val="24"/>
          <w:highlight w:val="none"/>
        </w:rPr>
        <w:t>综合利用。</w:t>
      </w:r>
    </w:p>
    <w:p>
      <w:pPr>
        <w:spacing w:line="360" w:lineRule="auto"/>
        <w:ind w:firstLine="480" w:firstLineChars="200"/>
        <w:rPr>
          <w:color w:val="auto"/>
          <w:sz w:val="24"/>
          <w:szCs w:val="24"/>
          <w:highlight w:val="none"/>
        </w:rPr>
      </w:pPr>
      <w:r>
        <w:rPr>
          <w:rFonts w:hint="eastAsia"/>
          <w:color w:val="auto"/>
          <w:highlight w:val="none"/>
          <w:lang w:val="de-DE"/>
        </w:rPr>
        <w:t>（</w:t>
      </w:r>
      <w:r>
        <w:rPr>
          <w:rFonts w:hint="eastAsia"/>
          <w:color w:val="auto"/>
          <w:highlight w:val="none"/>
          <w:lang w:val="en-US" w:eastAsia="zh-CN"/>
        </w:rPr>
        <w:t>3</w:t>
      </w:r>
      <w:r>
        <w:rPr>
          <w:rFonts w:hint="eastAsia"/>
          <w:color w:val="auto"/>
          <w:highlight w:val="none"/>
          <w:lang w:val="de-DE"/>
        </w:rPr>
        <w:t>）</w:t>
      </w:r>
      <w:r>
        <w:rPr>
          <w:color w:val="auto"/>
          <w:sz w:val="24"/>
          <w:szCs w:val="24"/>
          <w:highlight w:val="none"/>
        </w:rPr>
        <w:t>废离子交换树脂</w:t>
      </w:r>
    </w:p>
    <w:p>
      <w:pPr>
        <w:spacing w:line="360" w:lineRule="auto"/>
        <w:ind w:firstLine="480" w:firstLineChars="200"/>
        <w:rPr>
          <w:color w:val="0000FF"/>
          <w:sz w:val="24"/>
          <w:szCs w:val="24"/>
          <w:highlight w:val="none"/>
        </w:rPr>
      </w:pPr>
      <w:r>
        <w:rPr>
          <w:color w:val="auto"/>
          <w:sz w:val="24"/>
          <w:szCs w:val="24"/>
          <w:highlight w:val="none"/>
        </w:rPr>
        <w:t>项目软化水制备过程中会有一定的废树脂产生，根据实际生产经验约6年更换一次每次约1.5t，平均产生量约为250kg/a，根据《国家危险废物名录（2021版）》</w:t>
      </w:r>
      <w:r>
        <w:rPr>
          <w:color w:val="0000FF"/>
          <w:sz w:val="24"/>
          <w:szCs w:val="24"/>
          <w:highlight w:val="none"/>
        </w:rPr>
        <w:t>关于废离子树脂，工业废水处理过程中产生的废离子交换树脂为危险废物，本项目不属于工业废水，仅为市政自来水软化，产生的废离子交换树脂不属于危险废物。故本次环评按照一般固体废物进行处置。</w:t>
      </w:r>
      <w:r>
        <w:rPr>
          <w:rFonts w:hint="eastAsia"/>
          <w:color w:val="0000FF"/>
          <w:sz w:val="24"/>
          <w:szCs w:val="24"/>
          <w:highlight w:val="none"/>
        </w:rPr>
        <w:t>本项目产生的</w:t>
      </w:r>
      <w:r>
        <w:rPr>
          <w:color w:val="0000FF"/>
          <w:sz w:val="24"/>
          <w:szCs w:val="24"/>
          <w:highlight w:val="none"/>
        </w:rPr>
        <w:t>废离子树脂全部由厂家更换后回收处置。</w:t>
      </w:r>
    </w:p>
    <w:p>
      <w:pPr>
        <w:spacing w:line="360" w:lineRule="auto"/>
        <w:ind w:firstLine="480" w:firstLineChars="200"/>
        <w:rPr>
          <w:rFonts w:hint="eastAsia"/>
          <w:color w:val="auto"/>
          <w:sz w:val="24"/>
          <w:szCs w:val="24"/>
          <w:highlight w:val="none"/>
          <w:lang w:val="de-DE"/>
        </w:rPr>
      </w:pPr>
      <w:r>
        <w:rPr>
          <w:rFonts w:hint="eastAsia"/>
          <w:color w:val="auto"/>
          <w:sz w:val="24"/>
          <w:szCs w:val="24"/>
          <w:highlight w:val="none"/>
        </w:rPr>
        <w:t>（</w:t>
      </w:r>
      <w:r>
        <w:rPr>
          <w:rFonts w:hint="eastAsia"/>
          <w:color w:val="auto"/>
          <w:sz w:val="24"/>
          <w:szCs w:val="24"/>
          <w:highlight w:val="none"/>
          <w:lang w:val="en-US" w:eastAsia="zh-CN"/>
        </w:rPr>
        <w:t>4</w:t>
      </w:r>
      <w:r>
        <w:rPr>
          <w:rFonts w:hint="eastAsia"/>
          <w:color w:val="auto"/>
          <w:sz w:val="24"/>
          <w:szCs w:val="24"/>
          <w:highlight w:val="none"/>
        </w:rPr>
        <w:t>）</w:t>
      </w:r>
      <w:r>
        <w:rPr>
          <w:rFonts w:hint="eastAsia"/>
          <w:color w:val="auto"/>
          <w:sz w:val="24"/>
          <w:szCs w:val="24"/>
          <w:highlight w:val="none"/>
          <w:lang w:val="de-DE"/>
        </w:rPr>
        <w:t>废弃滤袋</w:t>
      </w:r>
    </w:p>
    <w:p>
      <w:pPr>
        <w:bidi w:val="0"/>
        <w:rPr>
          <w:rFonts w:ascii="Times New Roman" w:hAnsi="Times New Roman"/>
          <w:color w:val="auto"/>
          <w:highlight w:val="none"/>
        </w:rPr>
      </w:pPr>
      <w:r>
        <w:rPr>
          <w:rFonts w:hint="eastAsia" w:ascii="Times New Roman" w:hAnsi="Times New Roman"/>
          <w:color w:val="auto"/>
          <w:kern w:val="2"/>
          <w:highlight w:val="none"/>
          <w:lang w:val="de-DE"/>
        </w:rPr>
        <w:t>本项目布袋除尘器废弃滤袋，根据《污染源源强核算技术指南</w:t>
      </w:r>
      <w:r>
        <w:rPr>
          <w:rFonts w:ascii="Times New Roman" w:hAnsi="Times New Roman"/>
          <w:color w:val="auto"/>
          <w:kern w:val="2"/>
          <w:highlight w:val="none"/>
          <w:lang w:val="de-DE"/>
        </w:rPr>
        <w:t xml:space="preserve"> </w:t>
      </w:r>
      <w:r>
        <w:rPr>
          <w:rFonts w:hint="eastAsia" w:ascii="Times New Roman" w:hAnsi="Times New Roman"/>
          <w:color w:val="auto"/>
          <w:kern w:val="2"/>
          <w:highlight w:val="none"/>
          <w:lang w:val="de-DE"/>
        </w:rPr>
        <w:t>锅炉》（</w:t>
      </w:r>
      <w:r>
        <w:rPr>
          <w:rFonts w:ascii="Times New Roman" w:hAnsi="Times New Roman"/>
          <w:color w:val="auto"/>
          <w:kern w:val="2"/>
          <w:highlight w:val="none"/>
          <w:lang w:val="de-DE"/>
        </w:rPr>
        <w:t>HJ991-2018</w:t>
      </w:r>
      <w:r>
        <w:rPr>
          <w:rFonts w:hint="eastAsia" w:ascii="Times New Roman" w:hAnsi="Times New Roman"/>
          <w:color w:val="auto"/>
          <w:kern w:val="2"/>
          <w:highlight w:val="none"/>
          <w:lang w:val="de-DE"/>
        </w:rPr>
        <w:t>）中要求，固体废物源强通过类比同类企业，废弃滤袋</w:t>
      </w:r>
      <w:r>
        <w:rPr>
          <w:rFonts w:ascii="Times New Roman" w:hAnsi="Times New Roman"/>
          <w:color w:val="auto"/>
          <w:kern w:val="2"/>
          <w:highlight w:val="none"/>
          <w:lang w:val="de-DE"/>
        </w:rPr>
        <w:t>0.</w:t>
      </w:r>
      <w:r>
        <w:rPr>
          <w:rFonts w:hint="eastAsia" w:ascii="Times New Roman" w:hAnsi="Times New Roman"/>
          <w:color w:val="auto"/>
          <w:kern w:val="2"/>
          <w:highlight w:val="none"/>
        </w:rPr>
        <w:t>02</w:t>
      </w:r>
      <w:r>
        <w:rPr>
          <w:rFonts w:ascii="Times New Roman" w:hAnsi="Times New Roman"/>
          <w:color w:val="auto"/>
          <w:kern w:val="2"/>
          <w:highlight w:val="none"/>
          <w:lang w:val="de-DE"/>
        </w:rPr>
        <w:t>t/a</w:t>
      </w:r>
      <w:r>
        <w:rPr>
          <w:rFonts w:hint="eastAsia" w:ascii="Times New Roman" w:hAnsi="Times New Roman"/>
          <w:color w:val="auto"/>
          <w:kern w:val="2"/>
          <w:highlight w:val="none"/>
          <w:lang w:val="de-DE"/>
        </w:rPr>
        <w:t>，由厂家回收。</w:t>
      </w:r>
    </w:p>
    <w:p>
      <w:pPr>
        <w:bidi w:val="0"/>
        <w:rPr>
          <w:rFonts w:hint="eastAsia" w:eastAsia="宋体"/>
          <w:color w:val="auto"/>
          <w:highlight w:val="none"/>
          <w:lang w:eastAsia="zh-CN"/>
        </w:rPr>
      </w:pPr>
      <w:r>
        <w:rPr>
          <w:rFonts w:hint="eastAsia"/>
          <w:color w:val="auto"/>
          <w:highlight w:val="none"/>
        </w:rPr>
        <w:t>（</w:t>
      </w:r>
      <w:r>
        <w:rPr>
          <w:rFonts w:hint="eastAsia"/>
          <w:color w:val="auto"/>
          <w:highlight w:val="none"/>
          <w:lang w:val="en-US" w:eastAsia="zh-CN"/>
        </w:rPr>
        <w:t>5</w:t>
      </w:r>
      <w:r>
        <w:rPr>
          <w:rFonts w:hint="eastAsia"/>
          <w:color w:val="auto"/>
          <w:highlight w:val="none"/>
        </w:rPr>
        <w:t>）废</w:t>
      </w:r>
      <w:r>
        <w:rPr>
          <w:rFonts w:hint="eastAsia"/>
          <w:color w:val="auto"/>
          <w:highlight w:val="none"/>
          <w:lang w:eastAsia="zh-CN"/>
        </w:rPr>
        <w:t>润滑油</w:t>
      </w:r>
    </w:p>
    <w:p>
      <w:pPr>
        <w:bidi w:val="0"/>
        <w:rPr>
          <w:rFonts w:hint="default"/>
          <w:color w:val="auto"/>
          <w:highlight w:val="none"/>
        </w:rPr>
      </w:pPr>
      <w:r>
        <w:rPr>
          <w:color w:val="auto"/>
          <w:highlight w:val="none"/>
        </w:rPr>
        <w:t>本项目</w:t>
      </w:r>
      <w:r>
        <w:rPr>
          <w:rFonts w:hint="eastAsia"/>
          <w:color w:val="auto"/>
          <w:highlight w:val="none"/>
        </w:rPr>
        <w:t>设备维修过</w:t>
      </w:r>
      <w:r>
        <w:rPr>
          <w:rFonts w:hint="default"/>
          <w:color w:val="auto"/>
          <w:highlight w:val="none"/>
        </w:rPr>
        <w:t>程中会产生少量的废</w:t>
      </w:r>
      <w:r>
        <w:rPr>
          <w:rFonts w:hint="eastAsia"/>
          <w:color w:val="auto"/>
          <w:highlight w:val="none"/>
          <w:lang w:eastAsia="zh-CN"/>
        </w:rPr>
        <w:t>润滑油</w:t>
      </w:r>
      <w:r>
        <w:rPr>
          <w:rFonts w:hint="default"/>
          <w:color w:val="auto"/>
          <w:highlight w:val="none"/>
        </w:rPr>
        <w:t>，属于危险废物，根据《国家危险废物名录》（2021年版），</w:t>
      </w:r>
      <w:r>
        <w:rPr>
          <w:rFonts w:hint="eastAsia"/>
          <w:color w:val="auto"/>
          <w:highlight w:val="none"/>
          <w:lang w:eastAsia="zh-CN"/>
        </w:rPr>
        <w:t>废润滑油</w:t>
      </w:r>
      <w:r>
        <w:rPr>
          <w:rFonts w:hint="default"/>
          <w:color w:val="auto"/>
          <w:highlight w:val="none"/>
        </w:rPr>
        <w:t>属于HW08废矿物油与含矿物油废物，废物代码为900-</w:t>
      </w:r>
      <w:r>
        <w:rPr>
          <w:rFonts w:hint="eastAsia"/>
          <w:color w:val="auto"/>
          <w:highlight w:val="none"/>
          <w:lang w:val="en-US" w:eastAsia="zh-CN"/>
        </w:rPr>
        <w:t>217</w:t>
      </w:r>
      <w:r>
        <w:rPr>
          <w:rFonts w:hint="default"/>
          <w:color w:val="auto"/>
          <w:highlight w:val="none"/>
        </w:rPr>
        <w:t>-08。废</w:t>
      </w:r>
      <w:r>
        <w:rPr>
          <w:rFonts w:hint="eastAsia"/>
          <w:color w:val="auto"/>
          <w:highlight w:val="none"/>
          <w:lang w:eastAsia="zh-CN"/>
        </w:rPr>
        <w:t>润滑油</w:t>
      </w:r>
      <w:r>
        <w:rPr>
          <w:rFonts w:hint="default"/>
          <w:color w:val="auto"/>
          <w:highlight w:val="none"/>
        </w:rPr>
        <w:t>年产生量约为0.</w:t>
      </w:r>
      <w:r>
        <w:rPr>
          <w:rFonts w:hint="eastAsia"/>
          <w:color w:val="auto"/>
          <w:highlight w:val="none"/>
          <w:lang w:val="en-US" w:eastAsia="zh-CN"/>
        </w:rPr>
        <w:t>2</w:t>
      </w:r>
      <w:r>
        <w:rPr>
          <w:rFonts w:hint="default"/>
          <w:color w:val="auto"/>
          <w:highlight w:val="none"/>
        </w:rPr>
        <w:t>t</w:t>
      </w:r>
      <w:r>
        <w:rPr>
          <w:rFonts w:hint="eastAsia"/>
          <w:color w:val="auto"/>
          <w:highlight w:val="none"/>
          <w:lang w:eastAsia="zh-CN"/>
        </w:rPr>
        <w:t>，废润滑油</w:t>
      </w:r>
      <w:r>
        <w:rPr>
          <w:rFonts w:hint="default"/>
          <w:color w:val="auto"/>
          <w:highlight w:val="none"/>
        </w:rPr>
        <w:t>集中收集</w:t>
      </w:r>
      <w:r>
        <w:rPr>
          <w:rFonts w:hint="eastAsia"/>
          <w:color w:val="auto"/>
          <w:highlight w:val="none"/>
          <w:lang w:eastAsia="zh-CN"/>
        </w:rPr>
        <w:t>后暂存于危废间内，定期委托有资质单位处置</w:t>
      </w:r>
      <w:r>
        <w:rPr>
          <w:rFonts w:hint="default"/>
          <w:color w:val="auto"/>
          <w:highlight w:val="none"/>
        </w:rPr>
        <w:t>。</w:t>
      </w:r>
    </w:p>
    <w:p>
      <w:pPr>
        <w:bidi w:val="0"/>
        <w:rPr>
          <w:rFonts w:hint="eastAsia"/>
          <w:color w:val="auto"/>
          <w:highlight w:val="none"/>
          <w:lang w:eastAsia="zh-CN"/>
        </w:rPr>
      </w:pPr>
      <w:r>
        <w:rPr>
          <w:rFonts w:hint="eastAsia"/>
          <w:color w:val="auto"/>
          <w:highlight w:val="none"/>
        </w:rPr>
        <w:t>（</w:t>
      </w:r>
      <w:r>
        <w:rPr>
          <w:rFonts w:hint="eastAsia"/>
          <w:color w:val="auto"/>
          <w:highlight w:val="none"/>
          <w:lang w:val="en-US" w:eastAsia="zh-CN"/>
        </w:rPr>
        <w:t>6</w:t>
      </w:r>
      <w:r>
        <w:rPr>
          <w:rFonts w:hint="eastAsia"/>
          <w:color w:val="auto"/>
          <w:highlight w:val="none"/>
        </w:rPr>
        <w:t>）</w:t>
      </w:r>
      <w:r>
        <w:rPr>
          <w:rFonts w:hint="eastAsia"/>
          <w:color w:val="auto"/>
          <w:highlight w:val="none"/>
          <w:lang w:eastAsia="zh-CN"/>
        </w:rPr>
        <w:t>生活垃圾</w:t>
      </w:r>
    </w:p>
    <w:p>
      <w:pPr>
        <w:bidi w:val="0"/>
        <w:rPr>
          <w:rFonts w:hint="default"/>
          <w:color w:val="auto"/>
          <w:highlight w:val="none"/>
        </w:rPr>
      </w:pPr>
      <w:r>
        <w:rPr>
          <w:rFonts w:hint="eastAsia"/>
          <w:color w:val="auto"/>
          <w:highlight w:val="none"/>
          <w:lang w:eastAsia="zh-CN"/>
        </w:rPr>
        <w:t>本项目无新增员工，无新增生活垃圾。</w:t>
      </w:r>
    </w:p>
    <w:p>
      <w:pPr>
        <w:bidi w:val="0"/>
        <w:rPr>
          <w:rFonts w:hint="default"/>
          <w:color w:val="auto"/>
          <w:highlight w:val="none"/>
        </w:rPr>
      </w:pPr>
      <w:r>
        <w:rPr>
          <w:rFonts w:hint="default"/>
          <w:color w:val="auto"/>
          <w:highlight w:val="none"/>
        </w:rPr>
        <w:t>固体废物产生及排放情况，见表3.</w:t>
      </w:r>
      <w:r>
        <w:rPr>
          <w:rFonts w:hint="eastAsia"/>
          <w:color w:val="auto"/>
          <w:highlight w:val="none"/>
          <w:lang w:val="en-US" w:eastAsia="zh-CN"/>
        </w:rPr>
        <w:t>11</w:t>
      </w:r>
      <w:r>
        <w:rPr>
          <w:rFonts w:hint="default"/>
          <w:color w:val="auto"/>
          <w:highlight w:val="none"/>
        </w:rPr>
        <w:t>-</w:t>
      </w:r>
      <w:r>
        <w:rPr>
          <w:rFonts w:hint="eastAsia"/>
          <w:color w:val="auto"/>
          <w:highlight w:val="none"/>
          <w:lang w:val="en-US" w:eastAsia="zh-CN"/>
        </w:rPr>
        <w:t>5</w:t>
      </w:r>
      <w:r>
        <w:rPr>
          <w:rFonts w:hint="default"/>
          <w:color w:val="auto"/>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50"/>
        <w:jc w:val="center"/>
        <w:textAlignment w:val="auto"/>
        <w:rPr>
          <w:color w:val="auto"/>
          <w:highlight w:val="none"/>
        </w:rPr>
      </w:pPr>
      <w:r>
        <w:rPr>
          <w:b/>
          <w:bCs/>
          <w:color w:val="auto"/>
          <w:spacing w:val="-2"/>
          <w:sz w:val="21"/>
          <w:szCs w:val="21"/>
          <w:highlight w:val="none"/>
        </w:rPr>
        <w:t>表3.</w:t>
      </w:r>
      <w:r>
        <w:rPr>
          <w:rFonts w:hint="eastAsia"/>
          <w:b/>
          <w:bCs/>
          <w:color w:val="auto"/>
          <w:spacing w:val="-2"/>
          <w:sz w:val="21"/>
          <w:szCs w:val="21"/>
          <w:highlight w:val="none"/>
          <w:lang w:val="en-US" w:eastAsia="zh-CN"/>
        </w:rPr>
        <w:t>11</w:t>
      </w:r>
      <w:r>
        <w:rPr>
          <w:b/>
          <w:bCs/>
          <w:color w:val="auto"/>
          <w:spacing w:val="-2"/>
          <w:sz w:val="21"/>
          <w:szCs w:val="21"/>
          <w:highlight w:val="none"/>
        </w:rPr>
        <w:t>-</w:t>
      </w:r>
      <w:r>
        <w:rPr>
          <w:rFonts w:hint="eastAsia"/>
          <w:b/>
          <w:bCs/>
          <w:color w:val="auto"/>
          <w:spacing w:val="-2"/>
          <w:sz w:val="21"/>
          <w:szCs w:val="21"/>
          <w:highlight w:val="none"/>
          <w:lang w:val="en-US" w:eastAsia="zh-CN"/>
        </w:rPr>
        <w:t>5</w:t>
      </w:r>
      <w:r>
        <w:rPr>
          <w:b/>
          <w:bCs/>
          <w:color w:val="auto"/>
          <w:spacing w:val="2"/>
          <w:sz w:val="21"/>
          <w:szCs w:val="21"/>
          <w:highlight w:val="none"/>
        </w:rPr>
        <w:t xml:space="preserve">    </w:t>
      </w:r>
      <w:r>
        <w:rPr>
          <w:b/>
          <w:bCs/>
          <w:color w:val="auto"/>
          <w:spacing w:val="-2"/>
          <w:sz w:val="21"/>
          <w:szCs w:val="21"/>
          <w:highlight w:val="none"/>
        </w:rPr>
        <w:t>固体废物产生及排放情况一览表</w:t>
      </w:r>
    </w:p>
    <w:tbl>
      <w:tblPr>
        <w:tblStyle w:val="31"/>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8"/>
        <w:gridCol w:w="1335"/>
        <w:gridCol w:w="376"/>
        <w:gridCol w:w="627"/>
        <w:gridCol w:w="961"/>
        <w:gridCol w:w="1168"/>
        <w:gridCol w:w="1165"/>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b/>
                <w:bCs/>
                <w:color w:val="auto"/>
                <w:spacing w:val="-3"/>
                <w:sz w:val="21"/>
                <w:szCs w:val="21"/>
                <w:highlight w:val="none"/>
              </w:rPr>
              <w:t>产污</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b/>
                <w:bCs/>
                <w:color w:val="auto"/>
                <w:spacing w:val="-3"/>
                <w:sz w:val="21"/>
                <w:szCs w:val="21"/>
                <w:highlight w:val="none"/>
              </w:rPr>
              <w:t>环节</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b/>
                <w:bCs/>
                <w:color w:val="auto"/>
                <w:spacing w:val="-3"/>
                <w:sz w:val="21"/>
                <w:szCs w:val="21"/>
                <w:highlight w:val="none"/>
              </w:rPr>
              <w:t>名称</w:t>
            </w:r>
          </w:p>
        </w:tc>
        <w:tc>
          <w:tcPr>
            <w:tcW w:w="3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b/>
                <w:bCs/>
                <w:color w:val="auto"/>
                <w:spacing w:val="-3"/>
                <w:sz w:val="21"/>
                <w:szCs w:val="21"/>
                <w:highlight w:val="none"/>
              </w:rPr>
              <w:t>属性</w:t>
            </w: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b/>
                <w:bCs/>
                <w:color w:val="auto"/>
                <w:spacing w:val="-3"/>
                <w:sz w:val="21"/>
                <w:szCs w:val="21"/>
                <w:highlight w:val="none"/>
              </w:rPr>
              <w:t>物理</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b/>
                <w:bCs/>
                <w:color w:val="auto"/>
                <w:spacing w:val="-3"/>
                <w:sz w:val="21"/>
                <w:szCs w:val="21"/>
                <w:highlight w:val="none"/>
              </w:rPr>
              <w:t>性状</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b/>
                <w:bCs/>
                <w:color w:val="auto"/>
                <w:spacing w:val="-3"/>
                <w:sz w:val="21"/>
                <w:szCs w:val="21"/>
                <w:highlight w:val="none"/>
              </w:rPr>
            </w:pPr>
            <w:r>
              <w:rPr>
                <w:rFonts w:hint="eastAsia"/>
                <w:b/>
                <w:bCs/>
                <w:color w:val="auto"/>
                <w:spacing w:val="-3"/>
                <w:sz w:val="21"/>
                <w:szCs w:val="21"/>
                <w:highlight w:val="none"/>
              </w:rPr>
              <w:t>废物类别</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rFonts w:hint="eastAsia"/>
                <w:b/>
                <w:bCs/>
                <w:color w:val="auto"/>
                <w:spacing w:val="-3"/>
                <w:sz w:val="21"/>
                <w:szCs w:val="21"/>
                <w:highlight w:val="none"/>
              </w:rPr>
              <w:t>废物</w:t>
            </w:r>
            <w:r>
              <w:rPr>
                <w:b/>
                <w:bCs/>
                <w:color w:val="auto"/>
                <w:spacing w:val="-3"/>
                <w:sz w:val="21"/>
                <w:szCs w:val="21"/>
                <w:highlight w:val="none"/>
              </w:rPr>
              <w:t>代码</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b/>
                <w:bCs/>
                <w:color w:val="auto"/>
                <w:spacing w:val="-3"/>
                <w:sz w:val="21"/>
                <w:szCs w:val="21"/>
                <w:highlight w:val="none"/>
              </w:rPr>
              <w:t>产生量</w:t>
            </w:r>
            <w:r>
              <w:rPr>
                <w:rFonts w:hint="eastAsia"/>
                <w:b/>
                <w:bCs/>
                <w:color w:val="auto"/>
                <w:spacing w:val="-3"/>
                <w:sz w:val="21"/>
                <w:szCs w:val="21"/>
                <w:highlight w:val="none"/>
                <w:lang w:eastAsia="zh-CN"/>
              </w:rPr>
              <w:t>（</w:t>
            </w:r>
            <w:r>
              <w:rPr>
                <w:b/>
                <w:bCs/>
                <w:color w:val="auto"/>
                <w:spacing w:val="-3"/>
                <w:sz w:val="21"/>
                <w:szCs w:val="21"/>
                <w:highlight w:val="none"/>
              </w:rPr>
              <w:t>t/a</w:t>
            </w:r>
            <w:r>
              <w:rPr>
                <w:rFonts w:hint="eastAsia"/>
                <w:b/>
                <w:bCs/>
                <w:color w:val="auto"/>
                <w:spacing w:val="-3"/>
                <w:sz w:val="21"/>
                <w:szCs w:val="21"/>
                <w:highlight w:val="none"/>
                <w:lang w:eastAsia="zh-CN"/>
              </w:rPr>
              <w:t>）</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pacing w:val="-3"/>
                <w:sz w:val="21"/>
                <w:szCs w:val="21"/>
                <w:highlight w:val="none"/>
              </w:rPr>
            </w:pPr>
            <w:r>
              <w:rPr>
                <w:b/>
                <w:bCs/>
                <w:color w:val="auto"/>
                <w:spacing w:val="-3"/>
                <w:sz w:val="21"/>
                <w:szCs w:val="21"/>
                <w:highlight w:val="none"/>
              </w:rPr>
              <w:t>利用和处置去向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9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生产</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车间</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eastAsia="zh-CN"/>
              </w:rPr>
              <w:t>脱硫渣</w:t>
            </w:r>
          </w:p>
        </w:tc>
        <w:tc>
          <w:tcPr>
            <w:tcW w:w="37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一般工业固废</w:t>
            </w: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val="en-US" w:eastAsia="zh-CN"/>
              </w:rPr>
              <w:t>脱硫渣（65）</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443-999-65</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144.26</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收集后作为建筑材料外售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13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rFonts w:hint="eastAsia"/>
                <w:color w:val="auto"/>
                <w:spacing w:val="-5"/>
                <w:sz w:val="21"/>
                <w:szCs w:val="21"/>
                <w:highlight w:val="none"/>
              </w:rPr>
              <w:t>灰</w:t>
            </w:r>
            <w:r>
              <w:rPr>
                <w:color w:val="auto"/>
                <w:spacing w:val="-5"/>
                <w:sz w:val="21"/>
                <w:szCs w:val="21"/>
                <w:highlight w:val="none"/>
              </w:rPr>
              <w:t>渣</w:t>
            </w:r>
          </w:p>
        </w:tc>
        <w:tc>
          <w:tcPr>
            <w:tcW w:w="37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eastAsia="zh-CN"/>
              </w:rPr>
              <w:t>锅炉渣（</w:t>
            </w:r>
            <w:r>
              <w:rPr>
                <w:rFonts w:hint="eastAsia"/>
                <w:color w:val="auto"/>
                <w:spacing w:val="-5"/>
                <w:sz w:val="21"/>
                <w:szCs w:val="21"/>
                <w:highlight w:val="none"/>
                <w:lang w:val="en-US" w:eastAsia="zh-CN"/>
              </w:rPr>
              <w:t>64</w:t>
            </w:r>
            <w:r>
              <w:rPr>
                <w:rFonts w:hint="eastAsia"/>
                <w:color w:val="auto"/>
                <w:spacing w:val="-5"/>
                <w:sz w:val="21"/>
                <w:szCs w:val="21"/>
                <w:highlight w:val="none"/>
                <w:lang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443-999-</w:t>
            </w:r>
            <w:r>
              <w:rPr>
                <w:rFonts w:hint="eastAsia"/>
                <w:color w:val="auto"/>
                <w:spacing w:val="-5"/>
                <w:sz w:val="21"/>
                <w:szCs w:val="21"/>
                <w:highlight w:val="none"/>
              </w:rPr>
              <w:t>6</w:t>
            </w:r>
            <w:r>
              <w:rPr>
                <w:color w:val="auto"/>
                <w:spacing w:val="-5"/>
                <w:sz w:val="21"/>
                <w:szCs w:val="21"/>
                <w:highlight w:val="none"/>
              </w:rPr>
              <w:t>4</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00B050"/>
                <w:spacing w:val="-5"/>
                <w:sz w:val="21"/>
                <w:szCs w:val="21"/>
                <w:highlight w:val="none"/>
                <w:lang w:val="en-US" w:eastAsia="zh-CN"/>
              </w:rPr>
              <w:t>7011.14</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收集后作为建筑材料外售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13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37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auto"/>
                <w:spacing w:val="-5"/>
                <w:sz w:val="21"/>
                <w:szCs w:val="21"/>
                <w:highlight w:val="none"/>
                <w:lang w:eastAsia="zh-CN"/>
              </w:rPr>
              <w:t>粉煤灰（</w:t>
            </w:r>
            <w:r>
              <w:rPr>
                <w:rFonts w:hint="eastAsia"/>
                <w:color w:val="auto"/>
                <w:spacing w:val="-5"/>
                <w:sz w:val="21"/>
                <w:szCs w:val="21"/>
                <w:highlight w:val="none"/>
                <w:lang w:val="en-US" w:eastAsia="zh-CN"/>
              </w:rPr>
              <w:t>63</w:t>
            </w:r>
            <w:r>
              <w:rPr>
                <w:rFonts w:hint="eastAsia"/>
                <w:color w:val="auto"/>
                <w:spacing w:val="-5"/>
                <w:sz w:val="21"/>
                <w:szCs w:val="21"/>
                <w:highlight w:val="none"/>
                <w:lang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pacing w:val="-5"/>
                <w:sz w:val="21"/>
                <w:szCs w:val="21"/>
                <w:highlight w:val="none"/>
              </w:rPr>
            </w:pPr>
            <w:r>
              <w:rPr>
                <w:color w:val="auto"/>
                <w:spacing w:val="-5"/>
                <w:sz w:val="21"/>
                <w:szCs w:val="21"/>
                <w:highlight w:val="none"/>
              </w:rPr>
              <w:t>443-999-6</w:t>
            </w:r>
            <w:r>
              <w:rPr>
                <w:rFonts w:hint="eastAsia"/>
                <w:color w:val="auto"/>
                <w:spacing w:val="-5"/>
                <w:sz w:val="21"/>
                <w:szCs w:val="21"/>
                <w:highlight w:val="none"/>
              </w:rPr>
              <w:t>3</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eastAsia="zh-CN"/>
              </w:rPr>
              <w:t>53.83</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收集后作为建筑材料外售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rFonts w:hint="eastAsia"/>
                <w:color w:val="auto"/>
                <w:spacing w:val="-5"/>
                <w:sz w:val="21"/>
                <w:szCs w:val="21"/>
                <w:highlight w:val="none"/>
              </w:rPr>
              <w:t>废</w:t>
            </w:r>
            <w:r>
              <w:rPr>
                <w:color w:val="auto"/>
                <w:spacing w:val="-5"/>
                <w:sz w:val="21"/>
                <w:szCs w:val="21"/>
                <w:highlight w:val="none"/>
              </w:rPr>
              <w:t>离子交换树脂</w:t>
            </w:r>
          </w:p>
        </w:tc>
        <w:tc>
          <w:tcPr>
            <w:tcW w:w="37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pacing w:val="-5"/>
                <w:sz w:val="21"/>
                <w:szCs w:val="21"/>
                <w:highlight w:val="none"/>
              </w:rPr>
            </w:pPr>
            <w:r>
              <w:rPr>
                <w:color w:val="0000FF"/>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00FF"/>
                <w:spacing w:val="-5"/>
                <w:sz w:val="21"/>
                <w:szCs w:val="21"/>
                <w:highlight w:val="none"/>
                <w:lang w:eastAsia="zh-CN"/>
              </w:rPr>
            </w:pPr>
            <w:r>
              <w:rPr>
                <w:rFonts w:hint="eastAsia"/>
                <w:color w:val="0000FF"/>
                <w:spacing w:val="-5"/>
                <w:sz w:val="21"/>
                <w:szCs w:val="21"/>
                <w:highlight w:val="none"/>
                <w:lang w:eastAsia="zh-CN"/>
              </w:rPr>
              <w:t>其他废物（</w:t>
            </w:r>
            <w:r>
              <w:rPr>
                <w:rFonts w:hint="eastAsia"/>
                <w:color w:val="0000FF"/>
                <w:spacing w:val="-5"/>
                <w:sz w:val="21"/>
                <w:szCs w:val="21"/>
                <w:highlight w:val="none"/>
                <w:lang w:val="en-US" w:eastAsia="zh-CN"/>
              </w:rPr>
              <w:t>99</w:t>
            </w:r>
            <w:r>
              <w:rPr>
                <w:rFonts w:hint="eastAsia"/>
                <w:color w:val="0000FF"/>
                <w:spacing w:val="-5"/>
                <w:sz w:val="21"/>
                <w:szCs w:val="21"/>
                <w:highlight w:val="none"/>
                <w:lang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spacing w:val="-5"/>
                <w:sz w:val="21"/>
                <w:szCs w:val="21"/>
                <w:highlight w:val="none"/>
                <w:lang w:val="en-US" w:eastAsia="zh-CN"/>
              </w:rPr>
            </w:pPr>
            <w:r>
              <w:rPr>
                <w:rFonts w:hint="eastAsia"/>
                <w:color w:val="0000FF"/>
                <w:spacing w:val="-5"/>
                <w:sz w:val="21"/>
                <w:szCs w:val="21"/>
                <w:highlight w:val="none"/>
              </w:rPr>
              <w:t>292</w:t>
            </w:r>
            <w:r>
              <w:rPr>
                <w:color w:val="0000FF"/>
                <w:spacing w:val="-5"/>
                <w:sz w:val="21"/>
                <w:szCs w:val="21"/>
                <w:highlight w:val="none"/>
              </w:rPr>
              <w:t>-009-</w:t>
            </w:r>
            <w:r>
              <w:rPr>
                <w:rFonts w:hint="eastAsia"/>
                <w:color w:val="0000FF"/>
                <w:spacing w:val="-5"/>
                <w:sz w:val="21"/>
                <w:szCs w:val="21"/>
                <w:highlight w:val="none"/>
                <w:lang w:val="en-US" w:eastAsia="zh-CN"/>
              </w:rPr>
              <w:t>99</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spacing w:val="-5"/>
                <w:sz w:val="21"/>
                <w:szCs w:val="21"/>
                <w:highlight w:val="none"/>
                <w:lang w:val="en-US" w:eastAsia="zh-CN"/>
              </w:rPr>
            </w:pPr>
            <w:r>
              <w:rPr>
                <w:rFonts w:hint="eastAsia"/>
                <w:color w:val="0000FF"/>
                <w:spacing w:val="-5"/>
                <w:sz w:val="21"/>
                <w:szCs w:val="21"/>
                <w:highlight w:val="none"/>
                <w:lang w:val="en-US" w:eastAsia="zh-CN"/>
              </w:rPr>
              <w:t>0.25</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pacing w:val="-5"/>
                <w:sz w:val="21"/>
                <w:szCs w:val="21"/>
                <w:highlight w:val="none"/>
              </w:rPr>
            </w:pPr>
            <w:r>
              <w:rPr>
                <w:color w:val="0000FF"/>
                <w:spacing w:val="-5"/>
                <w:sz w:val="21"/>
                <w:szCs w:val="21"/>
                <w:highlight w:val="none"/>
              </w:rPr>
              <w:t>由厂家回收处置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rFonts w:hint="eastAsia"/>
                <w:color w:val="auto"/>
                <w:spacing w:val="-5"/>
                <w:sz w:val="21"/>
                <w:szCs w:val="21"/>
                <w:highlight w:val="none"/>
                <w:lang w:val="de-DE"/>
              </w:rPr>
              <w:t>废弃滤袋</w:t>
            </w:r>
          </w:p>
        </w:tc>
        <w:tc>
          <w:tcPr>
            <w:tcW w:w="37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pacing w:val="-5"/>
                <w:sz w:val="21"/>
                <w:szCs w:val="21"/>
                <w:highlight w:val="none"/>
              </w:rPr>
            </w:pPr>
            <w:r>
              <w:rPr>
                <w:rFonts w:hint="eastAsia"/>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val="en-US" w:eastAsia="zh-CN"/>
              </w:rPr>
              <w:t>其他废物（99）</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rFonts w:hint="eastAsia"/>
                <w:color w:val="auto"/>
                <w:spacing w:val="-5"/>
                <w:sz w:val="21"/>
                <w:szCs w:val="21"/>
                <w:highlight w:val="none"/>
              </w:rPr>
              <w:t>900-999-</w:t>
            </w:r>
            <w:r>
              <w:rPr>
                <w:rFonts w:hint="eastAsia"/>
                <w:color w:val="auto"/>
                <w:spacing w:val="-5"/>
                <w:sz w:val="21"/>
                <w:szCs w:val="21"/>
                <w:highlight w:val="none"/>
                <w:lang w:val="en-US" w:eastAsia="zh-CN"/>
              </w:rPr>
              <w:t>9</w:t>
            </w:r>
            <w:r>
              <w:rPr>
                <w:rFonts w:hint="eastAsia"/>
                <w:color w:val="auto"/>
                <w:spacing w:val="-5"/>
                <w:sz w:val="21"/>
                <w:szCs w:val="21"/>
                <w:highlight w:val="none"/>
              </w:rPr>
              <w:t>9</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0.02</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pacing w:val="-5"/>
                <w:sz w:val="21"/>
                <w:szCs w:val="21"/>
                <w:highlight w:val="none"/>
              </w:rPr>
            </w:pPr>
            <w:r>
              <w:rPr>
                <w:rFonts w:hint="eastAsia"/>
                <w:color w:val="auto"/>
                <w:spacing w:val="-5"/>
                <w:sz w:val="21"/>
                <w:szCs w:val="21"/>
                <w:highlight w:val="none"/>
              </w:rPr>
              <w:t>由厂家回收处置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pacing w:val="-5"/>
                <w:sz w:val="21"/>
                <w:szCs w:val="21"/>
                <w:highlight w:val="none"/>
              </w:rPr>
            </w:pPr>
            <w:r>
              <w:rPr>
                <w:rFonts w:ascii="Times New Roman" w:hAnsi="Times New Roman" w:eastAsia="宋体" w:cs="Times New Roman"/>
                <w:color w:val="auto"/>
                <w:spacing w:val="-5"/>
                <w:sz w:val="21"/>
                <w:szCs w:val="21"/>
                <w:highlight w:val="none"/>
              </w:rPr>
              <w:t>生产</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pacing w:val="-5"/>
                <w:sz w:val="21"/>
                <w:szCs w:val="21"/>
                <w:highlight w:val="none"/>
              </w:rPr>
            </w:pPr>
            <w:r>
              <w:rPr>
                <w:rFonts w:ascii="Times New Roman" w:hAnsi="Times New Roman" w:eastAsia="宋体" w:cs="Times New Roman"/>
                <w:color w:val="auto"/>
                <w:spacing w:val="-5"/>
                <w:sz w:val="21"/>
                <w:szCs w:val="21"/>
                <w:highlight w:val="none"/>
              </w:rPr>
              <w:t>过程</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5"/>
                <w:sz w:val="21"/>
                <w:szCs w:val="21"/>
                <w:highlight w:val="none"/>
                <w:lang w:eastAsia="zh-CN"/>
              </w:rPr>
            </w:pPr>
            <w:r>
              <w:rPr>
                <w:rFonts w:ascii="Times New Roman" w:hAnsi="Times New Roman" w:eastAsia="宋体" w:cs="Times New Roman"/>
                <w:color w:val="auto"/>
                <w:spacing w:val="-5"/>
                <w:sz w:val="21"/>
                <w:szCs w:val="21"/>
                <w:highlight w:val="none"/>
              </w:rPr>
              <w:t>废</w:t>
            </w:r>
            <w:r>
              <w:rPr>
                <w:rFonts w:hint="eastAsia" w:ascii="Times New Roman" w:hAnsi="Times New Roman" w:eastAsia="宋体" w:cs="Times New Roman"/>
                <w:color w:val="auto"/>
                <w:spacing w:val="-5"/>
                <w:sz w:val="21"/>
                <w:szCs w:val="21"/>
                <w:highlight w:val="none"/>
                <w:lang w:eastAsia="zh-CN"/>
              </w:rPr>
              <w:t>润滑油</w:t>
            </w:r>
          </w:p>
        </w:tc>
        <w:tc>
          <w:tcPr>
            <w:tcW w:w="100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ascii="Times New Roman" w:hAnsi="Times New Roman" w:eastAsia="宋体" w:cs="Times New Roman"/>
                <w:color w:val="auto"/>
                <w:spacing w:val="-5"/>
                <w:sz w:val="21"/>
                <w:szCs w:val="21"/>
                <w:highlight w:val="none"/>
              </w:rPr>
              <w:t>危险废物</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eastAsia="zh-CN"/>
              </w:rPr>
              <w:t>废矿物油与含矿物油废物</w:t>
            </w:r>
            <w:r>
              <w:rPr>
                <w:rFonts w:ascii="Times New Roman" w:hAnsi="Times New Roman" w:eastAsia="宋体" w:cs="Times New Roman"/>
                <w:color w:val="auto"/>
                <w:spacing w:val="-5"/>
                <w:sz w:val="21"/>
                <w:szCs w:val="21"/>
                <w:highlight w:val="none"/>
              </w:rPr>
              <w:t>HW</w:t>
            </w:r>
            <w:r>
              <w:rPr>
                <w:rFonts w:hint="eastAsia" w:ascii="Times New Roman" w:hAnsi="Times New Roman" w:eastAsia="宋体" w:cs="Times New Roman"/>
                <w:color w:val="auto"/>
                <w:spacing w:val="-5"/>
                <w:sz w:val="21"/>
                <w:szCs w:val="21"/>
                <w:highlight w:val="none"/>
              </w:rPr>
              <w:t>08</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5"/>
                <w:sz w:val="21"/>
                <w:szCs w:val="21"/>
                <w:highlight w:val="none"/>
                <w:lang w:val="en-US" w:eastAsia="zh-CN"/>
              </w:rPr>
            </w:pPr>
            <w:r>
              <w:rPr>
                <w:rFonts w:ascii="Times New Roman" w:hAnsi="Times New Roman" w:eastAsia="宋体" w:cs="Times New Roman"/>
                <w:color w:val="auto"/>
                <w:spacing w:val="-5"/>
                <w:sz w:val="21"/>
                <w:szCs w:val="21"/>
                <w:highlight w:val="none"/>
              </w:rPr>
              <w:t>900-2</w:t>
            </w:r>
            <w:r>
              <w:rPr>
                <w:rFonts w:hint="eastAsia" w:ascii="Times New Roman" w:hAnsi="Times New Roman" w:eastAsia="宋体" w:cs="Times New Roman"/>
                <w:color w:val="auto"/>
                <w:spacing w:val="-5"/>
                <w:sz w:val="21"/>
                <w:szCs w:val="21"/>
                <w:highlight w:val="none"/>
                <w:lang w:val="en-US" w:eastAsia="zh-CN"/>
              </w:rPr>
              <w:t>17</w:t>
            </w:r>
            <w:r>
              <w:rPr>
                <w:rFonts w:ascii="Times New Roman" w:hAnsi="Times New Roman" w:eastAsia="宋体" w:cs="Times New Roman"/>
                <w:color w:val="auto"/>
                <w:spacing w:val="-5"/>
                <w:sz w:val="21"/>
                <w:szCs w:val="21"/>
                <w:highlight w:val="none"/>
              </w:rPr>
              <w:t>-08</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ascii="Times New Roman" w:hAnsi="Times New Roman" w:eastAsia="宋体" w:cs="Times New Roman"/>
                <w:color w:val="auto"/>
                <w:spacing w:val="-5"/>
                <w:sz w:val="21"/>
                <w:szCs w:val="21"/>
                <w:highlight w:val="none"/>
              </w:rPr>
              <w:t>0.</w:t>
            </w:r>
            <w:r>
              <w:rPr>
                <w:rFonts w:hint="eastAsia" w:ascii="Times New Roman" w:hAnsi="Times New Roman" w:eastAsia="宋体" w:cs="Times New Roman"/>
                <w:color w:val="auto"/>
                <w:spacing w:val="-5"/>
                <w:sz w:val="21"/>
                <w:szCs w:val="21"/>
                <w:highlight w:val="none"/>
                <w:lang w:val="en-US" w:eastAsia="zh-CN"/>
              </w:rPr>
              <w:t>2</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pacing w:val="-5"/>
                <w:sz w:val="21"/>
                <w:szCs w:val="21"/>
                <w:highlight w:val="none"/>
              </w:rPr>
            </w:pPr>
            <w:r>
              <w:rPr>
                <w:rFonts w:hint="eastAsia" w:ascii="Times New Roman" w:hAnsi="Times New Roman" w:eastAsia="宋体" w:cs="Times New Roman"/>
                <w:color w:val="auto"/>
                <w:spacing w:val="-5"/>
                <w:sz w:val="21"/>
                <w:szCs w:val="21"/>
                <w:highlight w:val="none"/>
              </w:rPr>
              <w:t>集中收集，暂存在危废间，委托有资质单位处置</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color w:val="auto"/>
          <w:highlight w:val="none"/>
        </w:rPr>
      </w:pPr>
      <w:r>
        <w:rPr>
          <w:rFonts w:hint="eastAsia"/>
          <w:color w:val="auto"/>
          <w:highlight w:val="none"/>
          <w:lang w:val="en-US" w:eastAsia="zh-CN"/>
        </w:rPr>
        <w:t xml:space="preserve">3.3.5 </w:t>
      </w:r>
      <w:r>
        <w:rPr>
          <w:rFonts w:hint="eastAsia"/>
          <w:color w:val="auto"/>
          <w:highlight w:val="none"/>
        </w:rPr>
        <w:t>运营期噪声</w:t>
      </w:r>
    </w:p>
    <w:p>
      <w:pPr>
        <w:pStyle w:val="62"/>
        <w:widowControl w:val="0"/>
        <w:rPr>
          <w:rFonts w:ascii="Times New Roman" w:hAnsi="Times New Roman"/>
          <w:color w:val="auto"/>
          <w:kern w:val="2"/>
          <w:highlight w:val="none"/>
        </w:rPr>
      </w:pPr>
      <w:r>
        <w:rPr>
          <w:rFonts w:ascii="Times New Roman" w:hAnsi="Times New Roman"/>
          <w:color w:val="auto"/>
          <w:kern w:val="2"/>
          <w:highlight w:val="none"/>
        </w:rPr>
        <w:t>本期工程噪声源主要分布在主厂房、风机室等部位。噪声较大的设备有一次风机、二次风机、引风机、水泵等。主要设备噪声见表3.</w:t>
      </w:r>
      <w:r>
        <w:rPr>
          <w:rFonts w:hint="eastAsia" w:ascii="Times New Roman" w:hAnsi="Times New Roman"/>
          <w:color w:val="auto"/>
          <w:kern w:val="2"/>
          <w:highlight w:val="none"/>
          <w:lang w:val="en-US" w:eastAsia="zh-CN"/>
        </w:rPr>
        <w:t>11</w:t>
      </w:r>
      <w:r>
        <w:rPr>
          <w:rFonts w:ascii="Times New Roman" w:hAnsi="Times New Roman"/>
          <w:color w:val="auto"/>
          <w:kern w:val="2"/>
          <w:highlight w:val="none"/>
        </w:rPr>
        <w:t>-</w:t>
      </w:r>
      <w:r>
        <w:rPr>
          <w:rFonts w:hint="eastAsia" w:ascii="Times New Roman" w:hAnsi="Times New Roman"/>
          <w:color w:val="auto"/>
          <w:kern w:val="2"/>
          <w:highlight w:val="none"/>
          <w:lang w:val="en-US" w:eastAsia="zh-CN"/>
        </w:rPr>
        <w:t>6</w:t>
      </w:r>
      <w:r>
        <w:rPr>
          <w:rFonts w:ascii="Times New Roman" w:hAnsi="Times New Roman"/>
          <w:color w:val="auto"/>
          <w:kern w:val="2"/>
          <w:highlight w:val="none"/>
        </w:rPr>
        <w:t>。</w:t>
      </w:r>
    </w:p>
    <w:p>
      <w:pPr>
        <w:spacing w:before="215" w:line="185" w:lineRule="auto"/>
        <w:ind w:firstLine="550"/>
        <w:jc w:val="center"/>
        <w:rPr>
          <w:rFonts w:hint="default" w:ascii="Times New Roman" w:hAnsi="Times New Roman" w:eastAsia="宋体" w:cs="Times New Roman"/>
          <w:b/>
          <w:bCs/>
          <w:color w:val="0000FF"/>
          <w:spacing w:val="-2"/>
          <w:sz w:val="21"/>
          <w:szCs w:val="21"/>
          <w:highlight w:val="none"/>
        </w:rPr>
      </w:pPr>
      <w:r>
        <w:rPr>
          <w:rFonts w:hint="default" w:ascii="Times New Roman" w:hAnsi="Times New Roman" w:eastAsia="宋体" w:cs="Times New Roman"/>
          <w:b/>
          <w:bCs/>
          <w:color w:val="0000FF"/>
          <w:spacing w:val="-2"/>
          <w:sz w:val="21"/>
          <w:szCs w:val="21"/>
          <w:highlight w:val="none"/>
        </w:rPr>
        <w:t>表3.</w:t>
      </w:r>
      <w:r>
        <w:rPr>
          <w:rFonts w:hint="eastAsia" w:ascii="Times New Roman" w:hAnsi="Times New Roman" w:eastAsia="宋体" w:cs="Times New Roman"/>
          <w:b/>
          <w:bCs/>
          <w:color w:val="0000FF"/>
          <w:spacing w:val="-2"/>
          <w:sz w:val="21"/>
          <w:szCs w:val="21"/>
          <w:highlight w:val="none"/>
          <w:lang w:val="en-US" w:eastAsia="zh-CN"/>
        </w:rPr>
        <w:t>11</w:t>
      </w:r>
      <w:r>
        <w:rPr>
          <w:rFonts w:hint="default" w:ascii="Times New Roman" w:hAnsi="Times New Roman" w:eastAsia="宋体" w:cs="Times New Roman"/>
          <w:b/>
          <w:bCs/>
          <w:color w:val="0000FF"/>
          <w:spacing w:val="-2"/>
          <w:sz w:val="21"/>
          <w:szCs w:val="21"/>
          <w:highlight w:val="none"/>
        </w:rPr>
        <w:t>-</w:t>
      </w:r>
      <w:r>
        <w:rPr>
          <w:rFonts w:hint="eastAsia" w:ascii="Times New Roman" w:hAnsi="Times New Roman" w:eastAsia="宋体" w:cs="Times New Roman"/>
          <w:b/>
          <w:bCs/>
          <w:color w:val="0000FF"/>
          <w:spacing w:val="-2"/>
          <w:sz w:val="21"/>
          <w:szCs w:val="21"/>
          <w:highlight w:val="none"/>
          <w:lang w:val="en-US" w:eastAsia="zh-CN"/>
        </w:rPr>
        <w:t>6</w:t>
      </w:r>
      <w:r>
        <w:rPr>
          <w:rFonts w:hint="default" w:ascii="Times New Roman" w:hAnsi="Times New Roman" w:eastAsia="宋体" w:cs="Times New Roman"/>
          <w:b/>
          <w:bCs/>
          <w:color w:val="0000FF"/>
          <w:spacing w:val="-2"/>
          <w:sz w:val="21"/>
          <w:szCs w:val="21"/>
          <w:highlight w:val="none"/>
        </w:rPr>
        <w:t xml:space="preserve">   </w:t>
      </w:r>
      <w:r>
        <w:rPr>
          <w:rFonts w:hint="default" w:ascii="Times New Roman" w:hAnsi="Times New Roman" w:eastAsia="宋体" w:cs="Times New Roman"/>
          <w:b/>
          <w:bCs/>
          <w:color w:val="0000FF"/>
          <w:spacing w:val="-2"/>
          <w:sz w:val="21"/>
          <w:szCs w:val="21"/>
          <w:highlight w:val="none"/>
          <w:lang w:val="en-US" w:eastAsia="zh-CN"/>
        </w:rPr>
        <w:t xml:space="preserve"> </w:t>
      </w:r>
      <w:r>
        <w:rPr>
          <w:rFonts w:hint="default" w:ascii="Times New Roman" w:hAnsi="Times New Roman" w:eastAsia="宋体" w:cs="Times New Roman"/>
          <w:b/>
          <w:bCs/>
          <w:color w:val="0000FF"/>
          <w:spacing w:val="-2"/>
          <w:sz w:val="21"/>
          <w:szCs w:val="21"/>
          <w:highlight w:val="none"/>
        </w:rPr>
        <w:t>主要噪声源设备噪声水平及防治措施</w:t>
      </w:r>
    </w:p>
    <w:tbl>
      <w:tblPr>
        <w:tblStyle w:val="31"/>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102"/>
        <w:gridCol w:w="2082"/>
        <w:gridCol w:w="1506"/>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0000FF"/>
                <w:kern w:val="2"/>
                <w:sz w:val="21"/>
                <w:szCs w:val="21"/>
                <w:highlight w:val="none"/>
                <w:lang w:val="en-US" w:eastAsia="zh-CN" w:bidi="ar-SA"/>
              </w:rPr>
            </w:pPr>
            <w:r>
              <w:rPr>
                <w:b/>
                <w:bCs/>
                <w:color w:val="0000FF"/>
                <w:sz w:val="21"/>
                <w:szCs w:val="21"/>
                <w:highlight w:val="none"/>
              </w:rPr>
              <w:t>序号</w:t>
            </w:r>
          </w:p>
        </w:tc>
        <w:tc>
          <w:tcPr>
            <w:tcW w:w="318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0000FF"/>
                <w:sz w:val="21"/>
                <w:szCs w:val="21"/>
                <w:highlight w:val="none"/>
              </w:rPr>
            </w:pPr>
            <w:r>
              <w:rPr>
                <w:b/>
                <w:bCs/>
                <w:color w:val="0000FF"/>
                <w:sz w:val="21"/>
                <w:szCs w:val="21"/>
                <w:highlight w:val="none"/>
              </w:rPr>
              <w:t>主要声源设备</w:t>
            </w:r>
          </w:p>
        </w:tc>
        <w:tc>
          <w:tcPr>
            <w:tcW w:w="15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0000FF"/>
                <w:sz w:val="21"/>
                <w:szCs w:val="21"/>
                <w:highlight w:val="none"/>
              </w:rPr>
            </w:pPr>
            <w:r>
              <w:rPr>
                <w:b/>
                <w:bCs/>
                <w:color w:val="0000FF"/>
                <w:sz w:val="21"/>
                <w:szCs w:val="21"/>
                <w:highlight w:val="none"/>
              </w:rPr>
              <w:t>声压级</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0000FF"/>
                <w:sz w:val="21"/>
                <w:szCs w:val="21"/>
                <w:highlight w:val="none"/>
              </w:rPr>
            </w:pPr>
            <w:r>
              <w:rPr>
                <w:b/>
                <w:bCs/>
                <w:color w:val="0000FF"/>
                <w:sz w:val="21"/>
                <w:szCs w:val="21"/>
                <w:highlight w:val="none"/>
              </w:rPr>
              <w:t>隔声措施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color w:val="0000FF"/>
                <w:sz w:val="21"/>
                <w:szCs w:val="21"/>
                <w:highlight w:val="none"/>
              </w:rPr>
              <w:t>1</w:t>
            </w:r>
          </w:p>
        </w:tc>
        <w:tc>
          <w:tcPr>
            <w:tcW w:w="110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00FF"/>
                <w:sz w:val="21"/>
                <w:szCs w:val="21"/>
                <w:highlight w:val="none"/>
                <w:lang w:eastAsia="zh-CN"/>
              </w:rPr>
            </w:pPr>
            <w:r>
              <w:rPr>
                <w:rFonts w:hint="eastAsia"/>
                <w:color w:val="0000FF"/>
                <w:sz w:val="21"/>
                <w:szCs w:val="21"/>
                <w:highlight w:val="none"/>
                <w:lang w:eastAsia="zh-CN"/>
              </w:rPr>
              <w:t>燃烧系统</w:t>
            </w:r>
          </w:p>
        </w:tc>
        <w:tc>
          <w:tcPr>
            <w:tcW w:w="20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00FF"/>
                <w:sz w:val="21"/>
                <w:szCs w:val="21"/>
                <w:highlight w:val="none"/>
                <w:lang w:eastAsia="zh-CN"/>
              </w:rPr>
            </w:pPr>
            <w:r>
              <w:rPr>
                <w:rFonts w:hint="eastAsia"/>
                <w:color w:val="0000FF"/>
                <w:sz w:val="21"/>
                <w:szCs w:val="21"/>
                <w:highlight w:val="none"/>
                <w:lang w:eastAsia="zh-CN"/>
              </w:rPr>
              <w:t>引风机</w:t>
            </w:r>
          </w:p>
        </w:tc>
        <w:tc>
          <w:tcPr>
            <w:tcW w:w="15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85</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r>
              <w:rPr>
                <w:rFonts w:hint="eastAsia"/>
                <w:color w:val="0000FF"/>
                <w:sz w:val="21"/>
                <w:szCs w:val="21"/>
                <w:highlight w:val="none"/>
                <w:lang w:eastAsia="zh-CN"/>
              </w:rPr>
              <w:t>减振、消声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p>
        </w:tc>
        <w:tc>
          <w:tcPr>
            <w:tcW w:w="11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p>
        </w:tc>
        <w:tc>
          <w:tcPr>
            <w:tcW w:w="20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r>
              <w:rPr>
                <w:rFonts w:hint="eastAsia"/>
                <w:color w:val="0000FF"/>
                <w:sz w:val="21"/>
                <w:szCs w:val="21"/>
                <w:highlight w:val="none"/>
                <w:lang w:eastAsia="zh-CN"/>
              </w:rPr>
              <w:t>送风机</w:t>
            </w:r>
          </w:p>
        </w:tc>
        <w:tc>
          <w:tcPr>
            <w:tcW w:w="15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sz w:val="21"/>
                <w:szCs w:val="21"/>
                <w:highlight w:val="none"/>
                <w:lang w:val="en-US" w:eastAsia="zh-CN"/>
              </w:rPr>
            </w:pPr>
            <w:r>
              <w:rPr>
                <w:rFonts w:hint="eastAsia"/>
                <w:color w:val="0000FF"/>
                <w:sz w:val="21"/>
                <w:szCs w:val="21"/>
                <w:highlight w:val="none"/>
                <w:lang w:val="en-US" w:eastAsia="zh-CN"/>
              </w:rPr>
              <w:t>90</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r>
              <w:rPr>
                <w:rFonts w:hint="eastAsia"/>
                <w:color w:val="0000FF"/>
                <w:sz w:val="21"/>
                <w:szCs w:val="21"/>
                <w:highlight w:val="none"/>
                <w:lang w:eastAsia="zh-CN"/>
              </w:rPr>
              <w:t>减振、消声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00FF"/>
                <w:kern w:val="2"/>
                <w:sz w:val="21"/>
                <w:szCs w:val="21"/>
                <w:highlight w:val="none"/>
                <w:lang w:val="en-US" w:eastAsia="zh-CN" w:bidi="ar-SA"/>
              </w:rPr>
            </w:pPr>
            <w:r>
              <w:rPr>
                <w:rFonts w:hint="eastAsia"/>
                <w:color w:val="0000FF"/>
                <w:sz w:val="21"/>
                <w:szCs w:val="21"/>
                <w:highlight w:val="none"/>
                <w:lang w:val="en-US" w:eastAsia="zh-CN"/>
              </w:rPr>
              <w:t>2</w:t>
            </w:r>
          </w:p>
        </w:tc>
        <w:tc>
          <w:tcPr>
            <w:tcW w:w="110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r>
              <w:rPr>
                <w:rFonts w:hint="eastAsia"/>
                <w:color w:val="0000FF"/>
                <w:sz w:val="21"/>
                <w:szCs w:val="21"/>
                <w:highlight w:val="none"/>
              </w:rPr>
              <w:t>脱硫系统</w:t>
            </w:r>
          </w:p>
        </w:tc>
        <w:tc>
          <w:tcPr>
            <w:tcW w:w="20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0000FF"/>
                <w:kern w:val="2"/>
                <w:sz w:val="21"/>
                <w:szCs w:val="21"/>
                <w:highlight w:val="none"/>
                <w:lang w:val="en-US" w:eastAsia="zh-CN" w:bidi="ar-SA"/>
              </w:rPr>
            </w:pPr>
            <w:r>
              <w:rPr>
                <w:rFonts w:hint="eastAsia" w:ascii="Times New Roman"/>
                <w:color w:val="0000FF"/>
                <w:kern w:val="2"/>
                <w:sz w:val="21"/>
                <w:szCs w:val="21"/>
                <w:highlight w:val="none"/>
                <w:lang w:val="en-US" w:eastAsia="zh-CN" w:bidi="ar-SA"/>
              </w:rPr>
              <w:t>浆液循环泵</w:t>
            </w:r>
          </w:p>
        </w:tc>
        <w:tc>
          <w:tcPr>
            <w:tcW w:w="15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kern w:val="2"/>
                <w:sz w:val="21"/>
                <w:szCs w:val="21"/>
                <w:highlight w:val="none"/>
                <w:lang w:val="en-US" w:eastAsia="zh-CN" w:bidi="ar-SA"/>
              </w:rPr>
            </w:pPr>
            <w:r>
              <w:rPr>
                <w:rFonts w:hint="eastAsia"/>
                <w:color w:val="0000FF"/>
                <w:sz w:val="21"/>
                <w:szCs w:val="21"/>
                <w:highlight w:val="none"/>
                <w:lang w:val="en-US" w:eastAsia="zh-CN"/>
              </w:rPr>
              <w:t>80</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rFonts w:hint="eastAsia"/>
                <w:color w:val="0000FF"/>
                <w:sz w:val="21"/>
                <w:szCs w:val="21"/>
                <w:highlight w:val="none"/>
                <w:lang w:eastAsia="zh-CN"/>
              </w:rPr>
              <w:t>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p>
        </w:tc>
        <w:tc>
          <w:tcPr>
            <w:tcW w:w="11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p>
        </w:tc>
        <w:tc>
          <w:tcPr>
            <w:tcW w:w="20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rFonts w:hint="eastAsia"/>
                <w:color w:val="0000FF"/>
                <w:kern w:val="2"/>
                <w:sz w:val="21"/>
                <w:szCs w:val="21"/>
                <w:highlight w:val="none"/>
                <w:lang w:val="en-US" w:eastAsia="zh-CN" w:bidi="ar-SA"/>
              </w:rPr>
              <w:t>反冲洗水泵</w:t>
            </w:r>
          </w:p>
        </w:tc>
        <w:tc>
          <w:tcPr>
            <w:tcW w:w="15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kern w:val="2"/>
                <w:sz w:val="21"/>
                <w:szCs w:val="21"/>
                <w:highlight w:val="none"/>
                <w:lang w:val="en-US" w:eastAsia="zh-CN" w:bidi="ar-SA"/>
              </w:rPr>
            </w:pPr>
            <w:r>
              <w:rPr>
                <w:rFonts w:hint="eastAsia"/>
                <w:color w:val="0000FF"/>
                <w:sz w:val="21"/>
                <w:szCs w:val="21"/>
                <w:highlight w:val="none"/>
                <w:lang w:val="en-US" w:eastAsia="zh-CN"/>
              </w:rPr>
              <w:t>80</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rFonts w:hint="eastAsia"/>
                <w:color w:val="0000FF"/>
                <w:sz w:val="21"/>
                <w:szCs w:val="21"/>
                <w:highlight w:val="none"/>
                <w:lang w:eastAsia="zh-CN"/>
              </w:rPr>
              <w:t>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00FF"/>
                <w:kern w:val="2"/>
                <w:sz w:val="21"/>
                <w:szCs w:val="21"/>
                <w:highlight w:val="none"/>
                <w:lang w:val="en-US" w:eastAsia="zh-CN" w:bidi="ar-SA"/>
              </w:rPr>
            </w:pPr>
            <w:r>
              <w:rPr>
                <w:rFonts w:hint="eastAsia"/>
                <w:color w:val="0000FF"/>
                <w:sz w:val="21"/>
                <w:szCs w:val="21"/>
                <w:highlight w:val="none"/>
                <w:lang w:val="en-US" w:eastAsia="zh-CN"/>
              </w:rPr>
              <w:t>3</w:t>
            </w:r>
          </w:p>
        </w:tc>
        <w:tc>
          <w:tcPr>
            <w:tcW w:w="110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00FF"/>
                <w:sz w:val="21"/>
                <w:szCs w:val="21"/>
                <w:highlight w:val="none"/>
                <w:lang w:eastAsia="zh-CN"/>
              </w:rPr>
            </w:pPr>
            <w:r>
              <w:rPr>
                <w:rFonts w:hint="eastAsia"/>
                <w:color w:val="0000FF"/>
                <w:sz w:val="21"/>
                <w:szCs w:val="21"/>
                <w:highlight w:val="none"/>
                <w:lang w:eastAsia="zh-CN"/>
              </w:rPr>
              <w:t>其他</w:t>
            </w:r>
          </w:p>
        </w:tc>
        <w:tc>
          <w:tcPr>
            <w:tcW w:w="20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color w:val="0000FF"/>
                <w:sz w:val="21"/>
                <w:szCs w:val="21"/>
                <w:highlight w:val="none"/>
              </w:rPr>
              <w:t>锅炉给水泵</w:t>
            </w:r>
          </w:p>
        </w:tc>
        <w:tc>
          <w:tcPr>
            <w:tcW w:w="15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kern w:val="2"/>
                <w:sz w:val="21"/>
                <w:szCs w:val="21"/>
                <w:highlight w:val="none"/>
                <w:lang w:val="en-US" w:eastAsia="zh-CN" w:bidi="ar-SA"/>
              </w:rPr>
            </w:pPr>
            <w:r>
              <w:rPr>
                <w:rFonts w:hint="eastAsia"/>
                <w:color w:val="0000FF"/>
                <w:sz w:val="21"/>
                <w:szCs w:val="21"/>
                <w:highlight w:val="none"/>
                <w:lang w:val="en-US" w:eastAsia="zh-CN"/>
              </w:rPr>
              <w:t>80</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rFonts w:hint="eastAsia"/>
                <w:color w:val="0000FF"/>
                <w:sz w:val="21"/>
                <w:szCs w:val="21"/>
                <w:highlight w:val="none"/>
                <w:lang w:eastAsia="zh-CN"/>
              </w:rPr>
              <w:t>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7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p>
        </w:tc>
        <w:tc>
          <w:tcPr>
            <w:tcW w:w="11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p>
        </w:tc>
        <w:tc>
          <w:tcPr>
            <w:tcW w:w="20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rFonts w:ascii="宋体" w:hAnsi="宋体" w:eastAsia="宋体" w:cs="宋体"/>
                <w:color w:val="0000FF"/>
                <w:spacing w:val="-1"/>
                <w:sz w:val="21"/>
                <w:szCs w:val="21"/>
                <w:highlight w:val="none"/>
              </w:rPr>
              <w:t>循环水泵</w:t>
            </w:r>
          </w:p>
        </w:tc>
        <w:tc>
          <w:tcPr>
            <w:tcW w:w="15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kern w:val="2"/>
                <w:sz w:val="21"/>
                <w:szCs w:val="21"/>
                <w:highlight w:val="none"/>
                <w:lang w:val="en-US" w:eastAsia="zh-CN" w:bidi="ar-SA"/>
              </w:rPr>
            </w:pPr>
            <w:r>
              <w:rPr>
                <w:rFonts w:hint="eastAsia"/>
                <w:color w:val="0000FF"/>
                <w:sz w:val="21"/>
                <w:szCs w:val="21"/>
                <w:highlight w:val="none"/>
                <w:lang w:val="en-US" w:eastAsia="zh-CN"/>
              </w:rPr>
              <w:t>80</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rFonts w:hint="eastAsia"/>
                <w:color w:val="0000FF"/>
                <w:sz w:val="21"/>
                <w:szCs w:val="21"/>
                <w:highlight w:val="none"/>
                <w:lang w:eastAsia="zh-CN"/>
              </w:rPr>
              <w:t>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7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p>
        </w:tc>
        <w:tc>
          <w:tcPr>
            <w:tcW w:w="11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z w:val="21"/>
                <w:szCs w:val="21"/>
                <w:highlight w:val="none"/>
              </w:rPr>
            </w:pPr>
          </w:p>
        </w:tc>
        <w:tc>
          <w:tcPr>
            <w:tcW w:w="20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color w:val="0000FF"/>
                <w:sz w:val="21"/>
                <w:szCs w:val="21"/>
                <w:highlight w:val="none"/>
              </w:rPr>
              <w:t>锅炉排气口</w:t>
            </w:r>
          </w:p>
        </w:tc>
        <w:tc>
          <w:tcPr>
            <w:tcW w:w="15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color w:val="0000FF"/>
                <w:sz w:val="21"/>
                <w:szCs w:val="21"/>
                <w:highlight w:val="none"/>
              </w:rPr>
              <w:t>1</w:t>
            </w:r>
            <w:r>
              <w:rPr>
                <w:rFonts w:hint="eastAsia"/>
                <w:color w:val="0000FF"/>
                <w:sz w:val="21"/>
                <w:szCs w:val="21"/>
                <w:highlight w:val="none"/>
                <w:lang w:val="en-US" w:eastAsia="zh-CN"/>
              </w:rPr>
              <w:t>1</w:t>
            </w:r>
            <w:r>
              <w:rPr>
                <w:color w:val="0000FF"/>
                <w:sz w:val="21"/>
                <w:szCs w:val="21"/>
                <w:highlight w:val="none"/>
              </w:rPr>
              <w:t>0</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kern w:val="2"/>
                <w:sz w:val="21"/>
                <w:szCs w:val="21"/>
                <w:highlight w:val="none"/>
                <w:lang w:val="en-US" w:eastAsia="zh-CN" w:bidi="ar-SA"/>
              </w:rPr>
            </w:pPr>
            <w:r>
              <w:rPr>
                <w:color w:val="0000FF"/>
                <w:sz w:val="21"/>
                <w:szCs w:val="21"/>
                <w:highlight w:val="none"/>
              </w:rPr>
              <w:t>消声器</w:t>
            </w:r>
          </w:p>
        </w:tc>
      </w:tr>
    </w:tbl>
    <w:p>
      <w:pPr>
        <w:pStyle w:val="6"/>
        <w:keepNext/>
        <w:keepLines/>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color w:val="auto"/>
          <w:highlight w:val="none"/>
        </w:rPr>
      </w:pPr>
      <w:r>
        <w:rPr>
          <w:rFonts w:hint="eastAsia"/>
          <w:color w:val="auto"/>
          <w:highlight w:val="none"/>
          <w:lang w:val="en-US" w:eastAsia="zh-CN"/>
        </w:rPr>
        <w:t xml:space="preserve">3.3.6 </w:t>
      </w:r>
      <w:r>
        <w:rPr>
          <w:rFonts w:hint="eastAsia"/>
          <w:color w:val="auto"/>
          <w:highlight w:val="none"/>
        </w:rPr>
        <w:t>本项目污染物排放情况汇总</w:t>
      </w:r>
    </w:p>
    <w:p>
      <w:pPr>
        <w:pStyle w:val="62"/>
        <w:snapToGrid w:val="0"/>
        <w:rPr>
          <w:rFonts w:ascii="Times New Roman" w:hAnsi="Times New Roman"/>
          <w:color w:val="auto"/>
          <w:kern w:val="2"/>
          <w:highlight w:val="none"/>
        </w:rPr>
      </w:pPr>
      <w:r>
        <w:rPr>
          <w:rFonts w:ascii="Times New Roman" w:hAnsi="Times New Roman"/>
          <w:color w:val="auto"/>
          <w:kern w:val="2"/>
          <w:highlight w:val="none"/>
        </w:rPr>
        <w:t>本项目污染物排放情况见表3.</w:t>
      </w:r>
      <w:r>
        <w:rPr>
          <w:rFonts w:hint="eastAsia" w:ascii="Times New Roman" w:hAnsi="Times New Roman"/>
          <w:color w:val="auto"/>
          <w:kern w:val="2"/>
          <w:highlight w:val="none"/>
          <w:lang w:val="en-US" w:eastAsia="zh-CN"/>
        </w:rPr>
        <w:t>11</w:t>
      </w:r>
      <w:r>
        <w:rPr>
          <w:rFonts w:ascii="Times New Roman" w:hAnsi="Times New Roman"/>
          <w:color w:val="auto"/>
          <w:kern w:val="2"/>
          <w:highlight w:val="none"/>
        </w:rPr>
        <w:t>-</w:t>
      </w:r>
      <w:r>
        <w:rPr>
          <w:rFonts w:hint="eastAsia" w:ascii="Times New Roman" w:hAnsi="Times New Roman"/>
          <w:color w:val="auto"/>
          <w:kern w:val="2"/>
          <w:highlight w:val="none"/>
          <w:lang w:val="en-US" w:eastAsia="zh-CN"/>
        </w:rPr>
        <w:t>7</w:t>
      </w:r>
      <w:r>
        <w:rPr>
          <w:rFonts w:ascii="Times New Roman" w:hAnsi="Times New Roman"/>
          <w:color w:val="auto"/>
          <w:kern w:val="2"/>
          <w:highlight w:val="none"/>
        </w:rPr>
        <w:t>。</w:t>
      </w:r>
    </w:p>
    <w:p>
      <w:pPr>
        <w:spacing w:before="215" w:line="185" w:lineRule="auto"/>
        <w:ind w:firstLine="550"/>
        <w:jc w:val="center"/>
        <w:rPr>
          <w:rFonts w:hint="eastAsia"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表3.</w:t>
      </w:r>
      <w:r>
        <w:rPr>
          <w:rFonts w:hint="eastAsia" w:ascii="Times New Roman" w:hAnsi="Times New Roman" w:eastAsia="宋体" w:cs="Times New Roman"/>
          <w:b/>
          <w:bCs/>
          <w:color w:val="auto"/>
          <w:spacing w:val="-2"/>
          <w:sz w:val="21"/>
          <w:szCs w:val="21"/>
          <w:highlight w:val="none"/>
          <w:lang w:val="en-US" w:eastAsia="zh-CN"/>
        </w:rPr>
        <w:t>11-7</w:t>
      </w:r>
      <w:r>
        <w:rPr>
          <w:rFonts w:hint="default" w:ascii="Times New Roman" w:hAnsi="Times New Roman" w:eastAsia="宋体" w:cs="Times New Roman"/>
          <w:b/>
          <w:bCs/>
          <w:color w:val="auto"/>
          <w:spacing w:val="-2"/>
          <w:sz w:val="21"/>
          <w:szCs w:val="21"/>
          <w:highlight w:val="none"/>
        </w:rPr>
        <w:t xml:space="preserve">   </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pacing w:val="-2"/>
          <w:sz w:val="21"/>
          <w:szCs w:val="21"/>
          <w:highlight w:val="none"/>
        </w:rPr>
        <w:t>本项目污染物排放汇总一览表</w:t>
      </w:r>
    </w:p>
    <w:tbl>
      <w:tblPr>
        <w:tblStyle w:val="3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6"/>
        <w:gridCol w:w="1290"/>
        <w:gridCol w:w="1436"/>
        <w:gridCol w:w="1313"/>
        <w:gridCol w:w="2720"/>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7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污染源</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主要污染物</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产生量</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处置措施</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506" w:type="dxa"/>
            <w:vMerge w:val="restart"/>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废</w:t>
            </w:r>
            <w:r>
              <w:rPr>
                <w:rFonts w:hint="default" w:ascii="Times New Roman" w:hAnsi="Times New Roman" w:eastAsia="宋体" w:cs="Times New Roman"/>
                <w:color w:val="auto"/>
                <w:spacing w:val="-44"/>
                <w:sz w:val="21"/>
                <w:szCs w:val="21"/>
                <w:highlight w:val="none"/>
              </w:rPr>
              <w:t xml:space="preserve"> </w:t>
            </w:r>
            <w:r>
              <w:rPr>
                <w:rFonts w:hint="default" w:ascii="Times New Roman" w:hAnsi="Times New Roman" w:eastAsia="宋体" w:cs="Times New Roman"/>
                <w:color w:val="auto"/>
                <w:spacing w:val="2"/>
                <w:sz w:val="21"/>
                <w:szCs w:val="21"/>
                <w:highlight w:val="none"/>
              </w:rPr>
              <w:t>气</w:t>
            </w:r>
          </w:p>
        </w:tc>
        <w:tc>
          <w:tcPr>
            <w:tcW w:w="129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锅炉燃烧</w:t>
            </w:r>
          </w:p>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烟气</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SO</w:t>
            </w:r>
            <w:r>
              <w:rPr>
                <w:rFonts w:hint="default" w:ascii="Times New Roman" w:hAnsi="Times New Roman" w:eastAsia="宋体" w:cs="Times New Roman"/>
                <w:color w:val="auto"/>
                <w:spacing w:val="-3"/>
                <w:sz w:val="21"/>
                <w:szCs w:val="21"/>
                <w:highlight w:val="none"/>
                <w:vertAlign w:val="subscript"/>
              </w:rPr>
              <w:t>2</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B050"/>
                <w:sz w:val="21"/>
                <w:szCs w:val="21"/>
                <w:highlight w:val="none"/>
              </w:rPr>
            </w:pPr>
            <w:r>
              <w:rPr>
                <w:rFonts w:hint="eastAsia" w:cs="Times New Roman"/>
                <w:color w:val="00B050"/>
                <w:spacing w:val="-2"/>
                <w:sz w:val="21"/>
                <w:szCs w:val="21"/>
                <w:highlight w:val="none"/>
                <w:lang w:val="en-US" w:eastAsia="zh-CN"/>
              </w:rPr>
              <w:t>51.13</w:t>
            </w:r>
            <w:r>
              <w:rPr>
                <w:rFonts w:hint="default" w:ascii="Times New Roman" w:hAnsi="Times New Roman" w:eastAsia="宋体" w:cs="Times New Roman"/>
                <w:color w:val="00B050"/>
                <w:spacing w:val="-2"/>
                <w:sz w:val="21"/>
                <w:szCs w:val="21"/>
                <w:highlight w:val="none"/>
              </w:rPr>
              <w:t>t/a</w:t>
            </w:r>
          </w:p>
        </w:tc>
        <w:tc>
          <w:tcPr>
            <w:tcW w:w="272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锅炉燃烧废气经“SNCR脱硝+布袋除尘+</w:t>
            </w:r>
            <w:r>
              <w:rPr>
                <w:rFonts w:hint="eastAsia" w:cs="Times New Roman"/>
                <w:color w:val="00B050"/>
                <w:sz w:val="21"/>
                <w:szCs w:val="21"/>
                <w:highlight w:val="none"/>
                <w:lang w:eastAsia="zh-CN"/>
              </w:rPr>
              <w:t>石灰石膏法</w:t>
            </w:r>
            <w:r>
              <w:rPr>
                <w:rFonts w:hint="default" w:ascii="Times New Roman" w:hAnsi="Times New Roman" w:eastAsia="宋体" w:cs="Times New Roman"/>
                <w:color w:val="auto"/>
                <w:sz w:val="21"/>
                <w:szCs w:val="21"/>
                <w:highlight w:val="none"/>
              </w:rPr>
              <w:t>脱硫”处理后经</w:t>
            </w:r>
            <w:r>
              <w:rPr>
                <w:rFonts w:hint="eastAsia"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m高排气筒排放</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B050"/>
                <w:sz w:val="21"/>
                <w:szCs w:val="21"/>
                <w:highlight w:val="none"/>
              </w:rPr>
            </w:pPr>
            <w:r>
              <w:rPr>
                <w:rFonts w:hint="eastAsia" w:cs="Times New Roman"/>
                <w:color w:val="00B050"/>
                <w:spacing w:val="-1"/>
                <w:sz w:val="21"/>
                <w:szCs w:val="21"/>
                <w:highlight w:val="none"/>
                <w:lang w:val="en-US" w:eastAsia="zh-CN"/>
              </w:rPr>
              <w:t>7.67</w:t>
            </w:r>
            <w:r>
              <w:rPr>
                <w:rFonts w:hint="default" w:ascii="Times New Roman" w:hAnsi="Times New Roman" w:eastAsia="宋体" w:cs="Times New Roman"/>
                <w:color w:val="00B050"/>
                <w:spacing w:val="-1"/>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50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NO</w:t>
            </w:r>
            <w:r>
              <w:rPr>
                <w:rFonts w:hint="default" w:ascii="Times New Roman" w:hAnsi="Times New Roman" w:eastAsia="宋体" w:cs="Times New Roman"/>
                <w:color w:val="auto"/>
                <w:spacing w:val="-1"/>
                <w:sz w:val="21"/>
                <w:szCs w:val="21"/>
                <w:highlight w:val="none"/>
                <w:vertAlign w:val="subscript"/>
              </w:rPr>
              <w:t>X</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B050"/>
                <w:sz w:val="21"/>
                <w:szCs w:val="21"/>
                <w:highlight w:val="none"/>
              </w:rPr>
            </w:pPr>
            <w:r>
              <w:rPr>
                <w:rFonts w:hint="eastAsia" w:cs="Times New Roman"/>
                <w:color w:val="00B050"/>
                <w:spacing w:val="-1"/>
                <w:sz w:val="21"/>
                <w:szCs w:val="21"/>
                <w:highlight w:val="none"/>
                <w:lang w:val="en-US" w:eastAsia="zh-CN"/>
              </w:rPr>
              <w:t>34.9t/a</w:t>
            </w:r>
          </w:p>
        </w:tc>
        <w:tc>
          <w:tcPr>
            <w:tcW w:w="27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B050"/>
                <w:sz w:val="21"/>
                <w:szCs w:val="21"/>
                <w:highlight w:val="none"/>
              </w:rPr>
            </w:pPr>
            <w:r>
              <w:rPr>
                <w:rFonts w:hint="eastAsia" w:cs="Times New Roman"/>
                <w:color w:val="00B050"/>
                <w:spacing w:val="-1"/>
                <w:sz w:val="21"/>
                <w:szCs w:val="21"/>
                <w:highlight w:val="none"/>
                <w:lang w:val="en-US" w:eastAsia="zh-CN"/>
              </w:rPr>
              <w:t>20.94t/a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50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2"/>
                <w:sz w:val="21"/>
                <w:szCs w:val="21"/>
                <w:highlight w:val="none"/>
                <w:lang w:eastAsia="zh-CN"/>
              </w:rPr>
              <w:t>颗粒物</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2"/>
                <w:sz w:val="21"/>
                <w:szCs w:val="21"/>
                <w:highlight w:val="none"/>
                <w:lang w:val="en-US" w:eastAsia="zh-CN"/>
              </w:rPr>
              <w:t>54.1</w:t>
            </w:r>
            <w:r>
              <w:rPr>
                <w:rFonts w:hint="default" w:ascii="Times New Roman" w:hAnsi="Times New Roman" w:eastAsia="宋体" w:cs="Times New Roman"/>
                <w:color w:val="auto"/>
                <w:spacing w:val="-2"/>
                <w:sz w:val="21"/>
                <w:szCs w:val="21"/>
                <w:highlight w:val="none"/>
              </w:rPr>
              <w:t>t/a</w:t>
            </w:r>
          </w:p>
        </w:tc>
        <w:tc>
          <w:tcPr>
            <w:tcW w:w="27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1"/>
                <w:sz w:val="21"/>
                <w:szCs w:val="21"/>
                <w:highlight w:val="none"/>
                <w:lang w:val="en-US" w:eastAsia="zh-CN"/>
              </w:rPr>
              <w:t>0.27</w:t>
            </w:r>
            <w:r>
              <w:rPr>
                <w:rFonts w:hint="default" w:ascii="Times New Roman" w:hAnsi="Times New Roman" w:eastAsia="宋体" w:cs="Times New Roman"/>
                <w:color w:val="auto"/>
                <w:spacing w:val="-1"/>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50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汞及其化合物</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1"/>
                <w:sz w:val="21"/>
                <w:szCs w:val="21"/>
                <w:highlight w:val="none"/>
                <w:lang w:val="en-US" w:eastAsia="zh-CN"/>
              </w:rPr>
              <w:t>0.00214</w:t>
            </w:r>
            <w:r>
              <w:rPr>
                <w:rFonts w:hint="default" w:ascii="Times New Roman" w:hAnsi="Times New Roman" w:eastAsia="宋体" w:cs="Times New Roman"/>
                <w:color w:val="auto"/>
                <w:spacing w:val="-1"/>
                <w:sz w:val="21"/>
                <w:szCs w:val="21"/>
                <w:highlight w:val="none"/>
              </w:rPr>
              <w:t>t/a</w:t>
            </w:r>
          </w:p>
        </w:tc>
        <w:tc>
          <w:tcPr>
            <w:tcW w:w="27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1"/>
                <w:sz w:val="21"/>
                <w:szCs w:val="21"/>
                <w:highlight w:val="none"/>
                <w:lang w:val="en-US" w:eastAsia="zh-CN"/>
              </w:rPr>
              <w:t>0.00107</w:t>
            </w:r>
            <w:r>
              <w:rPr>
                <w:rFonts w:hint="default" w:ascii="Times New Roman" w:hAnsi="Times New Roman" w:eastAsia="宋体" w:cs="Times New Roman"/>
                <w:color w:val="auto"/>
                <w:spacing w:val="-1"/>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8" w:hRule="atLeast"/>
          <w:jc w:val="center"/>
        </w:trPr>
        <w:tc>
          <w:tcPr>
            <w:tcW w:w="50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燃煤堆场、堆渣场</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颗粒物</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1"/>
                <w:sz w:val="21"/>
                <w:szCs w:val="21"/>
                <w:highlight w:val="none"/>
                <w:lang w:val="en-US" w:eastAsia="zh-CN"/>
              </w:rPr>
              <w:t>36.2</w:t>
            </w:r>
            <w:r>
              <w:rPr>
                <w:rFonts w:hint="default" w:ascii="Times New Roman" w:hAnsi="Times New Roman" w:eastAsia="宋体" w:cs="Times New Roman"/>
                <w:color w:val="auto"/>
                <w:spacing w:val="-1"/>
                <w:sz w:val="21"/>
                <w:szCs w:val="21"/>
                <w:highlight w:val="none"/>
              </w:rPr>
              <w:t>t/a</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设置全封闭煤棚和全封闭</w:t>
            </w:r>
            <w:r>
              <w:rPr>
                <w:rFonts w:hint="default" w:ascii="Times New Roman" w:hAnsi="Times New Roman" w:eastAsia="宋体" w:cs="Times New Roman"/>
                <w:color w:val="auto"/>
                <w:spacing w:val="-16"/>
                <w:sz w:val="21"/>
                <w:szCs w:val="21"/>
                <w:highlight w:val="none"/>
              </w:rPr>
              <w:t>渣场，洒水喷淋等措施</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1"/>
                <w:sz w:val="21"/>
                <w:szCs w:val="21"/>
                <w:highlight w:val="none"/>
                <w:lang w:val="en-US" w:eastAsia="zh-CN"/>
              </w:rPr>
              <w:t>0.362t</w:t>
            </w:r>
            <w:r>
              <w:rPr>
                <w:rFonts w:hint="default" w:ascii="Times New Roman" w:hAnsi="Times New Roman" w:eastAsia="宋体" w:cs="Times New Roman"/>
                <w:color w:val="auto"/>
                <w:spacing w:val="-1"/>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1" w:hRule="atLeast"/>
          <w:jc w:val="center"/>
        </w:trPr>
        <w:tc>
          <w:tcPr>
            <w:tcW w:w="506" w:type="dxa"/>
            <w:vMerge w:val="restart"/>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锅炉排污水</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全部排入厂区沉淀池，最后进入除渣系统</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6" w:hRule="atLeast"/>
          <w:jc w:val="center"/>
        </w:trPr>
        <w:tc>
          <w:tcPr>
            <w:tcW w:w="50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循环冷却</w:t>
            </w:r>
          </w:p>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系统</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冷却系统</w:t>
            </w:r>
          </w:p>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排污水</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全部排入厂区沉淀池，最后进入除渣系统</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 w:hRule="atLeast"/>
          <w:jc w:val="center"/>
        </w:trPr>
        <w:tc>
          <w:tcPr>
            <w:tcW w:w="50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软水制备</w:t>
            </w:r>
          </w:p>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系统</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软化及除氧装置排水</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21.3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全部排入厂区沉淀池，最后进入除渣系统</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1" w:hRule="atLeast"/>
          <w:jc w:val="center"/>
        </w:trPr>
        <w:tc>
          <w:tcPr>
            <w:tcW w:w="506" w:type="dxa"/>
            <w:vMerge w:val="restart"/>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de-DE" w:eastAsia="zh-CN"/>
              </w:rPr>
            </w:pPr>
            <w:r>
              <w:rPr>
                <w:rFonts w:hint="eastAsia" w:cs="Times New Roman"/>
                <w:color w:val="auto"/>
                <w:sz w:val="21"/>
                <w:szCs w:val="21"/>
                <w:highlight w:val="none"/>
                <w:lang w:eastAsia="zh-CN"/>
              </w:rPr>
              <w:t>脱硫渣</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脱硫装置产生的石膏</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144.26</w:t>
            </w:r>
            <w:r>
              <w:rPr>
                <w:rFonts w:hint="default" w:ascii="Times New Roman" w:hAnsi="Times New Roman" w:eastAsia="宋体" w:cs="Times New Roman"/>
                <w:color w:val="auto"/>
                <w:sz w:val="21"/>
                <w:szCs w:val="21"/>
                <w:highlight w:val="none"/>
              </w:rPr>
              <w:t>t/a</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收集后作为建筑材料外售</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144.26</w:t>
            </w:r>
            <w:r>
              <w:rPr>
                <w:rFonts w:hint="default" w:ascii="Times New Roman" w:hAnsi="Times New Roman" w:eastAsia="宋体" w:cs="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50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de-DE"/>
              </w:rPr>
            </w:pPr>
            <w:r>
              <w:rPr>
                <w:rFonts w:hint="default" w:ascii="Times New Roman" w:hAnsi="Times New Roman" w:eastAsia="宋体" w:cs="Times New Roman"/>
                <w:color w:val="auto"/>
                <w:sz w:val="21"/>
                <w:szCs w:val="21"/>
                <w:highlight w:val="none"/>
              </w:rPr>
              <w:t>灰渣</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炉渣</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00B050"/>
                <w:sz w:val="21"/>
                <w:szCs w:val="21"/>
                <w:highlight w:val="none"/>
                <w:lang w:val="en-US" w:eastAsia="zh-CN"/>
              </w:rPr>
              <w:t>7011.14</w:t>
            </w:r>
            <w:r>
              <w:rPr>
                <w:rFonts w:hint="default" w:ascii="Times New Roman" w:hAnsi="Times New Roman" w:eastAsia="宋体" w:cs="Times New Roman"/>
                <w:color w:val="auto"/>
                <w:sz w:val="21"/>
                <w:szCs w:val="21"/>
                <w:highlight w:val="none"/>
              </w:rPr>
              <w:t>t/a</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收集后作为建筑材料外售</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B050"/>
                <w:sz w:val="21"/>
                <w:szCs w:val="21"/>
                <w:highlight w:val="none"/>
                <w:lang w:val="en-US" w:eastAsia="zh-CN"/>
              </w:rPr>
              <w:t>7011.14</w:t>
            </w:r>
            <w:r>
              <w:rPr>
                <w:rFonts w:hint="default" w:ascii="Times New Roman" w:hAnsi="Times New Roman" w:eastAsia="宋体" w:cs="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50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飞灰</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53.83</w:t>
            </w:r>
            <w:r>
              <w:rPr>
                <w:rFonts w:hint="default" w:ascii="Times New Roman" w:hAnsi="Times New Roman" w:eastAsia="宋体" w:cs="Times New Roman"/>
                <w:color w:val="auto"/>
                <w:sz w:val="21"/>
                <w:szCs w:val="21"/>
                <w:highlight w:val="none"/>
              </w:rPr>
              <w:t>t/a</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收集后作为建筑材料外售</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53.83</w:t>
            </w:r>
            <w:r>
              <w:rPr>
                <w:rFonts w:hint="default" w:ascii="Times New Roman" w:hAnsi="Times New Roman" w:eastAsia="宋体" w:cs="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废离子交换</w:t>
            </w:r>
          </w:p>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树脂</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水处理系统</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0.25t/a</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厂家回收</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de-DE"/>
              </w:rPr>
              <w:t>废弃滤袋</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布袋除尘器</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0.02t/a</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厂家回收</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de-DE" w:eastAsia="zh-CN"/>
              </w:rPr>
            </w:pPr>
            <w:r>
              <w:rPr>
                <w:rFonts w:hint="eastAsia" w:cs="Times New Roman"/>
                <w:color w:val="auto"/>
                <w:sz w:val="21"/>
                <w:szCs w:val="21"/>
                <w:highlight w:val="none"/>
                <w:lang w:val="de-DE" w:eastAsia="zh-CN"/>
              </w:rPr>
              <w:t>废润滑油</w:t>
            </w:r>
          </w:p>
        </w:tc>
        <w:tc>
          <w:tcPr>
            <w:tcW w:w="1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设备维修、维护</w:t>
            </w:r>
          </w:p>
        </w:tc>
        <w:tc>
          <w:tcPr>
            <w:tcW w:w="13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0.2t/a</w:t>
            </w:r>
          </w:p>
        </w:tc>
        <w:tc>
          <w:tcPr>
            <w:tcW w:w="2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集中收集，暂存在危废间，委托有资质单位处置</w:t>
            </w:r>
          </w:p>
        </w:tc>
        <w:tc>
          <w:tcPr>
            <w:tcW w:w="10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olor w:val="auto"/>
                <w:spacing w:val="-5"/>
                <w:sz w:val="21"/>
                <w:szCs w:val="21"/>
                <w:highlight w:val="none"/>
                <w:lang w:val="en-US" w:eastAsia="zh-CN"/>
              </w:rPr>
            </w:pPr>
            <w:r>
              <w:rPr>
                <w:rFonts w:hint="eastAsia" w:cs="Times New Roman"/>
                <w:color w:val="auto"/>
                <w:sz w:val="21"/>
                <w:szCs w:val="21"/>
                <w:highlight w:val="none"/>
                <w:lang w:val="en-US" w:eastAsia="zh-CN"/>
              </w:rPr>
              <w:t>0.2t/a</w:t>
            </w:r>
          </w:p>
        </w:tc>
      </w:tr>
    </w:tbl>
    <w:p>
      <w:pPr>
        <w:pStyle w:val="63"/>
        <w:spacing w:line="360" w:lineRule="auto"/>
        <w:rPr>
          <w:rFonts w:hint="eastAsia" w:eastAsia="宋体" w:cs="Times New Roman"/>
          <w:color w:val="0070C0"/>
          <w:highlight w:val="none"/>
          <w:lang w:val="en-US" w:eastAsia="zh-CN"/>
        </w:rPr>
      </w:pPr>
      <w:r>
        <w:rPr>
          <w:rFonts w:cs="Times New Roman"/>
          <w:color w:val="0070C0"/>
          <w:highlight w:val="none"/>
        </w:rPr>
        <w:t>本项目建成后污染物</w:t>
      </w:r>
      <w:r>
        <w:rPr>
          <w:rFonts w:hint="eastAsia" w:cs="Times New Roman"/>
          <w:color w:val="0070C0"/>
          <w:highlight w:val="none"/>
        </w:rPr>
        <w:t>“三本账”</w:t>
      </w:r>
      <w:r>
        <w:rPr>
          <w:rFonts w:cs="Times New Roman"/>
          <w:color w:val="0070C0"/>
          <w:highlight w:val="none"/>
        </w:rPr>
        <w:t>情况见下表</w:t>
      </w:r>
      <w:r>
        <w:rPr>
          <w:rFonts w:hint="eastAsia" w:cs="Times New Roman"/>
          <w:color w:val="0070C0"/>
          <w:highlight w:val="none"/>
          <w:lang w:val="en-US" w:eastAsia="zh-CN"/>
        </w:rPr>
        <w:t>。</w:t>
      </w:r>
    </w:p>
    <w:p>
      <w:pPr>
        <w:pStyle w:val="67"/>
        <w:spacing w:line="240" w:lineRule="auto"/>
        <w:ind w:firstLine="422"/>
        <w:jc w:val="center"/>
        <w:rPr>
          <w:rFonts w:hint="default" w:ascii="Times New Roman" w:hAnsi="Times New Roman" w:eastAsia="宋体" w:cs="Times New Roman"/>
          <w:b/>
          <w:bCs/>
          <w:color w:val="0070C0"/>
          <w:spacing w:val="-2"/>
          <w:kern w:val="2"/>
          <w:sz w:val="21"/>
          <w:szCs w:val="21"/>
          <w:highlight w:val="none"/>
          <w:lang w:val="en-US" w:eastAsia="zh-CN" w:bidi="ar-SA"/>
        </w:rPr>
      </w:pPr>
      <w:bookmarkStart w:id="128" w:name="OLE_LINK1"/>
    </w:p>
    <w:p>
      <w:pPr>
        <w:pStyle w:val="67"/>
        <w:spacing w:line="240" w:lineRule="auto"/>
        <w:ind w:firstLine="422"/>
        <w:jc w:val="center"/>
        <w:rPr>
          <w:rFonts w:hint="default" w:ascii="Times New Roman" w:hAnsi="Times New Roman" w:eastAsia="宋体" w:cs="Times New Roman"/>
          <w:b/>
          <w:bCs/>
          <w:color w:val="0070C0"/>
          <w:spacing w:val="-2"/>
          <w:kern w:val="2"/>
          <w:sz w:val="21"/>
          <w:szCs w:val="21"/>
          <w:highlight w:val="none"/>
          <w:lang w:val="en-US" w:eastAsia="zh-CN" w:bidi="ar-SA"/>
        </w:rPr>
      </w:pPr>
      <w:r>
        <w:rPr>
          <w:rFonts w:hint="default" w:ascii="Times New Roman" w:hAnsi="Times New Roman" w:eastAsia="宋体" w:cs="Times New Roman"/>
          <w:b/>
          <w:bCs/>
          <w:color w:val="0070C0"/>
          <w:spacing w:val="-2"/>
          <w:kern w:val="2"/>
          <w:sz w:val="21"/>
          <w:szCs w:val="21"/>
          <w:highlight w:val="none"/>
          <w:lang w:val="en-US" w:eastAsia="zh-CN" w:bidi="ar-SA"/>
        </w:rPr>
        <w:t>表3.</w:t>
      </w:r>
      <w:r>
        <w:rPr>
          <w:rFonts w:hint="eastAsia" w:ascii="Times New Roman" w:hAnsi="Times New Roman" w:eastAsia="宋体" w:cs="Times New Roman"/>
          <w:b/>
          <w:bCs/>
          <w:color w:val="0070C0"/>
          <w:spacing w:val="-2"/>
          <w:kern w:val="2"/>
          <w:sz w:val="21"/>
          <w:szCs w:val="21"/>
          <w:highlight w:val="none"/>
          <w:lang w:val="en-US" w:eastAsia="zh-CN" w:bidi="ar-SA"/>
        </w:rPr>
        <w:t>11</w:t>
      </w:r>
      <w:r>
        <w:rPr>
          <w:rFonts w:hint="default" w:ascii="Times New Roman" w:hAnsi="Times New Roman" w:eastAsia="宋体" w:cs="Times New Roman"/>
          <w:b/>
          <w:bCs/>
          <w:color w:val="0070C0"/>
          <w:spacing w:val="-2"/>
          <w:kern w:val="2"/>
          <w:sz w:val="21"/>
          <w:szCs w:val="21"/>
          <w:highlight w:val="none"/>
          <w:lang w:val="en-US" w:eastAsia="zh-CN" w:bidi="ar-SA"/>
        </w:rPr>
        <w:t>-</w:t>
      </w:r>
      <w:r>
        <w:rPr>
          <w:rFonts w:hint="eastAsia" w:ascii="Times New Roman" w:hAnsi="Times New Roman" w:eastAsia="宋体" w:cs="Times New Roman"/>
          <w:b/>
          <w:bCs/>
          <w:color w:val="0070C0"/>
          <w:spacing w:val="-2"/>
          <w:kern w:val="2"/>
          <w:sz w:val="21"/>
          <w:szCs w:val="21"/>
          <w:highlight w:val="none"/>
          <w:lang w:val="en-US" w:eastAsia="zh-CN" w:bidi="ar-SA"/>
        </w:rPr>
        <w:t>8</w:t>
      </w:r>
      <w:r>
        <w:rPr>
          <w:rFonts w:hint="default" w:ascii="Times New Roman" w:hAnsi="Times New Roman" w:eastAsia="宋体" w:cs="Times New Roman"/>
          <w:b/>
          <w:bCs/>
          <w:color w:val="0070C0"/>
          <w:spacing w:val="-2"/>
          <w:kern w:val="2"/>
          <w:sz w:val="21"/>
          <w:szCs w:val="21"/>
          <w:highlight w:val="none"/>
          <w:lang w:val="en-US" w:eastAsia="zh-CN" w:bidi="ar-SA"/>
        </w:rPr>
        <w:t xml:space="preserve">  </w:t>
      </w:r>
      <w:r>
        <w:rPr>
          <w:rFonts w:hint="eastAsia" w:ascii="Times New Roman" w:hAnsi="Times New Roman" w:eastAsia="宋体" w:cs="Times New Roman"/>
          <w:b/>
          <w:bCs/>
          <w:color w:val="0070C0"/>
          <w:spacing w:val="-2"/>
          <w:kern w:val="2"/>
          <w:sz w:val="21"/>
          <w:szCs w:val="21"/>
          <w:highlight w:val="none"/>
          <w:lang w:val="en-US" w:eastAsia="zh-CN" w:bidi="ar-SA"/>
        </w:rPr>
        <w:t xml:space="preserve">   本项目“三本账”</w:t>
      </w:r>
      <w:r>
        <w:rPr>
          <w:rFonts w:hint="default" w:ascii="Times New Roman" w:hAnsi="Times New Roman" w:eastAsia="宋体" w:cs="Times New Roman"/>
          <w:b/>
          <w:bCs/>
          <w:color w:val="0070C0"/>
          <w:spacing w:val="-2"/>
          <w:kern w:val="2"/>
          <w:sz w:val="21"/>
          <w:szCs w:val="21"/>
          <w:highlight w:val="none"/>
          <w:lang w:val="en-US" w:eastAsia="zh-CN" w:bidi="ar-SA"/>
        </w:rPr>
        <w:t xml:space="preserve">  </w:t>
      </w:r>
      <w:r>
        <w:rPr>
          <w:rFonts w:hint="eastAsia" w:ascii="Times New Roman" w:hAnsi="Times New Roman" w:eastAsia="宋体" w:cs="Times New Roman"/>
          <w:b/>
          <w:bCs/>
          <w:color w:val="0070C0"/>
          <w:spacing w:val="-2"/>
          <w:kern w:val="2"/>
          <w:sz w:val="21"/>
          <w:szCs w:val="21"/>
          <w:highlight w:val="none"/>
          <w:lang w:val="en-US" w:eastAsia="zh-CN" w:bidi="ar-SA"/>
        </w:rPr>
        <w:t xml:space="preserve">  </w:t>
      </w:r>
      <w:r>
        <w:rPr>
          <w:rFonts w:hint="default" w:ascii="Times New Roman" w:hAnsi="Times New Roman" w:eastAsia="宋体" w:cs="Times New Roman"/>
          <w:b/>
          <w:bCs/>
          <w:color w:val="0070C0"/>
          <w:spacing w:val="-2"/>
          <w:kern w:val="2"/>
          <w:sz w:val="21"/>
          <w:szCs w:val="21"/>
          <w:highlight w:val="none"/>
          <w:lang w:val="en-US" w:eastAsia="zh-CN" w:bidi="ar-SA"/>
        </w:rPr>
        <w:t xml:space="preserve"> 单位：t/a</w:t>
      </w:r>
    </w:p>
    <w:tbl>
      <w:tblPr>
        <w:tblStyle w:val="31"/>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423"/>
        <w:gridCol w:w="801"/>
        <w:gridCol w:w="1220"/>
        <w:gridCol w:w="1226"/>
        <w:gridCol w:w="1139"/>
        <w:gridCol w:w="1139"/>
        <w:gridCol w:w="111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default" w:ascii="Times New Roman" w:hAnsi="Times New Roman" w:eastAsia="宋体" w:cs="Times New Roman"/>
                <w:b/>
                <w:bCs/>
                <w:color w:val="0070C0"/>
                <w:sz w:val="21"/>
                <w:szCs w:val="21"/>
                <w:highlight w:val="none"/>
                <w:lang w:val="en-US" w:eastAsia="zh-CN"/>
              </w:rPr>
              <w:t>种类</w:t>
            </w: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default" w:ascii="Times New Roman" w:hAnsi="Times New Roman" w:eastAsia="宋体" w:cs="Times New Roman"/>
                <w:b/>
                <w:bCs/>
                <w:color w:val="0070C0"/>
                <w:sz w:val="21"/>
                <w:szCs w:val="21"/>
                <w:highlight w:val="none"/>
                <w:lang w:val="en-US" w:eastAsia="zh-CN"/>
              </w:rPr>
              <w:t>污染物名称</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default" w:ascii="Times New Roman" w:hAnsi="Times New Roman" w:eastAsia="宋体" w:cs="Times New Roman"/>
                <w:b/>
                <w:bCs/>
                <w:color w:val="0070C0"/>
                <w:sz w:val="21"/>
                <w:szCs w:val="21"/>
                <w:highlight w:val="none"/>
                <w:lang w:val="en-US" w:eastAsia="zh-CN"/>
              </w:rPr>
              <w:t>现有工程</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default" w:ascii="Times New Roman" w:hAnsi="Times New Roman" w:eastAsia="宋体" w:cs="Times New Roman"/>
                <w:b/>
                <w:bCs/>
                <w:color w:val="0070C0"/>
                <w:sz w:val="21"/>
                <w:szCs w:val="21"/>
                <w:highlight w:val="none"/>
                <w:lang w:val="en-US" w:eastAsia="zh-CN"/>
              </w:rPr>
              <w:t>拟建工程</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eastAsia" w:ascii="Times New Roman" w:hAnsi="Times New Roman" w:eastAsia="宋体" w:cs="Times New Roman"/>
                <w:b/>
                <w:bCs/>
                <w:color w:val="0070C0"/>
                <w:sz w:val="21"/>
                <w:szCs w:val="21"/>
                <w:highlight w:val="none"/>
                <w:lang w:val="en-US" w:eastAsia="zh-CN"/>
              </w:rPr>
              <w:t>以新代老消减量</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default" w:ascii="Times New Roman" w:hAnsi="Times New Roman" w:eastAsia="宋体" w:cs="Times New Roman"/>
                <w:b/>
                <w:bCs/>
                <w:color w:val="0070C0"/>
                <w:sz w:val="21"/>
                <w:szCs w:val="21"/>
                <w:highlight w:val="none"/>
                <w:lang w:val="en-US" w:eastAsia="zh-CN"/>
              </w:rPr>
              <w:t>区域</w:t>
            </w:r>
          </w:p>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default" w:ascii="Times New Roman" w:hAnsi="Times New Roman" w:eastAsia="宋体" w:cs="Times New Roman"/>
                <w:b/>
                <w:bCs/>
                <w:color w:val="0070C0"/>
                <w:sz w:val="21"/>
                <w:szCs w:val="21"/>
                <w:highlight w:val="none"/>
                <w:lang w:val="en-US" w:eastAsia="zh-CN"/>
              </w:rPr>
              <w:t>削减量</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default" w:ascii="Times New Roman" w:hAnsi="Times New Roman" w:eastAsia="宋体" w:cs="Times New Roman"/>
                <w:b/>
                <w:bCs/>
                <w:color w:val="0070C0"/>
                <w:sz w:val="21"/>
                <w:szCs w:val="21"/>
                <w:highlight w:val="none"/>
                <w:lang w:val="en-US" w:eastAsia="zh-CN"/>
              </w:rPr>
              <w:t>总体工程</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bCs/>
                <w:color w:val="0070C0"/>
                <w:sz w:val="21"/>
                <w:szCs w:val="21"/>
                <w:highlight w:val="none"/>
                <w:lang w:val="en-US" w:eastAsia="zh-CN"/>
              </w:rPr>
            </w:pPr>
            <w:r>
              <w:rPr>
                <w:rFonts w:hint="default" w:ascii="Times New Roman" w:hAnsi="Times New Roman" w:eastAsia="宋体" w:cs="Times New Roman"/>
                <w:b/>
                <w:bCs/>
                <w:color w:val="0070C0"/>
                <w:sz w:val="21"/>
                <w:szCs w:val="21"/>
                <w:highlight w:val="none"/>
                <w:lang w:val="en-US" w:eastAsia="zh-CN"/>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废气</w:t>
            </w: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SO</w:t>
            </w:r>
            <w:r>
              <w:rPr>
                <w:rFonts w:hint="eastAsia" w:ascii="Times New Roman" w:hAnsi="Times New Roman" w:eastAsia="宋体" w:cs="Times New Roman"/>
                <w:color w:val="0070C0"/>
                <w:sz w:val="21"/>
                <w:szCs w:val="21"/>
                <w:highlight w:val="none"/>
                <w:vertAlign w:val="subscript"/>
                <w:lang w:val="en-US" w:eastAsia="zh-CN"/>
              </w:rPr>
              <w:t>2</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pacing w:val="-2"/>
                <w:sz w:val="21"/>
                <w:szCs w:val="21"/>
                <w:highlight w:val="none"/>
                <w:lang w:val="en-US" w:eastAsia="zh-CN"/>
              </w:rPr>
              <w:t>71.16</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lang w:val="en-US" w:eastAsia="zh-CN"/>
              </w:rPr>
            </w:pPr>
            <w:r>
              <w:rPr>
                <w:rFonts w:hint="eastAsia" w:cs="Times New Roman"/>
                <w:color w:val="00B050"/>
                <w:spacing w:val="-1"/>
                <w:sz w:val="21"/>
                <w:szCs w:val="21"/>
                <w:highlight w:val="none"/>
                <w:lang w:val="en-US" w:eastAsia="zh-CN"/>
              </w:rPr>
              <w:t>7.67</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lang w:eastAsia="zh-CN"/>
              </w:rPr>
            </w:pPr>
            <w:r>
              <w:rPr>
                <w:rFonts w:hint="eastAsia" w:cs="Times New Roman"/>
                <w:color w:val="00B050"/>
                <w:spacing w:val="-2"/>
                <w:sz w:val="21"/>
                <w:szCs w:val="21"/>
                <w:highlight w:val="none"/>
                <w:lang w:val="en-US" w:eastAsia="zh-CN"/>
              </w:rPr>
              <w:t>71.16</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lang w:val="en-US" w:eastAsia="zh-CN"/>
              </w:rPr>
            </w:pPr>
            <w:r>
              <w:rPr>
                <w:rFonts w:hint="eastAsia" w:ascii="Times New Roman" w:hAnsi="Times New Roman" w:eastAsia="宋体" w:cs="Times New Roman"/>
                <w:color w:val="00B05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lang w:val="en-US" w:eastAsia="zh-CN"/>
              </w:rPr>
            </w:pPr>
            <w:r>
              <w:rPr>
                <w:rFonts w:hint="eastAsia" w:cs="Times New Roman"/>
                <w:color w:val="00B050"/>
                <w:spacing w:val="-1"/>
                <w:sz w:val="21"/>
                <w:szCs w:val="21"/>
                <w:highlight w:val="none"/>
                <w:lang w:val="en-US" w:eastAsia="zh-CN"/>
              </w:rPr>
              <w:t>7.67</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B050"/>
                <w:sz w:val="21"/>
                <w:szCs w:val="21"/>
                <w:highlight w:val="none"/>
                <w:lang w:val="en-US" w:eastAsia="zh-CN"/>
              </w:rPr>
            </w:pPr>
            <w:r>
              <w:rPr>
                <w:rFonts w:hint="eastAsia" w:cs="Times New Roman"/>
                <w:color w:val="00B050"/>
                <w:sz w:val="21"/>
                <w:szCs w:val="21"/>
                <w:highlight w:val="none"/>
                <w:lang w:val="en-US" w:eastAsia="zh-CN"/>
              </w:rPr>
              <w:t>-63.49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NO</w:t>
            </w:r>
            <w:r>
              <w:rPr>
                <w:rFonts w:hint="eastAsia" w:ascii="Times New Roman" w:hAnsi="Times New Roman" w:eastAsia="宋体" w:cs="Times New Roman"/>
                <w:color w:val="0070C0"/>
                <w:sz w:val="21"/>
                <w:szCs w:val="21"/>
                <w:highlight w:val="none"/>
                <w:vertAlign w:val="subscript"/>
                <w:lang w:val="en-US" w:eastAsia="zh-CN"/>
              </w:rPr>
              <w:t>X</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pacing w:val="-1"/>
                <w:sz w:val="21"/>
                <w:szCs w:val="21"/>
                <w:highlight w:val="none"/>
                <w:lang w:val="en-US" w:eastAsia="zh-CN"/>
              </w:rPr>
              <w:t>246.4</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lang w:val="en-US" w:eastAsia="zh-CN"/>
              </w:rPr>
            </w:pPr>
            <w:r>
              <w:rPr>
                <w:rFonts w:hint="eastAsia" w:cs="Times New Roman"/>
                <w:color w:val="00B050"/>
                <w:spacing w:val="-1"/>
                <w:sz w:val="21"/>
                <w:szCs w:val="21"/>
                <w:highlight w:val="none"/>
                <w:lang w:val="en-US" w:eastAsia="zh-CN"/>
              </w:rPr>
              <w:t>20.94</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lang w:eastAsia="zh-CN"/>
              </w:rPr>
            </w:pPr>
            <w:r>
              <w:rPr>
                <w:rFonts w:hint="eastAsia" w:cs="Times New Roman"/>
                <w:color w:val="00B050"/>
                <w:spacing w:val="-1"/>
                <w:sz w:val="21"/>
                <w:szCs w:val="21"/>
                <w:highlight w:val="none"/>
                <w:lang w:val="en-US" w:eastAsia="zh-CN"/>
              </w:rPr>
              <w:t>246.4</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lang w:val="en-US" w:eastAsia="zh-CN"/>
              </w:rPr>
            </w:pPr>
            <w:r>
              <w:rPr>
                <w:rFonts w:hint="eastAsia" w:ascii="Times New Roman" w:hAnsi="Times New Roman" w:eastAsia="宋体" w:cs="Times New Roman"/>
                <w:color w:val="00B05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B050"/>
                <w:sz w:val="21"/>
                <w:szCs w:val="21"/>
                <w:highlight w:val="none"/>
                <w:lang w:eastAsia="zh-CN"/>
              </w:rPr>
            </w:pPr>
            <w:r>
              <w:rPr>
                <w:rFonts w:hint="eastAsia" w:cs="Times New Roman"/>
                <w:color w:val="00B050"/>
                <w:spacing w:val="-1"/>
                <w:sz w:val="21"/>
                <w:szCs w:val="21"/>
                <w:highlight w:val="none"/>
                <w:lang w:val="en-US" w:eastAsia="zh-CN"/>
              </w:rPr>
              <w:t>20.94</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B050"/>
                <w:sz w:val="21"/>
                <w:szCs w:val="21"/>
                <w:highlight w:val="none"/>
                <w:lang w:val="en-US" w:eastAsia="zh-CN"/>
              </w:rPr>
            </w:pPr>
            <w:r>
              <w:rPr>
                <w:rFonts w:hint="eastAsia" w:cs="Times New Roman"/>
                <w:color w:val="00B050"/>
                <w:sz w:val="21"/>
                <w:szCs w:val="21"/>
                <w:highlight w:val="none"/>
                <w:lang w:val="en-US" w:eastAsia="zh-CN"/>
              </w:rPr>
              <w:t>-225.46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颗粒物</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pacing w:val="-2"/>
                <w:sz w:val="21"/>
                <w:szCs w:val="21"/>
                <w:highlight w:val="none"/>
                <w:lang w:val="en-US" w:eastAsia="zh-CN"/>
              </w:rPr>
              <w:t>28.2</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pacing w:val="-1"/>
                <w:sz w:val="21"/>
                <w:szCs w:val="21"/>
                <w:highlight w:val="none"/>
                <w:lang w:val="en-US" w:eastAsia="zh-CN"/>
              </w:rPr>
              <w:t>0.27</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eastAsia" w:cs="Times New Roman"/>
                <w:color w:val="0070C0"/>
                <w:spacing w:val="-2"/>
                <w:sz w:val="21"/>
                <w:szCs w:val="21"/>
                <w:highlight w:val="none"/>
                <w:lang w:val="en-US" w:eastAsia="zh-CN"/>
              </w:rPr>
              <w:t>28.2</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eastAsia" w:cs="Times New Roman"/>
                <w:color w:val="0070C0"/>
                <w:spacing w:val="-1"/>
                <w:sz w:val="21"/>
                <w:szCs w:val="21"/>
                <w:highlight w:val="none"/>
                <w:lang w:val="en-US" w:eastAsia="zh-CN"/>
              </w:rPr>
              <w:t>0.27</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-27.93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汞及其化合物</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pacing w:val="-1"/>
                <w:sz w:val="21"/>
                <w:szCs w:val="21"/>
                <w:highlight w:val="none"/>
                <w:lang w:val="en-US" w:eastAsia="zh-CN"/>
              </w:rPr>
              <w:t>0.00123</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pacing w:val="-1"/>
                <w:sz w:val="21"/>
                <w:szCs w:val="21"/>
                <w:highlight w:val="none"/>
                <w:lang w:val="en-US" w:eastAsia="zh-CN"/>
              </w:rPr>
              <w:t>0.00107</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pacing w:val="-1"/>
                <w:sz w:val="21"/>
                <w:szCs w:val="21"/>
                <w:highlight w:val="none"/>
                <w:lang w:val="en-US" w:eastAsia="zh-CN"/>
              </w:rPr>
              <w:t>0.00123</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eastAsia" w:cs="Times New Roman"/>
                <w:color w:val="0070C0"/>
                <w:spacing w:val="-1"/>
                <w:sz w:val="21"/>
                <w:szCs w:val="21"/>
                <w:highlight w:val="none"/>
                <w:lang w:val="en-US" w:eastAsia="zh-CN"/>
              </w:rPr>
              <w:t>0.00107</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-0.00016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固废</w:t>
            </w: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default" w:ascii="Times New Roman" w:hAnsi="Times New Roman" w:eastAsia="宋体" w:cs="Times New Roman"/>
                <w:color w:val="0070C0"/>
                <w:sz w:val="21"/>
                <w:szCs w:val="21"/>
                <w:highlight w:val="none"/>
                <w:lang w:eastAsia="zh-CN"/>
              </w:rPr>
              <w:t>生活垃圾</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0.5</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0</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0.5</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0</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default" w:ascii="Times New Roman" w:hAnsi="Times New Roman" w:eastAsia="宋体" w:cs="Times New Roman"/>
                <w:color w:val="0070C0"/>
                <w:sz w:val="21"/>
                <w:szCs w:val="21"/>
                <w:highlight w:val="none"/>
                <w:lang w:eastAsia="zh-CN"/>
              </w:rPr>
              <w:t>脱硫石膏</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2400</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eastAsia" w:cs="Times New Roman"/>
                <w:color w:val="0070C0"/>
                <w:sz w:val="21"/>
                <w:szCs w:val="21"/>
                <w:highlight w:val="none"/>
                <w:lang w:val="en-US" w:eastAsia="zh-CN"/>
              </w:rPr>
              <w:t>144.26</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2400</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eastAsia" w:cs="Times New Roman"/>
                <w:color w:val="0070C0"/>
                <w:sz w:val="21"/>
                <w:szCs w:val="21"/>
                <w:highlight w:val="none"/>
                <w:lang w:val="en-US" w:eastAsia="zh-CN"/>
              </w:rPr>
              <w:t>144.26</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-2255.74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4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default" w:ascii="Times New Roman" w:hAnsi="Times New Roman" w:eastAsia="宋体" w:cs="Times New Roman"/>
                <w:color w:val="0070C0"/>
                <w:sz w:val="21"/>
                <w:szCs w:val="21"/>
                <w:highlight w:val="none"/>
                <w:lang w:eastAsia="zh-CN"/>
              </w:rPr>
              <w:t>灰渣</w:t>
            </w:r>
          </w:p>
        </w:tc>
        <w:tc>
          <w:tcPr>
            <w:tcW w:w="8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default" w:ascii="Times New Roman" w:hAnsi="Times New Roman" w:eastAsia="宋体" w:cs="Times New Roman"/>
                <w:color w:val="0070C0"/>
                <w:sz w:val="21"/>
                <w:szCs w:val="21"/>
                <w:highlight w:val="none"/>
                <w:lang w:eastAsia="zh-CN"/>
              </w:rPr>
              <w:t>炉渣</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8578.5</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B050"/>
                <w:sz w:val="21"/>
                <w:szCs w:val="21"/>
                <w:highlight w:val="none"/>
                <w:lang w:val="en-US" w:eastAsia="zh-CN"/>
              </w:rPr>
              <w:t>7011.14</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8578.5</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B050"/>
                <w:sz w:val="21"/>
                <w:szCs w:val="21"/>
                <w:highlight w:val="none"/>
                <w:lang w:val="en-US" w:eastAsia="zh-CN"/>
              </w:rPr>
              <w:t>7011.14</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B050"/>
                <w:sz w:val="21"/>
                <w:szCs w:val="21"/>
                <w:highlight w:val="none"/>
                <w:lang w:val="en-US" w:eastAsia="zh-CN"/>
              </w:rPr>
              <w:t>-1567.36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4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eastAsia="zh-CN"/>
              </w:rPr>
            </w:pPr>
          </w:p>
        </w:tc>
        <w:tc>
          <w:tcPr>
            <w:tcW w:w="8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default" w:ascii="Times New Roman" w:hAnsi="Times New Roman" w:eastAsia="宋体" w:cs="Times New Roman"/>
                <w:color w:val="0070C0"/>
                <w:sz w:val="21"/>
                <w:szCs w:val="21"/>
                <w:highlight w:val="none"/>
                <w:lang w:eastAsia="zh-CN"/>
              </w:rPr>
              <w:t>飞灰</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143.4</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53.83</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143.4</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eastAsia" w:cs="Times New Roman"/>
                <w:color w:val="0070C0"/>
                <w:sz w:val="21"/>
                <w:szCs w:val="21"/>
                <w:highlight w:val="none"/>
                <w:lang w:val="en-US" w:eastAsia="zh-CN"/>
              </w:rPr>
              <w:t>53.83</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-89.57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default" w:ascii="Times New Roman" w:hAnsi="Times New Roman" w:eastAsia="宋体" w:cs="Times New Roman"/>
                <w:color w:val="0070C0"/>
                <w:sz w:val="21"/>
                <w:szCs w:val="21"/>
                <w:highlight w:val="none"/>
                <w:lang w:eastAsia="zh-CN"/>
              </w:rPr>
              <w:t>废离子交换树脂</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eastAsia="zh-CN"/>
              </w:rPr>
              <w:t>0.</w:t>
            </w:r>
            <w:r>
              <w:rPr>
                <w:rFonts w:hint="default" w:ascii="Times New Roman" w:hAnsi="Times New Roman" w:eastAsia="宋体" w:cs="Times New Roman"/>
                <w:color w:val="0070C0"/>
                <w:sz w:val="21"/>
                <w:szCs w:val="21"/>
                <w:highlight w:val="none"/>
                <w:lang w:val="en-US" w:eastAsia="zh-CN"/>
              </w:rPr>
              <w:t>25</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eastAsia="zh-CN"/>
              </w:rPr>
            </w:pPr>
            <w:r>
              <w:rPr>
                <w:rFonts w:hint="default" w:ascii="Times New Roman" w:hAnsi="Times New Roman" w:eastAsia="宋体" w:cs="Times New Roman"/>
                <w:color w:val="0070C0"/>
                <w:sz w:val="21"/>
                <w:szCs w:val="21"/>
                <w:highlight w:val="none"/>
                <w:lang w:eastAsia="zh-CN"/>
              </w:rPr>
              <w:t>0.25</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eastAsia="zh-CN"/>
              </w:rPr>
              <w:t>0.</w:t>
            </w:r>
            <w:r>
              <w:rPr>
                <w:rFonts w:hint="default" w:ascii="Times New Roman" w:hAnsi="Times New Roman" w:eastAsia="宋体" w:cs="Times New Roman"/>
                <w:color w:val="0070C0"/>
                <w:sz w:val="21"/>
                <w:szCs w:val="21"/>
                <w:highlight w:val="none"/>
                <w:lang w:val="en-US" w:eastAsia="zh-CN"/>
              </w:rPr>
              <w:t>25</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eastAsia="zh-CN"/>
              </w:rPr>
              <w:t>0.25</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废机油</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0.2</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0.2</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0.2</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0.2</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p>
        </w:tc>
        <w:tc>
          <w:tcPr>
            <w:tcW w:w="122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de-DE" w:eastAsia="zh-CN"/>
              </w:rPr>
              <w:t>废弃滤袋</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w:t>
            </w:r>
            <w:r>
              <w:rPr>
                <w:rFonts w:hint="eastAsia" w:cs="Times New Roman"/>
                <w:color w:val="0070C0"/>
                <w:sz w:val="21"/>
                <w:szCs w:val="21"/>
                <w:highlight w:val="none"/>
                <w:lang w:val="en-US" w:eastAsia="zh-CN"/>
              </w:rPr>
              <w:t>.02</w:t>
            </w:r>
          </w:p>
        </w:tc>
        <w:tc>
          <w:tcPr>
            <w:tcW w:w="12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0.02</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w:t>
            </w:r>
            <w:r>
              <w:rPr>
                <w:rFonts w:hint="eastAsia" w:cs="Times New Roman"/>
                <w:color w:val="0070C0"/>
                <w:sz w:val="21"/>
                <w:szCs w:val="21"/>
                <w:highlight w:val="none"/>
                <w:lang w:val="en-US" w:eastAsia="zh-CN"/>
              </w:rPr>
              <w:t>.02</w:t>
            </w:r>
          </w:p>
        </w:tc>
        <w:tc>
          <w:tcPr>
            <w:tcW w:w="11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0070C0"/>
                <w:sz w:val="21"/>
                <w:szCs w:val="21"/>
                <w:highlight w:val="none"/>
                <w:lang w:val="en-US" w:eastAsia="zh-CN"/>
              </w:rPr>
              <w:t>0</w:t>
            </w:r>
          </w:p>
        </w:tc>
        <w:tc>
          <w:tcPr>
            <w:tcW w:w="11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default" w:ascii="Times New Roman" w:hAnsi="Times New Roman" w:eastAsia="宋体" w:cs="Times New Roman"/>
                <w:color w:val="0070C0"/>
                <w:sz w:val="21"/>
                <w:szCs w:val="21"/>
                <w:highlight w:val="none"/>
                <w:lang w:val="en-US" w:eastAsia="zh-CN"/>
              </w:rPr>
              <w:t>0.02</w:t>
            </w:r>
          </w:p>
        </w:tc>
        <w:tc>
          <w:tcPr>
            <w:tcW w:w="1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0070C0"/>
                <w:sz w:val="21"/>
                <w:szCs w:val="21"/>
                <w:highlight w:val="none"/>
                <w:lang w:val="en-US" w:eastAsia="zh-CN"/>
              </w:rPr>
            </w:pPr>
            <w:r>
              <w:rPr>
                <w:rFonts w:hint="eastAsia" w:cs="Times New Roman"/>
                <w:color w:val="0070C0"/>
                <w:sz w:val="21"/>
                <w:szCs w:val="21"/>
                <w:highlight w:val="none"/>
                <w:lang w:val="en-US" w:eastAsia="zh-CN"/>
              </w:rPr>
              <w:t>0</w:t>
            </w:r>
          </w:p>
        </w:tc>
      </w:tr>
      <w:bookmarkEnd w:id="128"/>
    </w:tbl>
    <w:p>
      <w:pPr>
        <w:pStyle w:val="14"/>
        <w:spacing w:line="360" w:lineRule="auto"/>
        <w:ind w:left="0" w:firstLine="480" w:firstLineChars="200"/>
        <w:jc w:val="both"/>
      </w:pPr>
      <w:bookmarkStart w:id="129" w:name="_bookmark18"/>
      <w:bookmarkEnd w:id="129"/>
      <w:bookmarkStart w:id="130" w:name="3.4_清洁生产与循环经济"/>
      <w:bookmarkEnd w:id="130"/>
    </w:p>
    <w:p>
      <w:pPr>
        <w:spacing w:line="364" w:lineRule="auto"/>
        <w:jc w:val="both"/>
        <w:sectPr>
          <w:headerReference r:id="rId15" w:type="default"/>
          <w:footerReference r:id="rId17" w:type="default"/>
          <w:headerReference r:id="rId16" w:type="even"/>
          <w:footerReference r:id="rId18" w:type="even"/>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pStyle w:val="4"/>
        <w:tabs>
          <w:tab w:val="left" w:pos="1444"/>
        </w:tabs>
        <w:ind w:right="37"/>
      </w:pPr>
      <w:bookmarkStart w:id="131" w:name="_Toc29807"/>
      <w:bookmarkStart w:id="132" w:name="_Toc25813"/>
      <w:bookmarkStart w:id="133" w:name="_Toc7864"/>
      <w:r>
        <w:t>第四章</w:t>
      </w:r>
      <w:bookmarkStart w:id="134" w:name="第四章_环境现状调查与评价"/>
      <w:bookmarkEnd w:id="134"/>
      <w:r>
        <w:rPr>
          <w:rFonts w:hint="eastAsia"/>
          <w:lang w:val="en-US"/>
        </w:rPr>
        <w:t xml:space="preserve">  </w:t>
      </w:r>
      <w:r>
        <w:t>环境现状调查与评价</w:t>
      </w:r>
      <w:bookmarkEnd w:id="131"/>
      <w:bookmarkEnd w:id="132"/>
      <w:bookmarkEnd w:id="133"/>
    </w:p>
    <w:p>
      <w:pPr>
        <w:pStyle w:val="5"/>
        <w:keepNext w:val="0"/>
        <w:keepLines w:val="0"/>
        <w:pageBreakBefore w:val="0"/>
        <w:widowControl w:val="0"/>
        <w:numPr>
          <w:ilvl w:val="1"/>
          <w:numId w:val="17"/>
        </w:numPr>
        <w:tabs>
          <w:tab w:val="left" w:pos="1100"/>
        </w:tabs>
        <w:kinsoku/>
        <w:wordWrap/>
        <w:overflowPunct/>
        <w:topLinePunct w:val="0"/>
        <w:autoSpaceDE w:val="0"/>
        <w:autoSpaceDN w:val="0"/>
        <w:bidi w:val="0"/>
        <w:adjustRightInd w:val="0"/>
        <w:snapToGrid w:val="0"/>
        <w:spacing w:line="360" w:lineRule="auto"/>
        <w:ind w:left="0" w:right="0" w:firstLine="643" w:firstLineChars="200"/>
        <w:jc w:val="both"/>
        <w:textAlignment w:val="auto"/>
        <w:rPr>
          <w:spacing w:val="0"/>
          <w:position w:val="0"/>
        </w:rPr>
      </w:pPr>
      <w:bookmarkStart w:id="135" w:name="_bookmark20"/>
      <w:bookmarkEnd w:id="135"/>
      <w:bookmarkStart w:id="136" w:name="4.1_自然环境概况"/>
      <w:bookmarkEnd w:id="136"/>
      <w:bookmarkStart w:id="137" w:name="_Toc6832"/>
      <w:bookmarkStart w:id="138" w:name="_Toc29942"/>
      <w:bookmarkStart w:id="139" w:name="_Toc26206"/>
      <w:r>
        <w:rPr>
          <w:spacing w:val="0"/>
          <w:position w:val="0"/>
        </w:rPr>
        <w:t>自然环境概况</w:t>
      </w:r>
      <w:bookmarkEnd w:id="137"/>
      <w:bookmarkEnd w:id="138"/>
      <w:bookmarkEnd w:id="139"/>
    </w:p>
    <w:p>
      <w:pPr>
        <w:pStyle w:val="6"/>
        <w:keepNext w:val="0"/>
        <w:keepLines w:val="0"/>
        <w:pageBreakBefore w:val="0"/>
        <w:numPr>
          <w:ilvl w:val="2"/>
          <w:numId w:val="17"/>
        </w:numPr>
        <w:tabs>
          <w:tab w:val="left" w:pos="1241"/>
        </w:tabs>
        <w:kinsoku/>
        <w:wordWrap/>
        <w:overflowPunct/>
        <w:topLinePunct w:val="0"/>
        <w:bidi w:val="0"/>
        <w:adjustRightInd w:val="0"/>
        <w:snapToGrid w:val="0"/>
        <w:spacing w:line="360" w:lineRule="auto"/>
        <w:ind w:left="0" w:right="0" w:firstLine="562" w:firstLineChars="200"/>
        <w:jc w:val="both"/>
        <w:rPr>
          <w:spacing w:val="0"/>
          <w:position w:val="0"/>
        </w:rPr>
      </w:pPr>
      <w:bookmarkStart w:id="140" w:name="4.1.1_地理位置"/>
      <w:bookmarkEnd w:id="140"/>
      <w:r>
        <w:rPr>
          <w:spacing w:val="0"/>
          <w:position w:val="0"/>
        </w:rPr>
        <w:t>地理位置</w:t>
      </w:r>
    </w:p>
    <w:p>
      <w:pPr>
        <w:keepNext w:val="0"/>
        <w:keepLines w:val="0"/>
        <w:pageBreakBefore w:val="0"/>
        <w:kinsoku/>
        <w:wordWrap/>
        <w:overflowPunct/>
        <w:topLinePunct w:val="0"/>
        <w:bidi w:val="0"/>
        <w:adjustRightInd w:val="0"/>
        <w:snapToGrid w:val="0"/>
        <w:spacing w:line="360" w:lineRule="auto"/>
        <w:ind w:left="0" w:right="0" w:firstLine="479"/>
        <w:jc w:val="both"/>
        <w:rPr>
          <w:rFonts w:ascii="Times New Roman" w:cs="Times New Roman"/>
          <w:spacing w:val="0"/>
          <w:position w:val="0"/>
          <w:sz w:val="24"/>
          <w:szCs w:val="24"/>
        </w:rPr>
      </w:pPr>
      <w:r>
        <w:rPr>
          <w:rFonts w:ascii="宋体" w:hAnsi="宋体" w:eastAsia="宋体" w:cs="宋体"/>
          <w:spacing w:val="0"/>
          <w:position w:val="0"/>
          <w:sz w:val="24"/>
          <w:szCs w:val="24"/>
        </w:rPr>
        <w:t>额敏县位于新疆维吾尔自治区西北部，准噶尔盆地西北边缘，塔额盆地东北部，地处东经</w:t>
      </w:r>
      <w:r>
        <w:rPr>
          <w:rFonts w:ascii="Times New Roman" w:hAnsi="Times New Roman" w:eastAsia="Times New Roman" w:cs="Times New Roman"/>
          <w:spacing w:val="0"/>
          <w:position w:val="0"/>
          <w:sz w:val="24"/>
          <w:szCs w:val="24"/>
        </w:rPr>
        <w:t xml:space="preserve">83°24′-85° 10′ </w:t>
      </w:r>
      <w:r>
        <w:rPr>
          <w:rFonts w:ascii="宋体" w:hAnsi="宋体" w:eastAsia="宋体" w:cs="宋体"/>
          <w:spacing w:val="0"/>
          <w:position w:val="0"/>
          <w:sz w:val="24"/>
          <w:szCs w:val="24"/>
        </w:rPr>
        <w:t>北纬</w:t>
      </w:r>
      <w:r>
        <w:rPr>
          <w:rFonts w:ascii="Times New Roman" w:hAnsi="Times New Roman" w:eastAsia="Times New Roman" w:cs="Times New Roman"/>
          <w:spacing w:val="0"/>
          <w:position w:val="0"/>
          <w:sz w:val="24"/>
          <w:szCs w:val="24"/>
        </w:rPr>
        <w:t xml:space="preserve">46°09′-47°03′ </w:t>
      </w:r>
      <w:r>
        <w:rPr>
          <w:rFonts w:ascii="宋体" w:hAnsi="宋体" w:eastAsia="宋体" w:cs="宋体"/>
          <w:spacing w:val="0"/>
          <w:position w:val="0"/>
          <w:sz w:val="24"/>
          <w:szCs w:val="24"/>
        </w:rPr>
        <w:t>，北以塔尔巴哈台山脉为界与哈萨克斯坦共和国接壤，南至吾尔喀夏尔山的沃雪特河与托里县相邻，北以白杨河为界与和布克赛尔蒙古自治县相接，西至锡伯特河与塔城市相连。额敏县幅员辽阔，县境东西长</w:t>
      </w:r>
      <w:r>
        <w:rPr>
          <w:rFonts w:ascii="Times New Roman" w:hAnsi="Times New Roman" w:eastAsia="Times New Roman" w:cs="Times New Roman"/>
          <w:spacing w:val="0"/>
          <w:position w:val="0"/>
          <w:sz w:val="24"/>
          <w:szCs w:val="24"/>
        </w:rPr>
        <w:t xml:space="preserve">123km </w:t>
      </w:r>
      <w:r>
        <w:rPr>
          <w:rFonts w:ascii="宋体" w:hAnsi="宋体" w:eastAsia="宋体" w:cs="宋体"/>
          <w:spacing w:val="0"/>
          <w:position w:val="0"/>
          <w:sz w:val="24"/>
          <w:szCs w:val="24"/>
        </w:rPr>
        <w:t>，南北长</w:t>
      </w:r>
      <w:r>
        <w:rPr>
          <w:rFonts w:ascii="Times New Roman" w:hAnsi="Times New Roman" w:eastAsia="Times New Roman" w:cs="Times New Roman"/>
          <w:spacing w:val="0"/>
          <w:position w:val="0"/>
          <w:sz w:val="24"/>
          <w:szCs w:val="24"/>
        </w:rPr>
        <w:t xml:space="preserve">87km </w:t>
      </w:r>
      <w:r>
        <w:rPr>
          <w:rFonts w:ascii="宋体" w:hAnsi="宋体" w:eastAsia="宋体" w:cs="宋体"/>
          <w:spacing w:val="0"/>
          <w:position w:val="0"/>
          <w:sz w:val="24"/>
          <w:szCs w:val="24"/>
        </w:rPr>
        <w:t>，面积为</w:t>
      </w:r>
      <w:r>
        <w:rPr>
          <w:rFonts w:ascii="Times New Roman" w:hAnsi="Times New Roman" w:eastAsia="Times New Roman" w:cs="Times New Roman"/>
          <w:spacing w:val="0"/>
          <w:position w:val="0"/>
          <w:sz w:val="24"/>
          <w:szCs w:val="24"/>
        </w:rPr>
        <w:t>9532km</w:t>
      </w:r>
      <w:r>
        <w:rPr>
          <w:rFonts w:hint="eastAsia" w:ascii="Times New Roman" w:hAnsi="Times New Roman" w:eastAsia="宋体" w:cs="Times New Roman"/>
          <w:spacing w:val="0"/>
          <w:position w:val="0"/>
          <w:sz w:val="24"/>
          <w:szCs w:val="24"/>
          <w:vertAlign w:val="superscript"/>
          <w:lang w:val="en-US" w:eastAsia="zh-CN"/>
        </w:rPr>
        <w:t>2</w:t>
      </w:r>
      <w:r>
        <w:rPr>
          <w:rFonts w:ascii="宋体" w:hAnsi="宋体" w:eastAsia="宋体" w:cs="宋体"/>
          <w:spacing w:val="0"/>
          <w:position w:val="0"/>
          <w:sz w:val="24"/>
          <w:szCs w:val="24"/>
        </w:rPr>
        <w:t>，占中华人民共和国总面积的千分之一，占自治区面积的千分之六。</w:t>
      </w:r>
    </w:p>
    <w:p>
      <w:pPr>
        <w:pStyle w:val="28"/>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spacing w:val="0"/>
          <w:position w:val="0"/>
          <w:sz w:val="24"/>
          <w:szCs w:val="24"/>
        </w:rPr>
      </w:pPr>
      <w:r>
        <w:rPr>
          <w:rFonts w:ascii="Times New Roman" w:hAnsi="Times New Roman" w:eastAsia="宋体" w:cs="Times New Roman"/>
          <w:spacing w:val="0"/>
          <w:position w:val="0"/>
          <w:sz w:val="24"/>
          <w:szCs w:val="24"/>
        </w:rPr>
        <w:t>本项目</w:t>
      </w:r>
      <w:r>
        <w:rPr>
          <w:spacing w:val="0"/>
          <w:position w:val="0"/>
          <w:sz w:val="24"/>
          <w:szCs w:val="24"/>
        </w:rPr>
        <w:t>位于</w:t>
      </w:r>
      <w:r>
        <w:rPr>
          <w:rFonts w:hint="eastAsia" w:eastAsia="宋体"/>
          <w:spacing w:val="0"/>
          <w:position w:val="0"/>
          <w:sz w:val="24"/>
          <w:szCs w:val="24"/>
          <w:lang w:eastAsia="zh-CN"/>
        </w:rPr>
        <w:t>塔城地区额敏县桥南中粮路</w:t>
      </w:r>
      <w:r>
        <w:rPr>
          <w:rFonts w:hint="default" w:ascii="Times New Roman" w:hAnsi="Times New Roman" w:eastAsia="宋体" w:cs="Times New Roman"/>
          <w:spacing w:val="0"/>
          <w:position w:val="0"/>
          <w:sz w:val="24"/>
          <w:szCs w:val="24"/>
          <w:lang w:eastAsia="zh-CN"/>
        </w:rPr>
        <w:t>21</w:t>
      </w:r>
      <w:r>
        <w:rPr>
          <w:rFonts w:hint="eastAsia" w:eastAsia="宋体"/>
          <w:spacing w:val="0"/>
          <w:position w:val="0"/>
          <w:sz w:val="24"/>
          <w:szCs w:val="24"/>
          <w:lang w:eastAsia="zh-CN"/>
        </w:rPr>
        <w:t>号中粮糖业控股股份有限公司额敏糖业分公司厂区内</w:t>
      </w:r>
      <w:r>
        <w:rPr>
          <w:spacing w:val="0"/>
          <w:position w:val="0"/>
          <w:sz w:val="24"/>
          <w:szCs w:val="24"/>
        </w:rPr>
        <w:t>。中心点经纬度坐标：</w:t>
      </w:r>
      <w:r>
        <w:rPr>
          <w:rFonts w:ascii="Times New Roman" w:hAnsi="Times New Roman" w:eastAsia="Times New Roman"/>
          <w:spacing w:val="0"/>
          <w:position w:val="0"/>
          <w:sz w:val="24"/>
          <w:szCs w:val="24"/>
        </w:rPr>
        <w:t>E</w:t>
      </w:r>
      <w:r>
        <w:rPr>
          <w:rFonts w:hint="eastAsia" w:ascii="Times New Roman" w:eastAsia="宋体"/>
          <w:spacing w:val="0"/>
          <w:position w:val="0"/>
          <w:sz w:val="24"/>
          <w:szCs w:val="24"/>
          <w:lang w:val="en-US" w:eastAsia="zh-CN"/>
        </w:rPr>
        <w:t>83°39'53.48"</w:t>
      </w:r>
      <w:r>
        <w:rPr>
          <w:spacing w:val="0"/>
          <w:position w:val="0"/>
          <w:sz w:val="24"/>
          <w:szCs w:val="24"/>
        </w:rPr>
        <w:t>，</w:t>
      </w:r>
      <w:r>
        <w:rPr>
          <w:rFonts w:ascii="Times New Roman" w:hAnsi="Times New Roman" w:eastAsia="Times New Roman"/>
          <w:spacing w:val="0"/>
          <w:position w:val="0"/>
          <w:sz w:val="24"/>
          <w:szCs w:val="24"/>
        </w:rPr>
        <w:t>N</w:t>
      </w:r>
      <w:r>
        <w:rPr>
          <w:rFonts w:hint="eastAsia" w:ascii="Times New Roman" w:eastAsia="宋体"/>
          <w:spacing w:val="0"/>
          <w:position w:val="0"/>
          <w:sz w:val="24"/>
          <w:szCs w:val="24"/>
          <w:lang w:val="en-US" w:eastAsia="zh-CN"/>
        </w:rPr>
        <w:t>46°30'27.55"</w:t>
      </w:r>
      <w:r>
        <w:rPr>
          <w:color w:val="000000" w:themeColor="text1"/>
          <w:spacing w:val="0"/>
          <w:position w:val="0"/>
          <w:sz w:val="24"/>
          <w:szCs w:val="24"/>
        </w:rPr>
        <w:t>，</w:t>
      </w:r>
      <w:r>
        <w:rPr>
          <w:rFonts w:hint="eastAsia" w:ascii="宋体" w:hAnsi="宋体"/>
          <w:bCs/>
          <w:color w:val="000000"/>
          <w:spacing w:val="0"/>
          <w:position w:val="0"/>
          <w:sz w:val="24"/>
          <w:szCs w:val="24"/>
        </w:rPr>
        <w:t>厂址北侧、东侧、南侧均有少数散住居民，西侧为额敏糖业分公司家属区</w:t>
      </w:r>
      <w:r>
        <w:rPr>
          <w:color w:val="000000" w:themeColor="text1"/>
          <w:spacing w:val="0"/>
          <w:position w:val="0"/>
          <w:sz w:val="24"/>
          <w:szCs w:val="24"/>
        </w:rPr>
        <w:t>。</w:t>
      </w:r>
      <w:r>
        <w:rPr>
          <w:rFonts w:ascii="Times New Roman" w:hAnsi="Times New Roman" w:eastAsia="宋体" w:cs="Times New Roman"/>
          <w:spacing w:val="0"/>
          <w:position w:val="0"/>
          <w:sz w:val="24"/>
          <w:szCs w:val="24"/>
        </w:rPr>
        <w:t>项目区地理位置图见图</w:t>
      </w:r>
      <w:r>
        <w:rPr>
          <w:rFonts w:hint="eastAsia" w:ascii="Times New Roman" w:eastAsia="宋体" w:cs="Times New Roman"/>
          <w:spacing w:val="0"/>
          <w:position w:val="0"/>
          <w:sz w:val="24"/>
          <w:szCs w:val="24"/>
          <w:lang w:val="en-US" w:eastAsia="zh-CN"/>
        </w:rPr>
        <w:t>3.2</w:t>
      </w:r>
      <w:r>
        <w:rPr>
          <w:rFonts w:ascii="Times New Roman" w:hAnsi="Times New Roman" w:eastAsia="宋体" w:cs="Times New Roman"/>
          <w:spacing w:val="0"/>
          <w:position w:val="0"/>
          <w:sz w:val="24"/>
          <w:szCs w:val="24"/>
        </w:rPr>
        <w:t>-</w:t>
      </w:r>
      <w:r>
        <w:rPr>
          <w:rFonts w:hint="eastAsia" w:ascii="Times New Roman" w:hAnsi="Times New Roman" w:eastAsia="宋体" w:cs="Times New Roman"/>
          <w:spacing w:val="0"/>
          <w:position w:val="0"/>
          <w:sz w:val="24"/>
          <w:szCs w:val="24"/>
          <w:lang w:val="en-US"/>
        </w:rPr>
        <w:t>1</w:t>
      </w:r>
      <w:r>
        <w:rPr>
          <w:rFonts w:ascii="Times New Roman" w:hAnsi="Times New Roman" w:eastAsia="宋体" w:cs="Times New Roman"/>
          <w:spacing w:val="0"/>
          <w:position w:val="0"/>
          <w:sz w:val="24"/>
          <w:szCs w:val="24"/>
        </w:rPr>
        <w:t>。</w:t>
      </w:r>
    </w:p>
    <w:p>
      <w:pPr>
        <w:pStyle w:val="6"/>
        <w:keepNext w:val="0"/>
        <w:keepLines w:val="0"/>
        <w:pageBreakBefore w:val="0"/>
        <w:numPr>
          <w:ilvl w:val="2"/>
          <w:numId w:val="17"/>
        </w:numPr>
        <w:tabs>
          <w:tab w:val="left" w:pos="1241"/>
        </w:tabs>
        <w:kinsoku/>
        <w:wordWrap/>
        <w:overflowPunct/>
        <w:topLinePunct w:val="0"/>
        <w:bidi w:val="0"/>
        <w:adjustRightInd w:val="0"/>
        <w:snapToGrid w:val="0"/>
        <w:spacing w:line="360" w:lineRule="auto"/>
        <w:ind w:left="0" w:right="0" w:firstLine="562" w:firstLineChars="200"/>
        <w:jc w:val="both"/>
        <w:rPr>
          <w:spacing w:val="0"/>
          <w:position w:val="0"/>
        </w:rPr>
      </w:pPr>
      <w:bookmarkStart w:id="141" w:name="4.1.2_地形地貌"/>
      <w:bookmarkEnd w:id="141"/>
      <w:r>
        <w:rPr>
          <w:spacing w:val="0"/>
          <w:position w:val="0"/>
        </w:rPr>
        <w:t>地形地貌</w:t>
      </w:r>
    </w:p>
    <w:p>
      <w:pPr>
        <w:keepNext w:val="0"/>
        <w:keepLines w:val="0"/>
        <w:pageBreakBefore w:val="0"/>
        <w:kinsoku/>
        <w:wordWrap/>
        <w:overflowPunct/>
        <w:topLinePunct w:val="0"/>
        <w:bidi w:val="0"/>
        <w:adjustRightInd w:val="0"/>
        <w:snapToGrid w:val="0"/>
        <w:spacing w:line="360" w:lineRule="auto"/>
        <w:ind w:left="0" w:right="0" w:firstLine="480"/>
        <w:jc w:val="both"/>
        <w:rPr>
          <w:rFonts w:ascii="宋体" w:hAnsi="宋体" w:eastAsia="宋体" w:cs="宋体"/>
          <w:spacing w:val="0"/>
          <w:position w:val="0"/>
          <w:sz w:val="24"/>
          <w:szCs w:val="24"/>
        </w:rPr>
      </w:pPr>
      <w:r>
        <w:rPr>
          <w:rFonts w:ascii="宋体" w:hAnsi="宋体" w:eastAsia="宋体" w:cs="宋体"/>
          <w:spacing w:val="0"/>
          <w:position w:val="0"/>
          <w:sz w:val="24"/>
          <w:szCs w:val="24"/>
        </w:rPr>
        <w:t>额敏三面环山，塔尔巴哈台山脉横卧县境北部，吾尔喀夏尔山脉雄踞东南部，形成西部开口，中部低平的盆地，县境北部和东南部为山地，地势东北高而西南低，山地面积占全境面积的</w:t>
      </w:r>
      <w:r>
        <w:rPr>
          <w:rFonts w:ascii="Times New Roman" w:hAnsi="Times New Roman" w:eastAsia="Times New Roman" w:cs="Times New Roman"/>
          <w:spacing w:val="0"/>
          <w:position w:val="0"/>
          <w:sz w:val="24"/>
          <w:szCs w:val="24"/>
        </w:rPr>
        <w:t xml:space="preserve">54.41% </w:t>
      </w:r>
      <w:r>
        <w:rPr>
          <w:rFonts w:ascii="宋体" w:hAnsi="宋体" w:eastAsia="宋体" w:cs="宋体"/>
          <w:spacing w:val="0"/>
          <w:position w:val="0"/>
          <w:sz w:val="24"/>
          <w:szCs w:val="24"/>
        </w:rPr>
        <w:t>，平原面积占</w:t>
      </w:r>
      <w:r>
        <w:rPr>
          <w:rFonts w:ascii="Times New Roman" w:hAnsi="Times New Roman" w:eastAsia="Times New Roman" w:cs="Times New Roman"/>
          <w:spacing w:val="0"/>
          <w:position w:val="0"/>
          <w:sz w:val="24"/>
          <w:szCs w:val="24"/>
        </w:rPr>
        <w:t xml:space="preserve">45.59% </w:t>
      </w:r>
      <w:r>
        <w:rPr>
          <w:rFonts w:ascii="宋体" w:hAnsi="宋体" w:eastAsia="宋体" w:cs="宋体"/>
          <w:spacing w:val="0"/>
          <w:position w:val="0"/>
          <w:sz w:val="24"/>
          <w:szCs w:val="24"/>
        </w:rPr>
        <w:t>，山区多呈中低山坡状，常年雨水聚集，冲刷切成无数沟谷，泉水溢出而成诸多河流，县境主要山脉有两条；塔尔巴哈台山脉和吾尔喀夏尔山脉。塔尔巴哈台山脉是中国和哈萨克斯坦的界山，长</w:t>
      </w:r>
      <w:r>
        <w:rPr>
          <w:rFonts w:ascii="Times New Roman" w:hAnsi="Times New Roman" w:eastAsia="Times New Roman" w:cs="Times New Roman"/>
          <w:spacing w:val="0"/>
          <w:position w:val="0"/>
          <w:sz w:val="24"/>
          <w:szCs w:val="24"/>
        </w:rPr>
        <w:t>143km</w:t>
      </w:r>
      <w:r>
        <w:rPr>
          <w:rFonts w:ascii="宋体" w:hAnsi="宋体" w:eastAsia="宋体" w:cs="宋体"/>
          <w:spacing w:val="0"/>
          <w:position w:val="0"/>
          <w:sz w:val="24"/>
          <w:szCs w:val="24"/>
        </w:rPr>
        <w:t>（边境线），面积</w:t>
      </w:r>
      <w:r>
        <w:rPr>
          <w:rFonts w:ascii="Times New Roman" w:hAnsi="Times New Roman" w:eastAsia="Times New Roman" w:cs="Times New Roman"/>
          <w:spacing w:val="0"/>
          <w:position w:val="0"/>
          <w:sz w:val="24"/>
          <w:szCs w:val="24"/>
        </w:rPr>
        <w:t>2124km</w:t>
      </w:r>
      <w:r>
        <w:rPr>
          <w:rFonts w:hint="eastAsia" w:ascii="Times New Roman" w:hAnsi="Times New Roman" w:eastAsia="宋体" w:cs="Times New Roman"/>
          <w:spacing w:val="0"/>
          <w:position w:val="0"/>
          <w:sz w:val="24"/>
          <w:szCs w:val="24"/>
          <w:vertAlign w:val="superscript"/>
          <w:lang w:val="en-US" w:eastAsia="zh-CN"/>
        </w:rPr>
        <w:t>2</w:t>
      </w:r>
      <w:r>
        <w:rPr>
          <w:rFonts w:ascii="Times New Roman" w:hAnsi="Times New Roman" w:eastAsia="Times New Roman" w:cs="Times New Roman"/>
          <w:spacing w:val="0"/>
          <w:position w:val="0"/>
          <w:sz w:val="15"/>
          <w:szCs w:val="15"/>
        </w:rPr>
        <w:t xml:space="preserve"> </w:t>
      </w:r>
      <w:r>
        <w:rPr>
          <w:rFonts w:ascii="宋体" w:hAnsi="宋体" w:eastAsia="宋体" w:cs="宋体"/>
          <w:spacing w:val="0"/>
          <w:position w:val="0"/>
          <w:sz w:val="24"/>
          <w:szCs w:val="24"/>
        </w:rPr>
        <w:t>，其主要山峰有托呼三巴依乔克、萨尔乔克、喀拉喀斯乔克、艾滕塔斯、库孜滚塔斯达坂、阿克喀尔，乔拉阿尔达套山峰是该山的最高峰，海拔最高处</w:t>
      </w:r>
      <w:r>
        <w:rPr>
          <w:rFonts w:ascii="Times New Roman" w:hAnsi="Times New Roman" w:eastAsia="Times New Roman" w:cs="Times New Roman"/>
          <w:spacing w:val="0"/>
          <w:position w:val="0"/>
          <w:sz w:val="24"/>
          <w:szCs w:val="24"/>
        </w:rPr>
        <w:t>2852m</w:t>
      </w:r>
      <w:r>
        <w:rPr>
          <w:rFonts w:ascii="宋体" w:hAnsi="宋体" w:eastAsia="宋体" w:cs="宋体"/>
          <w:spacing w:val="0"/>
          <w:position w:val="0"/>
          <w:sz w:val="24"/>
          <w:szCs w:val="24"/>
        </w:rPr>
        <w:t>。吾尔喀夏尔山脉位于县境东南部，宽厚博大，海拔</w:t>
      </w:r>
      <w:r>
        <w:rPr>
          <w:rFonts w:ascii="Times New Roman" w:hAnsi="Times New Roman" w:eastAsia="Times New Roman" w:cs="Times New Roman"/>
          <w:spacing w:val="0"/>
          <w:position w:val="0"/>
          <w:sz w:val="24"/>
          <w:szCs w:val="24"/>
        </w:rPr>
        <w:t xml:space="preserve">173-2613m </w:t>
      </w:r>
      <w:r>
        <w:rPr>
          <w:rFonts w:ascii="宋体" w:hAnsi="宋体" w:eastAsia="宋体" w:cs="宋体"/>
          <w:spacing w:val="0"/>
          <w:position w:val="0"/>
          <w:sz w:val="24"/>
          <w:szCs w:val="24"/>
        </w:rPr>
        <w:t>，其主要山峰有海拉汗、也格孜喀拉克亚、也得列依等。山脉起伏，云雾缭绕，悬崖绝壁，千姿百态，山间沟壑纵横，泉流交错，是喀拉也木勒河、玛热勒苏河、阿克苏河、霍吉尔特河、乌雪特河以及白杨河等河流的发源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textAlignment w:val="auto"/>
        <w:rPr>
          <w:color w:val="000000" w:themeColor="text1"/>
          <w:spacing w:val="0"/>
          <w:position w:val="0"/>
          <w:sz w:val="24"/>
          <w:szCs w:val="24"/>
        </w:rPr>
      </w:pPr>
      <w:r>
        <w:rPr>
          <w:rFonts w:ascii="宋体" w:hAnsi="宋体" w:eastAsia="宋体" w:cs="宋体"/>
          <w:spacing w:val="0"/>
          <w:position w:val="0"/>
          <w:sz w:val="24"/>
          <w:szCs w:val="24"/>
        </w:rPr>
        <w:t>依据《中国地震动参数区划图》（</w:t>
      </w:r>
      <w:r>
        <w:rPr>
          <w:rFonts w:ascii="Times New Roman" w:hAnsi="Times New Roman" w:eastAsia="Times New Roman" w:cs="Times New Roman"/>
          <w:spacing w:val="0"/>
          <w:position w:val="0"/>
          <w:sz w:val="24"/>
          <w:szCs w:val="24"/>
        </w:rPr>
        <w:t>GB 18306-2001</w:t>
      </w:r>
      <w:r>
        <w:rPr>
          <w:rFonts w:ascii="宋体" w:hAnsi="宋体" w:eastAsia="宋体" w:cs="宋体"/>
          <w:spacing w:val="0"/>
          <w:position w:val="0"/>
          <w:sz w:val="24"/>
          <w:szCs w:val="24"/>
        </w:rPr>
        <w:t>），额敏县地震基本烈度为</w:t>
      </w:r>
      <w:r>
        <w:rPr>
          <w:rFonts w:ascii="Times New Roman" w:hAnsi="Times New Roman" w:eastAsia="Times New Roman" w:cs="Times New Roman"/>
          <w:spacing w:val="0"/>
          <w:position w:val="0"/>
          <w:sz w:val="24"/>
          <w:szCs w:val="24"/>
        </w:rPr>
        <w:t>VII</w:t>
      </w:r>
      <w:r>
        <w:rPr>
          <w:rFonts w:ascii="宋体" w:hAnsi="宋体" w:eastAsia="宋体" w:cs="宋体"/>
          <w:spacing w:val="0"/>
          <w:position w:val="0"/>
          <w:sz w:val="24"/>
          <w:szCs w:val="24"/>
        </w:rPr>
        <w:t>度，拟建项目所在区域地势较为平坦。</w:t>
      </w:r>
    </w:p>
    <w:p>
      <w:pPr>
        <w:pStyle w:val="6"/>
        <w:keepNext w:val="0"/>
        <w:keepLines w:val="0"/>
        <w:pageBreakBefore w:val="0"/>
        <w:numPr>
          <w:ilvl w:val="2"/>
          <w:numId w:val="17"/>
        </w:numPr>
        <w:tabs>
          <w:tab w:val="left" w:pos="1241"/>
        </w:tabs>
        <w:kinsoku/>
        <w:wordWrap/>
        <w:overflowPunct/>
        <w:topLinePunct w:val="0"/>
        <w:bidi w:val="0"/>
        <w:adjustRightInd w:val="0"/>
        <w:snapToGrid w:val="0"/>
        <w:spacing w:line="360" w:lineRule="auto"/>
        <w:ind w:left="0" w:right="0" w:firstLine="562" w:firstLineChars="200"/>
        <w:jc w:val="both"/>
        <w:rPr>
          <w:spacing w:val="0"/>
          <w:position w:val="0"/>
        </w:rPr>
      </w:pPr>
      <w:bookmarkStart w:id="142" w:name="4.1.3_气候气象"/>
      <w:bookmarkEnd w:id="142"/>
      <w:r>
        <w:rPr>
          <w:spacing w:val="0"/>
          <w:position w:val="0"/>
        </w:rPr>
        <w:t>气候气象</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textAlignment w:val="auto"/>
        <w:rPr>
          <w:b/>
          <w:spacing w:val="0"/>
          <w:position w:val="0"/>
          <w:sz w:val="28"/>
        </w:rPr>
      </w:pPr>
      <w:bookmarkStart w:id="143" w:name="4.1.4_水文及水文地质"/>
      <w:bookmarkEnd w:id="143"/>
      <w:r>
        <w:rPr>
          <w:rFonts w:ascii="宋体" w:hAnsi="宋体" w:eastAsia="宋体" w:cs="宋体"/>
          <w:spacing w:val="0"/>
          <w:position w:val="0"/>
          <w:sz w:val="24"/>
          <w:szCs w:val="24"/>
        </w:rPr>
        <w:t>额敏县属大陆性温带气候，四季分明，春季升温快而不稳定，夏季炎热而短促，秋季降温迅速，冬季寒冷而漫长，冷空气活动频繁，全年平均气温为</w:t>
      </w:r>
      <w:r>
        <w:rPr>
          <w:rFonts w:ascii="Times New Roman" w:hAnsi="Times New Roman" w:eastAsia="Times New Roman" w:cs="Times New Roman"/>
          <w:spacing w:val="0"/>
          <w:position w:val="0"/>
          <w:sz w:val="24"/>
          <w:szCs w:val="24"/>
        </w:rPr>
        <w:t>5.5℃</w:t>
      </w:r>
      <w:r>
        <w:rPr>
          <w:rFonts w:ascii="宋体" w:hAnsi="宋体" w:eastAsia="宋体" w:cs="宋体"/>
          <w:spacing w:val="0"/>
          <w:position w:val="0"/>
          <w:sz w:val="24"/>
          <w:szCs w:val="24"/>
        </w:rPr>
        <w:t>,极端最高气温</w:t>
      </w:r>
      <w:r>
        <w:rPr>
          <w:rFonts w:ascii="Times New Roman" w:hAnsi="Times New Roman" w:eastAsia="Times New Roman" w:cs="Times New Roman"/>
          <w:spacing w:val="0"/>
          <w:position w:val="0"/>
          <w:sz w:val="24"/>
          <w:szCs w:val="24"/>
        </w:rPr>
        <w:t>41.7℃</w:t>
      </w:r>
      <w:r>
        <w:rPr>
          <w:rFonts w:ascii="宋体" w:hAnsi="宋体" w:eastAsia="宋体" w:cs="宋体"/>
          <w:spacing w:val="0"/>
          <w:position w:val="0"/>
          <w:sz w:val="24"/>
          <w:szCs w:val="24"/>
        </w:rPr>
        <w:t>，极端最低气温</w:t>
      </w:r>
      <w:r>
        <w:rPr>
          <w:rFonts w:ascii="Times New Roman" w:hAnsi="Times New Roman" w:eastAsia="Times New Roman" w:cs="Times New Roman"/>
          <w:spacing w:val="0"/>
          <w:position w:val="0"/>
          <w:sz w:val="24"/>
          <w:szCs w:val="24"/>
        </w:rPr>
        <w:t>42</w:t>
      </w:r>
      <w:r>
        <w:rPr>
          <w:rFonts w:hint="eastAsia" w:eastAsia="宋体" w:cs="Times New Roman"/>
          <w:spacing w:val="0"/>
          <w:position w:val="0"/>
          <w:sz w:val="24"/>
          <w:szCs w:val="24"/>
          <w:lang w:val="en-US" w:eastAsia="zh-CN"/>
        </w:rPr>
        <w:t>.6</w:t>
      </w:r>
      <w:r>
        <w:rPr>
          <w:rFonts w:ascii="Times New Roman" w:hAnsi="Times New Roman" w:eastAsia="Times New Roman" w:cs="Times New Roman"/>
          <w:spacing w:val="0"/>
          <w:position w:val="0"/>
          <w:sz w:val="24"/>
          <w:szCs w:val="24"/>
        </w:rPr>
        <w:t>℃</w:t>
      </w:r>
      <w:r>
        <w:rPr>
          <w:rFonts w:ascii="宋体" w:hAnsi="宋体" w:eastAsia="宋体" w:cs="宋体"/>
          <w:spacing w:val="0"/>
          <w:position w:val="0"/>
          <w:sz w:val="24"/>
          <w:szCs w:val="24"/>
        </w:rPr>
        <w:t>,霜期较长，绝对无霜期为</w:t>
      </w:r>
      <w:r>
        <w:rPr>
          <w:rFonts w:ascii="Times New Roman" w:hAnsi="Times New Roman" w:eastAsia="Times New Roman" w:cs="Times New Roman"/>
          <w:spacing w:val="0"/>
          <w:position w:val="0"/>
          <w:sz w:val="24"/>
          <w:szCs w:val="24"/>
        </w:rPr>
        <w:t>138</w:t>
      </w:r>
      <w:r>
        <w:rPr>
          <w:rFonts w:ascii="宋体" w:hAnsi="宋体" w:eastAsia="宋体" w:cs="宋体"/>
          <w:spacing w:val="0"/>
          <w:position w:val="0"/>
          <w:sz w:val="24"/>
          <w:szCs w:val="24"/>
        </w:rPr>
        <w:t>天，日照较长，全年日照时数</w:t>
      </w:r>
      <w:r>
        <w:rPr>
          <w:rFonts w:ascii="Times New Roman" w:hAnsi="Times New Roman" w:eastAsia="Times New Roman" w:cs="Times New Roman"/>
          <w:spacing w:val="0"/>
          <w:position w:val="0"/>
          <w:sz w:val="24"/>
          <w:szCs w:val="24"/>
        </w:rPr>
        <w:t>2833</w:t>
      </w:r>
      <w:r>
        <w:rPr>
          <w:rFonts w:ascii="宋体" w:hAnsi="宋体" w:eastAsia="宋体" w:cs="宋体"/>
          <w:spacing w:val="0"/>
          <w:position w:val="0"/>
          <w:sz w:val="24"/>
          <w:szCs w:val="24"/>
        </w:rPr>
        <w:t>小时县境年均降雨量为</w:t>
      </w:r>
      <w:r>
        <w:rPr>
          <w:rFonts w:ascii="Times New Roman" w:hAnsi="Times New Roman" w:eastAsia="Times New Roman" w:cs="Times New Roman"/>
          <w:spacing w:val="0"/>
          <w:position w:val="0"/>
          <w:sz w:val="24"/>
          <w:szCs w:val="24"/>
        </w:rPr>
        <w:t>270mm</w:t>
      </w:r>
      <w:r>
        <w:rPr>
          <w:rFonts w:ascii="宋体" w:hAnsi="宋体" w:eastAsia="宋体" w:cs="宋体"/>
          <w:spacing w:val="0"/>
          <w:position w:val="0"/>
          <w:sz w:val="24"/>
          <w:szCs w:val="24"/>
        </w:rPr>
        <w:t>，但分布不均匀，全年盛行西北风，定时测最大风速</w:t>
      </w:r>
      <w:r>
        <w:rPr>
          <w:rFonts w:ascii="Times New Roman" w:hAnsi="Times New Roman" w:eastAsia="Times New Roman" w:cs="Times New Roman"/>
          <w:spacing w:val="0"/>
          <w:position w:val="0"/>
          <w:sz w:val="24"/>
          <w:szCs w:val="24"/>
        </w:rPr>
        <w:t>20m/s</w:t>
      </w:r>
      <w:r>
        <w:rPr>
          <w:rFonts w:ascii="宋体" w:hAnsi="宋体" w:eastAsia="宋体" w:cs="宋体"/>
          <w:spacing w:val="0"/>
          <w:position w:val="0"/>
          <w:sz w:val="24"/>
          <w:szCs w:val="24"/>
        </w:rPr>
        <w:t>，平均风速在</w:t>
      </w:r>
      <w:r>
        <w:rPr>
          <w:rFonts w:ascii="Times New Roman" w:hAnsi="Times New Roman" w:eastAsia="Times New Roman" w:cs="Times New Roman"/>
          <w:spacing w:val="0"/>
          <w:position w:val="0"/>
          <w:sz w:val="24"/>
          <w:szCs w:val="24"/>
        </w:rPr>
        <w:t>3.1-3.6m/s</w:t>
      </w:r>
      <w:r>
        <w:rPr>
          <w:rFonts w:ascii="宋体" w:hAnsi="宋体" w:eastAsia="宋体" w:cs="宋体"/>
          <w:spacing w:val="0"/>
          <w:position w:val="0"/>
          <w:sz w:val="24"/>
          <w:szCs w:val="24"/>
        </w:rPr>
        <w:t>之间。</w:t>
      </w:r>
    </w:p>
    <w:p>
      <w:pPr>
        <w:pStyle w:val="41"/>
        <w:keepNext w:val="0"/>
        <w:keepLines w:val="0"/>
        <w:pageBreakBefore w:val="0"/>
        <w:numPr>
          <w:ilvl w:val="2"/>
          <w:numId w:val="17"/>
        </w:numPr>
        <w:tabs>
          <w:tab w:val="left" w:pos="1241"/>
        </w:tabs>
        <w:kinsoku/>
        <w:wordWrap/>
        <w:overflowPunct/>
        <w:topLinePunct w:val="0"/>
        <w:bidi w:val="0"/>
        <w:adjustRightInd w:val="0"/>
        <w:snapToGrid w:val="0"/>
        <w:spacing w:before="0" w:line="360" w:lineRule="auto"/>
        <w:ind w:left="0" w:right="0" w:firstLine="562" w:firstLineChars="200"/>
        <w:jc w:val="both"/>
        <w:outlineLvl w:val="2"/>
        <w:rPr>
          <w:b/>
          <w:spacing w:val="0"/>
          <w:position w:val="0"/>
          <w:sz w:val="28"/>
        </w:rPr>
      </w:pPr>
      <w:r>
        <w:rPr>
          <w:b/>
          <w:spacing w:val="0"/>
          <w:position w:val="0"/>
          <w:sz w:val="28"/>
        </w:rPr>
        <w:t>水文及水文地质</w:t>
      </w:r>
    </w:p>
    <w:p>
      <w:pPr>
        <w:keepNext w:val="0"/>
        <w:keepLines w:val="0"/>
        <w:pageBreakBefore w:val="0"/>
        <w:kinsoku/>
        <w:wordWrap/>
        <w:overflowPunct/>
        <w:topLinePunct w:val="0"/>
        <w:bidi w:val="0"/>
        <w:adjustRightInd w:val="0"/>
        <w:snapToGrid w:val="0"/>
        <w:spacing w:line="360" w:lineRule="auto"/>
        <w:ind w:left="0" w:right="0" w:firstLine="480"/>
        <w:jc w:val="both"/>
        <w:rPr>
          <w:rFonts w:ascii="宋体" w:hAnsi="宋体" w:eastAsia="宋体" w:cs="宋体"/>
          <w:spacing w:val="0"/>
          <w:position w:val="0"/>
          <w:sz w:val="24"/>
          <w:szCs w:val="24"/>
        </w:rPr>
      </w:pPr>
      <w:r>
        <w:rPr>
          <w:rFonts w:ascii="宋体" w:hAnsi="宋体" w:eastAsia="宋体" w:cs="宋体"/>
          <w:spacing w:val="0"/>
          <w:position w:val="0"/>
          <w:sz w:val="24"/>
          <w:szCs w:val="24"/>
        </w:rPr>
        <w:t>额敏县萨尔也不勒河、满汉营河、确拉阿尔旦苏河、加尔布拉克河等河流均发源于塔尔巴哈台山南麓，喀拉也木勒河、于勒昆铁列克德河、哈拉萨依河、阿克苏河、马拉苏河、库尔木苏河均发源于乌尔喀什尔山北麓，白杨河发源于乌尔喀什尔山东侧，布里格太河、沃雪特河发源于乌尔喀什尔闪南麓，以上各河流除布里格太河外，其余均为额敏河支流，在汇入额敏河后，该河下游途径塔城市与裕民县向西注入哈萨克斯坦的阿拉湖，以上各支流中，以萨尔也不勒河、卡拉也不勒河、玛拉苏河的流量较大，其年径流量皆在</w:t>
      </w:r>
      <w:r>
        <w:rPr>
          <w:rFonts w:ascii="Times New Roman" w:hAnsi="Times New Roman" w:eastAsia="Times New Roman" w:cs="Times New Roman"/>
          <w:spacing w:val="0"/>
          <w:position w:val="0"/>
          <w:sz w:val="24"/>
          <w:szCs w:val="24"/>
        </w:rPr>
        <w:t>1</w:t>
      </w:r>
      <w:r>
        <w:rPr>
          <w:rFonts w:ascii="宋体" w:hAnsi="宋体" w:eastAsia="宋体" w:cs="宋体"/>
          <w:spacing w:val="0"/>
          <w:position w:val="0"/>
          <w:sz w:val="24"/>
          <w:szCs w:val="24"/>
        </w:rPr>
        <w:t>亿</w:t>
      </w:r>
      <w:r>
        <w:rPr>
          <w:rFonts w:ascii="Times New Roman" w:hAnsi="Times New Roman" w:eastAsia="Times New Roman" w:cs="Times New Roman"/>
          <w:spacing w:val="0"/>
          <w:position w:val="0"/>
          <w:sz w:val="24"/>
          <w:szCs w:val="24"/>
        </w:rPr>
        <w:t>m³</w:t>
      </w:r>
      <w:r>
        <w:rPr>
          <w:rFonts w:ascii="宋体" w:hAnsi="宋体" w:eastAsia="宋体" w:cs="宋体"/>
          <w:spacing w:val="0"/>
          <w:position w:val="0"/>
          <w:sz w:val="24"/>
          <w:szCs w:val="24"/>
        </w:rPr>
        <w:t>以上。</w:t>
      </w:r>
    </w:p>
    <w:p>
      <w:pPr>
        <w:keepNext w:val="0"/>
        <w:keepLines w:val="0"/>
        <w:pageBreakBefore w:val="0"/>
        <w:kinsoku/>
        <w:wordWrap/>
        <w:overflowPunct/>
        <w:topLinePunct w:val="0"/>
        <w:bidi w:val="0"/>
        <w:adjustRightInd w:val="0"/>
        <w:snapToGrid w:val="0"/>
        <w:spacing w:line="360" w:lineRule="auto"/>
        <w:ind w:left="0" w:right="0" w:firstLine="480"/>
        <w:jc w:val="both"/>
        <w:rPr>
          <w:rFonts w:ascii="宋体" w:hAnsi="宋体" w:eastAsia="宋体" w:cs="宋体"/>
          <w:spacing w:val="0"/>
          <w:position w:val="0"/>
          <w:sz w:val="24"/>
          <w:szCs w:val="24"/>
        </w:rPr>
      </w:pPr>
      <w:r>
        <w:rPr>
          <w:rFonts w:ascii="宋体" w:hAnsi="宋体" w:eastAsia="宋体" w:cs="宋体"/>
          <w:spacing w:val="0"/>
          <w:position w:val="0"/>
          <w:sz w:val="24"/>
          <w:szCs w:val="24"/>
        </w:rPr>
        <w:t>全县地表水年径流量在</w:t>
      </w:r>
      <w:r>
        <w:rPr>
          <w:rFonts w:ascii="Times New Roman" w:hAnsi="Times New Roman" w:eastAsia="Times New Roman" w:cs="Times New Roman"/>
          <w:spacing w:val="0"/>
          <w:position w:val="0"/>
          <w:sz w:val="24"/>
          <w:szCs w:val="24"/>
        </w:rPr>
        <w:t>10.06</w:t>
      </w:r>
      <w:r>
        <w:rPr>
          <w:rFonts w:ascii="宋体" w:hAnsi="宋体" w:eastAsia="宋体" w:cs="宋体"/>
          <w:spacing w:val="0"/>
          <w:position w:val="0"/>
          <w:sz w:val="24"/>
          <w:szCs w:val="24"/>
        </w:rPr>
        <w:t>亿</w:t>
      </w:r>
      <w:r>
        <w:rPr>
          <w:rFonts w:ascii="Times New Roman" w:hAnsi="Times New Roman" w:eastAsia="Times New Roman" w:cs="Times New Roman"/>
          <w:spacing w:val="0"/>
          <w:position w:val="0"/>
          <w:sz w:val="24"/>
          <w:szCs w:val="24"/>
        </w:rPr>
        <w:t>m³</w:t>
      </w:r>
      <w:r>
        <w:rPr>
          <w:rFonts w:ascii="宋体" w:hAnsi="宋体" w:eastAsia="宋体" w:cs="宋体"/>
          <w:spacing w:val="0"/>
          <w:position w:val="0"/>
          <w:sz w:val="24"/>
          <w:szCs w:val="24"/>
        </w:rPr>
        <w:t>左右，本县地表径流量的变化规律是洪水期三月下旬即发生并形成巨大洪峰，但汛期很短，一般为一个半月到两个月，据统计，额敏河百年最大洪水流量</w:t>
      </w:r>
      <w:r>
        <w:rPr>
          <w:rFonts w:ascii="Times New Roman" w:hAnsi="Times New Roman" w:eastAsia="Times New Roman" w:cs="Times New Roman"/>
          <w:spacing w:val="0"/>
          <w:position w:val="0"/>
          <w:sz w:val="24"/>
          <w:szCs w:val="24"/>
        </w:rPr>
        <w:t xml:space="preserve">162m/s </w:t>
      </w:r>
      <w:r>
        <w:rPr>
          <w:rFonts w:ascii="宋体" w:hAnsi="宋体" w:eastAsia="宋体" w:cs="宋体"/>
          <w:spacing w:val="0"/>
          <w:position w:val="0"/>
          <w:sz w:val="24"/>
          <w:szCs w:val="24"/>
        </w:rPr>
        <w:t>，水位</w:t>
      </w:r>
      <w:r>
        <w:rPr>
          <w:rFonts w:ascii="Times New Roman" w:hAnsi="Times New Roman" w:eastAsia="Times New Roman" w:cs="Times New Roman"/>
          <w:spacing w:val="0"/>
          <w:position w:val="0"/>
          <w:sz w:val="24"/>
          <w:szCs w:val="24"/>
        </w:rPr>
        <w:t>1.3m</w:t>
      </w:r>
      <w:r>
        <w:rPr>
          <w:rFonts w:ascii="宋体" w:hAnsi="宋体" w:eastAsia="宋体" w:cs="宋体"/>
          <w:spacing w:val="0"/>
          <w:position w:val="0"/>
          <w:sz w:val="24"/>
          <w:szCs w:val="24"/>
        </w:rPr>
        <w:t>，五月以后径流量逐渐减少，春季水量约占全年的</w:t>
      </w:r>
      <w:r>
        <w:rPr>
          <w:rFonts w:ascii="Times New Roman" w:hAnsi="Times New Roman" w:eastAsia="Times New Roman" w:cs="Times New Roman"/>
          <w:spacing w:val="0"/>
          <w:position w:val="0"/>
          <w:sz w:val="24"/>
          <w:szCs w:val="24"/>
        </w:rPr>
        <w:t>39%</w:t>
      </w:r>
      <w:r>
        <w:rPr>
          <w:rFonts w:ascii="宋体" w:hAnsi="宋体" w:eastAsia="宋体" w:cs="宋体"/>
          <w:spacing w:val="0"/>
          <w:position w:val="0"/>
          <w:sz w:val="24"/>
          <w:szCs w:val="24"/>
        </w:rPr>
        <w:t>左右，枯水期出现在</w:t>
      </w:r>
      <w:r>
        <w:rPr>
          <w:rFonts w:ascii="Times New Roman" w:hAnsi="Times New Roman" w:eastAsia="Times New Roman" w:cs="Times New Roman"/>
          <w:spacing w:val="0"/>
          <w:position w:val="0"/>
          <w:sz w:val="24"/>
          <w:szCs w:val="24"/>
        </w:rPr>
        <w:t>11</w:t>
      </w:r>
      <w:r>
        <w:rPr>
          <w:rFonts w:ascii="宋体" w:hAnsi="宋体" w:eastAsia="宋体" w:cs="宋体"/>
          <w:spacing w:val="0"/>
          <w:position w:val="0"/>
          <w:sz w:val="24"/>
          <w:szCs w:val="24"/>
        </w:rPr>
        <w:t>月至来年</w:t>
      </w:r>
      <w:r>
        <w:rPr>
          <w:rFonts w:ascii="Times New Roman" w:hAnsi="Times New Roman" w:eastAsia="Times New Roman" w:cs="Times New Roman"/>
          <w:spacing w:val="0"/>
          <w:position w:val="0"/>
          <w:sz w:val="24"/>
          <w:szCs w:val="24"/>
        </w:rPr>
        <w:t>2</w:t>
      </w:r>
      <w:r>
        <w:rPr>
          <w:rFonts w:ascii="宋体" w:hAnsi="宋体" w:eastAsia="宋体" w:cs="宋体"/>
          <w:spacing w:val="0"/>
          <w:position w:val="0"/>
          <w:sz w:val="24"/>
          <w:szCs w:val="24"/>
        </w:rPr>
        <w:t>月。额敏县城工程地质分为两个区，额敏河以南，地层组成以岩性上可分为三层，第一层为成份杂乱、质地松散的杂填土，但厚度不大，在</w:t>
      </w:r>
      <w:r>
        <w:rPr>
          <w:rFonts w:ascii="Times New Roman" w:hAnsi="Times New Roman" w:eastAsia="Times New Roman" w:cs="Times New Roman"/>
          <w:spacing w:val="0"/>
          <w:position w:val="0"/>
          <w:sz w:val="24"/>
          <w:szCs w:val="24"/>
        </w:rPr>
        <w:t>0.8m</w:t>
      </w:r>
      <w:r>
        <w:rPr>
          <w:rFonts w:ascii="宋体" w:hAnsi="宋体" w:eastAsia="宋体" w:cs="宋体"/>
          <w:spacing w:val="0"/>
          <w:position w:val="0"/>
          <w:sz w:val="24"/>
          <w:szCs w:val="24"/>
        </w:rPr>
        <w:t>深度以内；第二层为含钙质结核粉士，承载能力较高，厚度在</w:t>
      </w:r>
      <w:r>
        <w:rPr>
          <w:rFonts w:ascii="Times New Roman" w:hAnsi="Times New Roman" w:eastAsia="Times New Roman" w:cs="Times New Roman"/>
          <w:spacing w:val="0"/>
          <w:position w:val="0"/>
          <w:sz w:val="24"/>
          <w:szCs w:val="24"/>
        </w:rPr>
        <w:t>0.9-2.4m</w:t>
      </w:r>
      <w:r>
        <w:rPr>
          <w:rFonts w:ascii="宋体" w:hAnsi="宋体" w:eastAsia="宋体" w:cs="宋体"/>
          <w:spacing w:val="0"/>
          <w:position w:val="0"/>
          <w:sz w:val="24"/>
          <w:szCs w:val="24"/>
        </w:rPr>
        <w:t>内，深埋在</w:t>
      </w:r>
      <w:r>
        <w:rPr>
          <w:rFonts w:ascii="Times New Roman" w:hAnsi="Times New Roman" w:eastAsia="Times New Roman" w:cs="Times New Roman"/>
          <w:spacing w:val="0"/>
          <w:position w:val="0"/>
          <w:sz w:val="24"/>
          <w:szCs w:val="24"/>
        </w:rPr>
        <w:t>0.8-3.2m</w:t>
      </w:r>
      <w:r>
        <w:rPr>
          <w:rFonts w:ascii="宋体" w:hAnsi="宋体" w:eastAsia="宋体" w:cs="宋体"/>
          <w:spacing w:val="0"/>
          <w:position w:val="0"/>
          <w:sz w:val="24"/>
          <w:szCs w:val="24"/>
        </w:rPr>
        <w:t>内；第三层为砾石土，深埋在</w:t>
      </w:r>
      <w:r>
        <w:rPr>
          <w:rFonts w:ascii="Times New Roman" w:hAnsi="Times New Roman" w:eastAsia="Times New Roman" w:cs="Times New Roman"/>
          <w:spacing w:val="0"/>
          <w:position w:val="0"/>
          <w:sz w:val="24"/>
          <w:szCs w:val="24"/>
        </w:rPr>
        <w:t>1.9m</w:t>
      </w:r>
      <w:r>
        <w:rPr>
          <w:rFonts w:ascii="宋体" w:hAnsi="宋体" w:eastAsia="宋体" w:cs="宋体"/>
          <w:spacing w:val="0"/>
          <w:position w:val="0"/>
          <w:sz w:val="24"/>
          <w:szCs w:val="24"/>
        </w:rPr>
        <w:t>以上，此地段层单一物质稳定，力学性能好，地下水埋深在</w:t>
      </w:r>
      <w:r>
        <w:rPr>
          <w:rFonts w:ascii="Times New Roman" w:hAnsi="Times New Roman" w:eastAsia="Times New Roman" w:cs="Times New Roman"/>
          <w:spacing w:val="0"/>
          <w:position w:val="0"/>
          <w:sz w:val="24"/>
          <w:szCs w:val="24"/>
        </w:rPr>
        <w:t>5m</w:t>
      </w:r>
      <w:r>
        <w:rPr>
          <w:rFonts w:ascii="宋体" w:hAnsi="宋体" w:eastAsia="宋体" w:cs="宋体"/>
          <w:spacing w:val="0"/>
          <w:position w:val="0"/>
          <w:sz w:val="24"/>
          <w:szCs w:val="24"/>
        </w:rPr>
        <w:t>至</w:t>
      </w:r>
      <w:r>
        <w:rPr>
          <w:rFonts w:ascii="Times New Roman" w:hAnsi="Times New Roman" w:eastAsia="Times New Roman" w:cs="Times New Roman"/>
          <w:spacing w:val="0"/>
          <w:position w:val="0"/>
          <w:sz w:val="24"/>
          <w:szCs w:val="24"/>
        </w:rPr>
        <w:t>6m</w:t>
      </w:r>
      <w:r>
        <w:rPr>
          <w:rFonts w:ascii="宋体" w:hAnsi="宋体" w:eastAsia="宋体" w:cs="宋体"/>
          <w:spacing w:val="0"/>
          <w:position w:val="0"/>
          <w:sz w:val="24"/>
          <w:szCs w:val="24"/>
        </w:rPr>
        <w:t>之间，是建筑的有利地段。</w:t>
      </w:r>
    </w:p>
    <w:p>
      <w:pPr>
        <w:keepNext w:val="0"/>
        <w:keepLines w:val="0"/>
        <w:pageBreakBefore w:val="0"/>
        <w:kinsoku/>
        <w:wordWrap/>
        <w:overflowPunct/>
        <w:topLinePunct w:val="0"/>
        <w:bidi w:val="0"/>
        <w:adjustRightInd w:val="0"/>
        <w:snapToGrid w:val="0"/>
        <w:spacing w:line="360" w:lineRule="auto"/>
        <w:ind w:left="0" w:right="0" w:firstLine="480"/>
        <w:jc w:val="both"/>
        <w:rPr>
          <w:color w:val="000000" w:themeColor="text1"/>
          <w:spacing w:val="0"/>
          <w:position w:val="0"/>
        </w:rPr>
      </w:pPr>
      <w:r>
        <w:rPr>
          <w:rFonts w:ascii="宋体" w:hAnsi="宋体" w:eastAsia="宋体" w:cs="宋体"/>
          <w:spacing w:val="0"/>
          <w:position w:val="0"/>
          <w:sz w:val="24"/>
          <w:szCs w:val="24"/>
        </w:rPr>
        <w:t>额敏河以北，地层组成从岩性上可分为四层：第一层为灰褐色，夹杂色的杂填土，分布在场区地表</w:t>
      </w:r>
      <w:r>
        <w:rPr>
          <w:rFonts w:ascii="Times New Roman" w:hAnsi="Times New Roman" w:eastAsia="Times New Roman" w:cs="Times New Roman"/>
          <w:spacing w:val="0"/>
          <w:position w:val="0"/>
          <w:sz w:val="24"/>
          <w:szCs w:val="24"/>
        </w:rPr>
        <w:t>1.3m</w:t>
      </w:r>
      <w:r>
        <w:rPr>
          <w:rFonts w:ascii="宋体" w:hAnsi="宋体" w:eastAsia="宋体" w:cs="宋体"/>
          <w:spacing w:val="0"/>
          <w:position w:val="0"/>
          <w:sz w:val="24"/>
          <w:szCs w:val="24"/>
        </w:rPr>
        <w:t>深度内；第二层为淡黄色的粉士，无杂质，埋深在</w:t>
      </w:r>
      <w:r>
        <w:rPr>
          <w:rFonts w:ascii="Times New Roman" w:hAnsi="Times New Roman" w:eastAsia="Times New Roman" w:cs="Times New Roman"/>
          <w:spacing w:val="0"/>
          <w:position w:val="0"/>
          <w:sz w:val="24"/>
          <w:szCs w:val="24"/>
        </w:rPr>
        <w:t>0.5-2.5m</w:t>
      </w:r>
      <w:r>
        <w:rPr>
          <w:rFonts w:ascii="宋体" w:hAnsi="宋体" w:eastAsia="宋体" w:cs="宋体"/>
          <w:spacing w:val="0"/>
          <w:position w:val="0"/>
          <w:sz w:val="24"/>
          <w:szCs w:val="24"/>
        </w:rPr>
        <w:t>，厚度</w:t>
      </w:r>
      <w:r>
        <w:rPr>
          <w:rFonts w:ascii="Times New Roman" w:hAnsi="Times New Roman" w:eastAsia="Times New Roman" w:cs="Times New Roman"/>
          <w:spacing w:val="0"/>
          <w:position w:val="0"/>
          <w:sz w:val="24"/>
          <w:szCs w:val="24"/>
        </w:rPr>
        <w:t>0.8-1.6m</w:t>
      </w:r>
      <w:r>
        <w:rPr>
          <w:rFonts w:ascii="宋体" w:hAnsi="宋体" w:eastAsia="宋体" w:cs="宋体"/>
          <w:spacing w:val="0"/>
          <w:position w:val="0"/>
          <w:sz w:val="24"/>
          <w:szCs w:val="24"/>
        </w:rPr>
        <w:t>；第三层为淡灰黄色，含钙质结核粉土，含有</w:t>
      </w:r>
      <w:r>
        <w:rPr>
          <w:rFonts w:ascii="Times New Roman" w:hAnsi="Times New Roman" w:eastAsia="Times New Roman" w:cs="Times New Roman"/>
          <w:spacing w:val="0"/>
          <w:position w:val="0"/>
          <w:sz w:val="24"/>
          <w:szCs w:val="24"/>
        </w:rPr>
        <w:t>30%</w:t>
      </w:r>
      <w:r>
        <w:rPr>
          <w:rFonts w:ascii="宋体" w:hAnsi="宋体" w:eastAsia="宋体" w:cs="宋体"/>
          <w:spacing w:val="0"/>
          <w:position w:val="0"/>
          <w:sz w:val="24"/>
          <w:szCs w:val="24"/>
        </w:rPr>
        <w:t>左右钙质结核，局部含少量砾石土分布在</w:t>
      </w:r>
      <w:r>
        <w:rPr>
          <w:rFonts w:ascii="Times New Roman" w:hAnsi="Times New Roman" w:eastAsia="Times New Roman" w:cs="Times New Roman"/>
          <w:spacing w:val="0"/>
          <w:position w:val="0"/>
          <w:sz w:val="24"/>
          <w:szCs w:val="24"/>
        </w:rPr>
        <w:t>1.8-4.1m</w:t>
      </w:r>
      <w:r>
        <w:rPr>
          <w:rFonts w:ascii="宋体" w:hAnsi="宋体" w:eastAsia="宋体" w:cs="宋体"/>
          <w:spacing w:val="0"/>
          <w:position w:val="0"/>
          <w:sz w:val="24"/>
          <w:szCs w:val="24"/>
        </w:rPr>
        <w:t>深度上，厚度</w:t>
      </w:r>
      <w:r>
        <w:rPr>
          <w:rFonts w:ascii="Times New Roman" w:hAnsi="Times New Roman" w:eastAsia="Times New Roman" w:cs="Times New Roman"/>
          <w:spacing w:val="0"/>
          <w:position w:val="0"/>
          <w:sz w:val="24"/>
          <w:szCs w:val="24"/>
        </w:rPr>
        <w:t>0.9-2.3m</w:t>
      </w:r>
      <w:r>
        <w:rPr>
          <w:rFonts w:ascii="宋体" w:hAnsi="宋体" w:eastAsia="宋体" w:cs="宋体"/>
          <w:spacing w:val="0"/>
          <w:position w:val="0"/>
          <w:sz w:val="24"/>
          <w:szCs w:val="24"/>
        </w:rPr>
        <w:t>；第四层为暗褐灰色的砾石土，粒径</w:t>
      </w:r>
      <w:r>
        <w:rPr>
          <w:rFonts w:ascii="Times New Roman" w:hAnsi="Times New Roman" w:eastAsia="Times New Roman" w:cs="Times New Roman"/>
          <w:spacing w:val="0"/>
          <w:position w:val="0"/>
          <w:sz w:val="24"/>
          <w:szCs w:val="24"/>
        </w:rPr>
        <w:t>5-15mm</w:t>
      </w:r>
      <w:r>
        <w:rPr>
          <w:rFonts w:ascii="宋体" w:hAnsi="宋体" w:eastAsia="宋体" w:cs="宋体"/>
          <w:spacing w:val="0"/>
          <w:position w:val="0"/>
          <w:sz w:val="24"/>
          <w:szCs w:val="24"/>
        </w:rPr>
        <w:t>砾石占</w:t>
      </w:r>
      <w:r>
        <w:rPr>
          <w:rFonts w:ascii="Times New Roman" w:hAnsi="Times New Roman" w:eastAsia="Times New Roman" w:cs="Times New Roman"/>
          <w:spacing w:val="0"/>
          <w:position w:val="0"/>
          <w:sz w:val="24"/>
          <w:szCs w:val="24"/>
        </w:rPr>
        <w:t>40-60%</w:t>
      </w:r>
      <w:r>
        <w:rPr>
          <w:rFonts w:ascii="宋体" w:hAnsi="宋体" w:eastAsia="宋体" w:cs="宋体"/>
          <w:spacing w:val="0"/>
          <w:position w:val="0"/>
          <w:sz w:val="24"/>
          <w:szCs w:val="24"/>
        </w:rPr>
        <w:t>，多为硬质岩性，无杂质，分布在</w:t>
      </w:r>
      <w:r>
        <w:rPr>
          <w:rFonts w:ascii="Times New Roman" w:hAnsi="Times New Roman" w:eastAsia="Times New Roman" w:cs="Times New Roman"/>
          <w:spacing w:val="0"/>
          <w:position w:val="0"/>
          <w:sz w:val="24"/>
          <w:szCs w:val="24"/>
        </w:rPr>
        <w:t>3.1-4.1m</w:t>
      </w:r>
      <w:r>
        <w:rPr>
          <w:rFonts w:ascii="宋体" w:hAnsi="宋体" w:eastAsia="宋体" w:cs="宋体"/>
          <w:spacing w:val="0"/>
          <w:position w:val="0"/>
          <w:sz w:val="24"/>
          <w:szCs w:val="24"/>
        </w:rPr>
        <w:t>深度下，厚度在</w:t>
      </w:r>
      <w:r>
        <w:rPr>
          <w:rFonts w:ascii="Times New Roman" w:hAnsi="Times New Roman" w:eastAsia="Times New Roman" w:cs="Times New Roman"/>
          <w:spacing w:val="0"/>
          <w:position w:val="0"/>
          <w:sz w:val="24"/>
          <w:szCs w:val="24"/>
        </w:rPr>
        <w:t>1.9m</w:t>
      </w:r>
      <w:r>
        <w:rPr>
          <w:rFonts w:ascii="宋体" w:hAnsi="宋体" w:eastAsia="宋体" w:cs="宋体"/>
          <w:spacing w:val="0"/>
          <w:position w:val="0"/>
          <w:sz w:val="24"/>
          <w:szCs w:val="24"/>
        </w:rPr>
        <w:t>以上，局部夹有薄层细沙。</w:t>
      </w:r>
    </w:p>
    <w:p>
      <w:pPr>
        <w:pStyle w:val="5"/>
        <w:keepNext w:val="0"/>
        <w:keepLines w:val="0"/>
        <w:pageBreakBefore w:val="0"/>
        <w:widowControl w:val="0"/>
        <w:numPr>
          <w:ilvl w:val="1"/>
          <w:numId w:val="17"/>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144" w:name="4.2_环境质量现状调查与评价"/>
      <w:bookmarkEnd w:id="144"/>
      <w:bookmarkStart w:id="145" w:name="_bookmark21"/>
      <w:bookmarkEnd w:id="145"/>
      <w:bookmarkStart w:id="146" w:name="4.1.6_生态环境"/>
      <w:bookmarkEnd w:id="146"/>
      <w:bookmarkStart w:id="147" w:name="4.1.5_工程地质"/>
      <w:bookmarkEnd w:id="147"/>
      <w:bookmarkStart w:id="148" w:name="_Toc11244"/>
      <w:bookmarkStart w:id="149" w:name="_Toc10480"/>
      <w:bookmarkStart w:id="150" w:name="_Toc204"/>
      <w:r>
        <w:t>环境质量现状调查与评价</w:t>
      </w:r>
      <w:bookmarkEnd w:id="148"/>
      <w:bookmarkEnd w:id="149"/>
      <w:bookmarkEnd w:id="150"/>
    </w:p>
    <w:p>
      <w:pPr>
        <w:pStyle w:val="6"/>
        <w:numPr>
          <w:ilvl w:val="2"/>
          <w:numId w:val="17"/>
        </w:numPr>
        <w:tabs>
          <w:tab w:val="left" w:pos="1241"/>
        </w:tabs>
        <w:adjustRightInd w:val="0"/>
        <w:snapToGrid w:val="0"/>
        <w:spacing w:line="360" w:lineRule="auto"/>
        <w:ind w:left="0" w:firstLine="562" w:firstLineChars="200"/>
        <w:jc w:val="both"/>
      </w:pPr>
      <w:bookmarkStart w:id="151" w:name="4.2.1_环境空气质量现状监测与评价"/>
      <w:bookmarkEnd w:id="151"/>
      <w:r>
        <w:t>环境空气质量现状监测与评价</w:t>
      </w:r>
    </w:p>
    <w:p>
      <w:pPr>
        <w:adjustRightInd w:val="0"/>
        <w:snapToGrid w:val="0"/>
        <w:spacing w:line="360" w:lineRule="auto"/>
        <w:ind w:firstLine="482" w:firstLineChars="200"/>
        <w:jc w:val="both"/>
        <w:outlineLvl w:val="3"/>
        <w:rPr>
          <w:rFonts w:ascii="Times New Roman" w:hAnsi="Times New Roman" w:cs="Times New Roman"/>
          <w:b/>
          <w:bCs/>
          <w:color w:val="000000"/>
          <w:sz w:val="24"/>
        </w:rPr>
      </w:pPr>
      <w:r>
        <w:rPr>
          <w:rFonts w:ascii="Times New Roman" w:hAnsi="Times New Roman" w:cs="Times New Roman"/>
          <w:b/>
          <w:bCs/>
          <w:color w:val="000000"/>
          <w:sz w:val="24"/>
        </w:rPr>
        <w:t>4.</w:t>
      </w:r>
      <w:r>
        <w:rPr>
          <w:rFonts w:hint="eastAsia" w:ascii="Times New Roman" w:hAnsi="Times New Roman" w:cs="Times New Roman"/>
          <w:b/>
          <w:bCs/>
          <w:color w:val="000000"/>
          <w:sz w:val="24"/>
          <w:lang w:val="en-US"/>
        </w:rPr>
        <w:t>2</w:t>
      </w:r>
      <w:r>
        <w:rPr>
          <w:rFonts w:ascii="Times New Roman" w:hAnsi="Times New Roman" w:cs="Times New Roman"/>
          <w:b/>
          <w:bCs/>
          <w:color w:val="000000"/>
          <w:sz w:val="24"/>
        </w:rPr>
        <w:t>.1.1项目所在区域达标区判定</w:t>
      </w:r>
    </w:p>
    <w:p>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color w:val="000000"/>
          <w:spacing w:val="0"/>
          <w:position w:val="0"/>
          <w:sz w:val="24"/>
          <w:szCs w:val="24"/>
          <w:lang w:eastAsia="zh-CN"/>
        </w:rPr>
      </w:pPr>
      <w:r>
        <w:rPr>
          <w:rFonts w:hint="default" w:ascii="Times New Roman" w:hAnsi="Times New Roman" w:eastAsia="宋体" w:cs="Times New Roman"/>
          <w:color w:val="000000"/>
          <w:spacing w:val="0"/>
          <w:position w:val="0"/>
          <w:sz w:val="24"/>
          <w:szCs w:val="24"/>
        </w:rPr>
        <w:t>(1)</w:t>
      </w:r>
      <w:r>
        <w:rPr>
          <w:rFonts w:hint="default" w:ascii="Times New Roman" w:hAnsi="Times New Roman" w:eastAsia="宋体" w:cs="Times New Roman"/>
          <w:color w:val="000000"/>
          <w:spacing w:val="0"/>
          <w:position w:val="0"/>
          <w:sz w:val="24"/>
          <w:szCs w:val="24"/>
          <w:lang w:eastAsia="zh-CN"/>
        </w:rPr>
        <w:t>数据来源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hint="default" w:ascii="Times New Roman" w:hAnsi="Times New Roman" w:eastAsia="宋体" w:cs="Times New Roman"/>
          <w:color w:val="000000" w:themeColor="text1"/>
          <w:spacing w:val="0"/>
          <w:position w:val="0"/>
          <w:sz w:val="24"/>
          <w:szCs w:val="24"/>
        </w:rPr>
      </w:pPr>
      <w:r>
        <w:rPr>
          <w:rFonts w:hint="default" w:ascii="Times New Roman" w:hAnsi="Times New Roman" w:eastAsia="宋体" w:cs="Times New Roman"/>
          <w:spacing w:val="0"/>
          <w:position w:val="0"/>
          <w:sz w:val="24"/>
          <w:szCs w:val="24"/>
        </w:rPr>
        <w:t>根据《环境影响评价技术导则 大气环境》（H.J 2.2-2018）对环境质量现状数据的要求，采用中国环境影响评价网环境空气质量模型技术支持服务系统（</w:t>
      </w:r>
      <w:r>
        <w:rPr>
          <w:rFonts w:hint="default" w:ascii="Times New Roman" w:hAnsi="Times New Roman" w:eastAsia="宋体" w:cs="Times New Roman"/>
          <w:spacing w:val="0"/>
          <w:position w:val="0"/>
          <w:sz w:val="24"/>
          <w:szCs w:val="24"/>
        </w:rPr>
        <w:fldChar w:fldCharType="begin"/>
      </w:r>
      <w:r>
        <w:rPr>
          <w:rFonts w:hint="default" w:ascii="Times New Roman" w:hAnsi="Times New Roman" w:eastAsia="宋体" w:cs="Times New Roman"/>
          <w:spacing w:val="0"/>
          <w:position w:val="0"/>
          <w:sz w:val="24"/>
          <w:szCs w:val="24"/>
        </w:rPr>
        <w:instrText xml:space="preserve"> HYPERLINK "http://data.lem.org.cn/eamds/apply/tostepone.html" </w:instrText>
      </w:r>
      <w:r>
        <w:rPr>
          <w:rFonts w:hint="default" w:ascii="Times New Roman" w:hAnsi="Times New Roman" w:eastAsia="宋体" w:cs="Times New Roman"/>
          <w:spacing w:val="0"/>
          <w:position w:val="0"/>
          <w:sz w:val="24"/>
          <w:szCs w:val="24"/>
        </w:rPr>
        <w:fldChar w:fldCharType="separate"/>
      </w:r>
      <w:r>
        <w:rPr>
          <w:rFonts w:hint="default" w:ascii="Times New Roman" w:hAnsi="Times New Roman" w:eastAsia="宋体" w:cs="Times New Roman"/>
          <w:spacing w:val="0"/>
          <w:position w:val="0"/>
          <w:sz w:val="24"/>
          <w:szCs w:val="24"/>
        </w:rPr>
        <w:t>http://data.lem.org.cn/eamds/apply/tostepone.html</w:t>
      </w:r>
      <w:r>
        <w:rPr>
          <w:rFonts w:hint="default" w:ascii="Times New Roman" w:hAnsi="Times New Roman" w:eastAsia="宋体" w:cs="Times New Roman"/>
          <w:spacing w:val="0"/>
          <w:position w:val="0"/>
          <w:sz w:val="24"/>
          <w:szCs w:val="24"/>
        </w:rPr>
        <w:fldChar w:fldCharType="end"/>
      </w:r>
      <w:r>
        <w:rPr>
          <w:rFonts w:hint="default" w:ascii="Times New Roman" w:hAnsi="Times New Roman" w:eastAsia="宋体" w:cs="Times New Roman"/>
          <w:spacing w:val="0"/>
          <w:position w:val="0"/>
          <w:sz w:val="24"/>
          <w:szCs w:val="24"/>
        </w:rPr>
        <w:t xml:space="preserve"> ）中塔城地区2021年的监测数据，作为本项目环境空气现状评价基本污染物SO</w:t>
      </w:r>
      <w:r>
        <w:rPr>
          <w:rFonts w:hint="default" w:ascii="Times New Roman" w:hAnsi="Times New Roman" w:eastAsia="宋体" w:cs="Times New Roman"/>
          <w:spacing w:val="0"/>
          <w:position w:val="0"/>
          <w:sz w:val="24"/>
          <w:szCs w:val="24"/>
          <w:vertAlign w:val="subscript"/>
        </w:rPr>
        <w:t>2</w:t>
      </w:r>
      <w:r>
        <w:rPr>
          <w:rFonts w:hint="default" w:ascii="Times New Roman" w:hAnsi="Times New Roman" w:eastAsia="宋体" w:cs="Times New Roman"/>
          <w:spacing w:val="0"/>
          <w:position w:val="0"/>
          <w:sz w:val="24"/>
          <w:szCs w:val="24"/>
        </w:rPr>
        <w:t xml:space="preserve"> 、NO</w:t>
      </w:r>
      <w:r>
        <w:rPr>
          <w:rFonts w:hint="default" w:ascii="Times New Roman" w:hAnsi="Times New Roman" w:eastAsia="宋体" w:cs="Times New Roman"/>
          <w:spacing w:val="0"/>
          <w:position w:val="0"/>
          <w:sz w:val="24"/>
          <w:szCs w:val="24"/>
          <w:vertAlign w:val="subscript"/>
        </w:rPr>
        <w:t>2</w:t>
      </w:r>
      <w:r>
        <w:rPr>
          <w:rFonts w:hint="default" w:ascii="Times New Roman" w:hAnsi="Times New Roman" w:eastAsia="宋体" w:cs="Times New Roman"/>
          <w:spacing w:val="0"/>
          <w:position w:val="0"/>
          <w:sz w:val="24"/>
          <w:szCs w:val="24"/>
        </w:rPr>
        <w:t xml:space="preserve"> 、PM</w:t>
      </w:r>
      <w:r>
        <w:rPr>
          <w:rFonts w:hint="default" w:ascii="Times New Roman" w:hAnsi="Times New Roman" w:eastAsia="宋体" w:cs="Times New Roman"/>
          <w:spacing w:val="0"/>
          <w:position w:val="0"/>
          <w:sz w:val="24"/>
          <w:szCs w:val="24"/>
          <w:vertAlign w:val="subscript"/>
        </w:rPr>
        <w:t>10</w:t>
      </w:r>
      <w:r>
        <w:rPr>
          <w:rFonts w:hint="default" w:ascii="Times New Roman" w:hAnsi="Times New Roman" w:eastAsia="宋体" w:cs="Times New Roman"/>
          <w:spacing w:val="0"/>
          <w:position w:val="0"/>
          <w:sz w:val="24"/>
          <w:szCs w:val="24"/>
        </w:rPr>
        <w:t xml:space="preserve"> 、PM</w:t>
      </w:r>
      <w:r>
        <w:rPr>
          <w:rFonts w:hint="default" w:ascii="Times New Roman" w:hAnsi="Times New Roman" w:eastAsia="宋体" w:cs="Times New Roman"/>
          <w:spacing w:val="0"/>
          <w:position w:val="0"/>
          <w:sz w:val="24"/>
          <w:szCs w:val="24"/>
          <w:vertAlign w:val="subscript"/>
        </w:rPr>
        <w:t>2.5</w:t>
      </w:r>
      <w:r>
        <w:rPr>
          <w:rFonts w:hint="default" w:ascii="Times New Roman" w:hAnsi="Times New Roman" w:eastAsia="宋体" w:cs="Times New Roman"/>
          <w:spacing w:val="0"/>
          <w:position w:val="0"/>
          <w:sz w:val="24"/>
          <w:szCs w:val="24"/>
        </w:rPr>
        <w:t xml:space="preserve"> 、CO和O</w:t>
      </w:r>
      <w:r>
        <w:rPr>
          <w:rFonts w:hint="default" w:ascii="Times New Roman" w:hAnsi="Times New Roman" w:eastAsia="宋体" w:cs="Times New Roman"/>
          <w:spacing w:val="0"/>
          <w:position w:val="0"/>
          <w:sz w:val="24"/>
          <w:szCs w:val="24"/>
          <w:vertAlign w:val="subscript"/>
        </w:rPr>
        <w:t>3</w:t>
      </w:r>
      <w:r>
        <w:rPr>
          <w:rFonts w:hint="default" w:ascii="Times New Roman" w:hAnsi="Times New Roman" w:eastAsia="宋体" w:cs="Times New Roman"/>
          <w:spacing w:val="0"/>
          <w:position w:val="0"/>
          <w:sz w:val="24"/>
          <w:szCs w:val="24"/>
        </w:rPr>
        <w:t xml:space="preserve"> 的数据来源。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（2）评价标准</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本次环境空气质量现状评价采用《环境空气质量标准》（GB 3095-2012）中的二级标准。</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（3）评价方法</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9"/>
        <w:jc w:val="both"/>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评价方法：基本污染物按照《环境空气质量评价技术规范（试行）》（HJ663-2013）中各评价项目的年评价指标进行判定，年评价指标中的年均浓度和相应百分位数24h平均或8h平均质量浓度满足《环境空气质量标准》（GB3095-2012）中浓度限值要求的即为达标，对于超标的污染物，计算其超标倍数和超标率。</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（4）基本污染物监测及评价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9"/>
        <w:jc w:val="both"/>
        <w:textAlignment w:val="auto"/>
        <w:rPr>
          <w:rFonts w:hint="eastAsia" w:ascii="Times New Roman" w:hAnsi="Times New Roman" w:eastAsia="宋体" w:cs="Times New Roman"/>
          <w:spacing w:val="-6"/>
          <w:sz w:val="24"/>
          <w:szCs w:val="24"/>
          <w:lang w:eastAsia="zh-CN"/>
        </w:rPr>
      </w:pPr>
      <w:r>
        <w:rPr>
          <w:rFonts w:hint="default" w:ascii="Times New Roman" w:hAnsi="Times New Roman" w:eastAsia="宋体" w:cs="Times New Roman"/>
          <w:spacing w:val="0"/>
          <w:position w:val="0"/>
          <w:sz w:val="24"/>
          <w:szCs w:val="24"/>
        </w:rPr>
        <w:t>基本污染物包括SO</w:t>
      </w:r>
      <w:r>
        <w:rPr>
          <w:rFonts w:hint="default" w:ascii="Times New Roman" w:hAnsi="Times New Roman" w:eastAsia="宋体" w:cs="Times New Roman"/>
          <w:spacing w:val="0"/>
          <w:position w:val="0"/>
          <w:sz w:val="24"/>
          <w:szCs w:val="24"/>
          <w:vertAlign w:val="subscript"/>
        </w:rPr>
        <w:t xml:space="preserve">2 </w:t>
      </w:r>
      <w:r>
        <w:rPr>
          <w:rFonts w:hint="default" w:ascii="Times New Roman" w:hAnsi="Times New Roman" w:eastAsia="宋体" w:cs="Times New Roman"/>
          <w:spacing w:val="0"/>
          <w:position w:val="0"/>
          <w:sz w:val="24"/>
          <w:szCs w:val="24"/>
        </w:rPr>
        <w:t>、NO</w:t>
      </w:r>
      <w:r>
        <w:rPr>
          <w:rFonts w:hint="default" w:ascii="Times New Roman" w:hAnsi="Times New Roman" w:eastAsia="宋体" w:cs="Times New Roman"/>
          <w:spacing w:val="0"/>
          <w:position w:val="0"/>
          <w:sz w:val="24"/>
          <w:szCs w:val="24"/>
          <w:vertAlign w:val="subscript"/>
        </w:rPr>
        <w:t xml:space="preserve">2 </w:t>
      </w:r>
      <w:r>
        <w:rPr>
          <w:rFonts w:hint="default" w:ascii="Times New Roman" w:hAnsi="Times New Roman" w:eastAsia="宋体" w:cs="Times New Roman"/>
          <w:spacing w:val="0"/>
          <w:position w:val="0"/>
          <w:sz w:val="24"/>
          <w:szCs w:val="24"/>
        </w:rPr>
        <w:t>、PM</w:t>
      </w:r>
      <w:r>
        <w:rPr>
          <w:rFonts w:hint="default" w:ascii="Times New Roman" w:hAnsi="Times New Roman" w:eastAsia="宋体" w:cs="Times New Roman"/>
          <w:spacing w:val="0"/>
          <w:position w:val="0"/>
          <w:sz w:val="24"/>
          <w:szCs w:val="24"/>
          <w:vertAlign w:val="subscript"/>
        </w:rPr>
        <w:t>10</w:t>
      </w:r>
      <w:r>
        <w:rPr>
          <w:rFonts w:hint="default" w:ascii="Times New Roman" w:hAnsi="Times New Roman" w:eastAsia="宋体" w:cs="Times New Roman"/>
          <w:spacing w:val="0"/>
          <w:position w:val="0"/>
          <w:sz w:val="24"/>
          <w:szCs w:val="24"/>
        </w:rPr>
        <w:t>、PM</w:t>
      </w:r>
      <w:r>
        <w:rPr>
          <w:rFonts w:hint="default" w:ascii="Times New Roman" w:hAnsi="Times New Roman" w:eastAsia="宋体" w:cs="Times New Roman"/>
          <w:spacing w:val="0"/>
          <w:position w:val="0"/>
          <w:sz w:val="24"/>
          <w:szCs w:val="24"/>
          <w:vertAlign w:val="subscript"/>
        </w:rPr>
        <w:t>2.5</w:t>
      </w:r>
      <w:r>
        <w:rPr>
          <w:rFonts w:hint="default" w:ascii="Times New Roman" w:hAnsi="Times New Roman" w:eastAsia="宋体" w:cs="Times New Roman"/>
          <w:spacing w:val="0"/>
          <w:position w:val="0"/>
          <w:sz w:val="24"/>
          <w:szCs w:val="24"/>
        </w:rPr>
        <w:t>、CO和O</w:t>
      </w:r>
      <w:r>
        <w:rPr>
          <w:rFonts w:hint="default" w:ascii="Times New Roman" w:hAnsi="Times New Roman" w:eastAsia="宋体" w:cs="Times New Roman"/>
          <w:spacing w:val="0"/>
          <w:position w:val="0"/>
          <w:sz w:val="24"/>
          <w:szCs w:val="24"/>
          <w:vertAlign w:val="subscript"/>
        </w:rPr>
        <w:t>3</w:t>
      </w:r>
      <w:r>
        <w:rPr>
          <w:rFonts w:hint="default" w:ascii="Times New Roman" w:hAnsi="Times New Roman" w:eastAsia="宋体" w:cs="Times New Roman"/>
          <w:spacing w:val="0"/>
          <w:position w:val="0"/>
          <w:sz w:val="24"/>
          <w:szCs w:val="24"/>
        </w:rPr>
        <w:t>，进行项目所在区域环境空气达标判定和区域各污染物的环境质量现状评价，空气质量达标区判定结果见表4.2- 1</w:t>
      </w:r>
      <w:r>
        <w:rPr>
          <w:rFonts w:hint="default" w:ascii="Times New Roman" w:hAnsi="Times New Roman" w:eastAsia="宋体" w:cs="Times New Roman"/>
          <w:spacing w:val="0"/>
          <w:position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宋体" w:hAnsi="宋体" w:eastAsia="宋体" w:cs="宋体"/>
          <w:b/>
          <w:bCs/>
          <w:spacing w:val="0"/>
          <w:position w:val="0"/>
          <w:sz w:val="21"/>
          <w:szCs w:val="21"/>
        </w:rPr>
      </w:pPr>
      <w:r>
        <w:rPr>
          <w:rFonts w:ascii="宋体" w:hAnsi="宋体" w:eastAsia="宋体" w:cs="宋体"/>
          <w:b/>
          <w:bCs/>
          <w:spacing w:val="0"/>
          <w:position w:val="0"/>
          <w:sz w:val="21"/>
          <w:szCs w:val="21"/>
        </w:rPr>
        <w:t>表</w:t>
      </w:r>
      <w:r>
        <w:rPr>
          <w:rFonts w:ascii="Times New Roman" w:hAnsi="Times New Roman" w:eastAsia="Times New Roman" w:cs="Times New Roman"/>
          <w:b/>
          <w:bCs/>
          <w:spacing w:val="0"/>
          <w:position w:val="0"/>
          <w:sz w:val="21"/>
          <w:szCs w:val="21"/>
        </w:rPr>
        <w:t xml:space="preserve">4.2-1              </w:t>
      </w:r>
      <w:r>
        <w:rPr>
          <w:rFonts w:ascii="宋体" w:hAnsi="宋体" w:eastAsia="宋体" w:cs="宋体"/>
          <w:b/>
          <w:bCs/>
          <w:spacing w:val="0"/>
          <w:position w:val="0"/>
          <w:sz w:val="21"/>
          <w:szCs w:val="21"/>
        </w:rPr>
        <w:t>区域空气质量现状评价表 单位：</w:t>
      </w:r>
      <w:r>
        <w:rPr>
          <w:rFonts w:ascii="Times New Roman" w:hAnsi="Times New Roman" w:eastAsia="Times New Roman" w:cs="Times New Roman"/>
          <w:b/>
          <w:bCs/>
          <w:spacing w:val="0"/>
          <w:position w:val="0"/>
          <w:sz w:val="21"/>
          <w:szCs w:val="21"/>
        </w:rPr>
        <w:t>ug/m</w:t>
      </w:r>
      <w:r>
        <w:rPr>
          <w:rFonts w:ascii="Times New Roman" w:hAnsi="Times New Roman" w:eastAsia="Times New Roman" w:cs="Times New Roman"/>
          <w:b/>
          <w:bCs/>
          <w:spacing w:val="0"/>
          <w:position w:val="0"/>
          <w:sz w:val="21"/>
          <w:szCs w:val="21"/>
          <w:vertAlign w:val="superscript"/>
        </w:rPr>
        <w:t>3</w:t>
      </w:r>
      <w:r>
        <w:rPr>
          <w:rFonts w:ascii="宋体" w:hAnsi="宋体" w:eastAsia="宋体" w:cs="宋体"/>
          <w:b/>
          <w:bCs/>
          <w:spacing w:val="0"/>
          <w:position w:val="0"/>
          <w:sz w:val="21"/>
          <w:szCs w:val="21"/>
        </w:rPr>
        <w:t>（</w:t>
      </w:r>
      <w:r>
        <w:rPr>
          <w:rFonts w:ascii="Times New Roman" w:hAnsi="Times New Roman" w:eastAsia="Times New Roman" w:cs="Times New Roman"/>
          <w:b/>
          <w:bCs/>
          <w:spacing w:val="0"/>
          <w:position w:val="0"/>
          <w:sz w:val="21"/>
          <w:szCs w:val="21"/>
        </w:rPr>
        <w:t>CO</w:t>
      </w:r>
      <w:r>
        <w:rPr>
          <w:rFonts w:ascii="宋体" w:hAnsi="宋体" w:eastAsia="宋体" w:cs="宋体"/>
          <w:b/>
          <w:bCs/>
          <w:spacing w:val="0"/>
          <w:position w:val="0"/>
          <w:sz w:val="21"/>
          <w:szCs w:val="21"/>
        </w:rPr>
        <w:t>：</w:t>
      </w:r>
      <w:r>
        <w:rPr>
          <w:rFonts w:ascii="Times New Roman" w:hAnsi="Times New Roman" w:eastAsia="Times New Roman" w:cs="Times New Roman"/>
          <w:b/>
          <w:bCs/>
          <w:spacing w:val="0"/>
          <w:position w:val="0"/>
          <w:sz w:val="21"/>
          <w:szCs w:val="21"/>
        </w:rPr>
        <w:t>mg/m</w:t>
      </w:r>
      <w:r>
        <w:rPr>
          <w:rFonts w:ascii="Times New Roman" w:hAnsi="Times New Roman" w:eastAsia="Times New Roman" w:cs="Times New Roman"/>
          <w:b/>
          <w:bCs/>
          <w:spacing w:val="0"/>
          <w:position w:val="0"/>
          <w:sz w:val="21"/>
          <w:szCs w:val="21"/>
          <w:vertAlign w:val="superscript"/>
        </w:rPr>
        <w:t>3</w:t>
      </w:r>
      <w:r>
        <w:rPr>
          <w:rFonts w:ascii="宋体" w:hAnsi="宋体" w:eastAsia="宋体" w:cs="宋体"/>
          <w:b/>
          <w:bCs/>
          <w:spacing w:val="0"/>
          <w:position w:val="0"/>
          <w:sz w:val="21"/>
          <w:szCs w:val="21"/>
        </w:rPr>
        <w:t>）</w:t>
      </w:r>
    </w:p>
    <w:tbl>
      <w:tblPr>
        <w:tblStyle w:val="40"/>
        <w:tblW w:w="8317" w:type="dxa"/>
        <w:tblInd w:w="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2036"/>
        <w:gridCol w:w="1256"/>
        <w:gridCol w:w="1206"/>
        <w:gridCol w:w="1535"/>
        <w:gridCol w:w="1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020"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评价因子</w:t>
            </w:r>
          </w:p>
        </w:tc>
        <w:tc>
          <w:tcPr>
            <w:tcW w:w="203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年评价指标</w:t>
            </w:r>
          </w:p>
        </w:tc>
        <w:tc>
          <w:tcPr>
            <w:tcW w:w="125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现状浓度</w:t>
            </w:r>
          </w:p>
        </w:tc>
        <w:tc>
          <w:tcPr>
            <w:tcW w:w="120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标准限值</w:t>
            </w:r>
          </w:p>
        </w:tc>
        <w:tc>
          <w:tcPr>
            <w:tcW w:w="153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占标率</w:t>
            </w:r>
            <w:r>
              <w:rPr>
                <w:rFonts w:ascii="Times New Roman" w:hAnsi="Times New Roman" w:eastAsia="Times New Roman" w:cs="Times New Roman"/>
                <w:spacing w:val="0"/>
                <w:position w:val="0"/>
                <w:sz w:val="21"/>
                <w:szCs w:val="21"/>
              </w:rPr>
              <w:t>/</w:t>
            </w:r>
            <w:r>
              <w:rPr>
                <w:spacing w:val="0"/>
                <w:position w:val="0"/>
                <w:sz w:val="21"/>
                <w:szCs w:val="21"/>
              </w:rPr>
              <w:t>（</w:t>
            </w:r>
            <w:r>
              <w:rPr>
                <w:rFonts w:ascii="Times New Roman" w:hAnsi="Times New Roman" w:eastAsia="Times New Roman" w:cs="Times New Roman"/>
                <w:spacing w:val="0"/>
                <w:position w:val="0"/>
                <w:sz w:val="21"/>
                <w:szCs w:val="21"/>
              </w:rPr>
              <w:t>%</w:t>
            </w:r>
            <w:r>
              <w:rPr>
                <w:spacing w:val="0"/>
                <w:position w:val="0"/>
                <w:sz w:val="21"/>
                <w:szCs w:val="21"/>
              </w:rPr>
              <w:t>）</w:t>
            </w:r>
          </w:p>
        </w:tc>
        <w:tc>
          <w:tcPr>
            <w:tcW w:w="126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020"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SO</w:t>
            </w:r>
            <w:r>
              <w:rPr>
                <w:rFonts w:ascii="Times New Roman" w:hAnsi="Times New Roman" w:eastAsia="Times New Roman" w:cs="Times New Roman"/>
                <w:spacing w:val="0"/>
                <w:position w:val="0"/>
                <w:sz w:val="21"/>
                <w:szCs w:val="21"/>
                <w:vertAlign w:val="subscript"/>
              </w:rPr>
              <w:t>2</w:t>
            </w:r>
          </w:p>
        </w:tc>
        <w:tc>
          <w:tcPr>
            <w:tcW w:w="203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年平均质量浓度</w:t>
            </w:r>
          </w:p>
        </w:tc>
        <w:tc>
          <w:tcPr>
            <w:tcW w:w="125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5</w:t>
            </w:r>
          </w:p>
        </w:tc>
        <w:tc>
          <w:tcPr>
            <w:tcW w:w="120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60</w:t>
            </w:r>
          </w:p>
        </w:tc>
        <w:tc>
          <w:tcPr>
            <w:tcW w:w="153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8.3</w:t>
            </w:r>
          </w:p>
        </w:tc>
        <w:tc>
          <w:tcPr>
            <w:tcW w:w="126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20"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NO</w:t>
            </w:r>
            <w:r>
              <w:rPr>
                <w:rFonts w:ascii="Times New Roman" w:hAnsi="Times New Roman" w:eastAsia="Times New Roman" w:cs="Times New Roman"/>
                <w:spacing w:val="0"/>
                <w:position w:val="0"/>
                <w:sz w:val="21"/>
                <w:szCs w:val="21"/>
                <w:vertAlign w:val="subscript"/>
              </w:rPr>
              <w:t>2</w:t>
            </w:r>
          </w:p>
        </w:tc>
        <w:tc>
          <w:tcPr>
            <w:tcW w:w="203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年平均质量浓度</w:t>
            </w:r>
          </w:p>
        </w:tc>
        <w:tc>
          <w:tcPr>
            <w:tcW w:w="125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11</w:t>
            </w:r>
          </w:p>
        </w:tc>
        <w:tc>
          <w:tcPr>
            <w:tcW w:w="120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40</w:t>
            </w:r>
          </w:p>
        </w:tc>
        <w:tc>
          <w:tcPr>
            <w:tcW w:w="153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27.5</w:t>
            </w:r>
          </w:p>
        </w:tc>
        <w:tc>
          <w:tcPr>
            <w:tcW w:w="126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20"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CO</w:t>
            </w:r>
          </w:p>
        </w:tc>
        <w:tc>
          <w:tcPr>
            <w:tcW w:w="203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第</w:t>
            </w:r>
            <w:r>
              <w:rPr>
                <w:rFonts w:ascii="Times New Roman" w:hAnsi="Times New Roman" w:eastAsia="Times New Roman" w:cs="Times New Roman"/>
                <w:spacing w:val="0"/>
                <w:position w:val="0"/>
                <w:sz w:val="21"/>
                <w:szCs w:val="21"/>
              </w:rPr>
              <w:t>95</w:t>
            </w:r>
            <w:r>
              <w:rPr>
                <w:spacing w:val="0"/>
                <w:position w:val="0"/>
                <w:sz w:val="21"/>
                <w:szCs w:val="21"/>
              </w:rPr>
              <w:t>百分位数</w:t>
            </w:r>
          </w:p>
        </w:tc>
        <w:tc>
          <w:tcPr>
            <w:tcW w:w="125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0.9</w:t>
            </w:r>
          </w:p>
        </w:tc>
        <w:tc>
          <w:tcPr>
            <w:tcW w:w="120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4</w:t>
            </w:r>
          </w:p>
        </w:tc>
        <w:tc>
          <w:tcPr>
            <w:tcW w:w="153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22.5</w:t>
            </w:r>
          </w:p>
        </w:tc>
        <w:tc>
          <w:tcPr>
            <w:tcW w:w="126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0" w:hRule="atLeast"/>
        </w:trPr>
        <w:tc>
          <w:tcPr>
            <w:tcW w:w="1020"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O</w:t>
            </w:r>
            <w:r>
              <w:rPr>
                <w:rFonts w:ascii="Times New Roman" w:hAnsi="Times New Roman" w:eastAsia="Times New Roman" w:cs="Times New Roman"/>
                <w:spacing w:val="0"/>
                <w:position w:val="0"/>
                <w:sz w:val="21"/>
                <w:szCs w:val="21"/>
                <w:vertAlign w:val="subscript"/>
              </w:rPr>
              <w:t>3</w:t>
            </w:r>
          </w:p>
        </w:tc>
        <w:tc>
          <w:tcPr>
            <w:tcW w:w="203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第</w:t>
            </w:r>
            <w:r>
              <w:rPr>
                <w:rFonts w:ascii="Times New Roman" w:hAnsi="Times New Roman" w:eastAsia="Times New Roman" w:cs="Times New Roman"/>
                <w:spacing w:val="0"/>
                <w:position w:val="0"/>
                <w:sz w:val="21"/>
                <w:szCs w:val="21"/>
              </w:rPr>
              <w:t>90</w:t>
            </w:r>
            <w:r>
              <w:rPr>
                <w:spacing w:val="0"/>
                <w:position w:val="0"/>
                <w:sz w:val="21"/>
                <w:szCs w:val="21"/>
              </w:rPr>
              <w:t>百分位数</w:t>
            </w:r>
          </w:p>
        </w:tc>
        <w:tc>
          <w:tcPr>
            <w:tcW w:w="125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102</w:t>
            </w:r>
          </w:p>
        </w:tc>
        <w:tc>
          <w:tcPr>
            <w:tcW w:w="120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160</w:t>
            </w:r>
          </w:p>
        </w:tc>
        <w:tc>
          <w:tcPr>
            <w:tcW w:w="153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63.8</w:t>
            </w:r>
          </w:p>
        </w:tc>
        <w:tc>
          <w:tcPr>
            <w:tcW w:w="126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20"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PM</w:t>
            </w:r>
            <w:r>
              <w:rPr>
                <w:rFonts w:ascii="Times New Roman" w:hAnsi="Times New Roman" w:eastAsia="Times New Roman" w:cs="Times New Roman"/>
                <w:spacing w:val="0"/>
                <w:position w:val="0"/>
                <w:sz w:val="21"/>
                <w:szCs w:val="21"/>
                <w:vertAlign w:val="subscript"/>
              </w:rPr>
              <w:t>10</w:t>
            </w:r>
          </w:p>
        </w:tc>
        <w:tc>
          <w:tcPr>
            <w:tcW w:w="203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年平均质量浓度</w:t>
            </w:r>
          </w:p>
        </w:tc>
        <w:tc>
          <w:tcPr>
            <w:tcW w:w="125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38</w:t>
            </w:r>
          </w:p>
        </w:tc>
        <w:tc>
          <w:tcPr>
            <w:tcW w:w="120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70</w:t>
            </w:r>
          </w:p>
        </w:tc>
        <w:tc>
          <w:tcPr>
            <w:tcW w:w="153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54.3</w:t>
            </w:r>
          </w:p>
        </w:tc>
        <w:tc>
          <w:tcPr>
            <w:tcW w:w="126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20"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PM</w:t>
            </w:r>
            <w:r>
              <w:rPr>
                <w:rFonts w:ascii="Times New Roman" w:hAnsi="Times New Roman" w:eastAsia="Times New Roman" w:cs="Times New Roman"/>
                <w:spacing w:val="0"/>
                <w:position w:val="0"/>
                <w:sz w:val="21"/>
                <w:szCs w:val="21"/>
                <w:vertAlign w:val="subscript"/>
              </w:rPr>
              <w:t>2.5</w:t>
            </w:r>
          </w:p>
        </w:tc>
        <w:tc>
          <w:tcPr>
            <w:tcW w:w="203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年平均质量浓度</w:t>
            </w:r>
          </w:p>
        </w:tc>
        <w:tc>
          <w:tcPr>
            <w:tcW w:w="125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12</w:t>
            </w:r>
          </w:p>
        </w:tc>
        <w:tc>
          <w:tcPr>
            <w:tcW w:w="1206"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35</w:t>
            </w:r>
          </w:p>
        </w:tc>
        <w:tc>
          <w:tcPr>
            <w:tcW w:w="153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pacing w:val="0"/>
                <w:position w:val="0"/>
                <w:sz w:val="21"/>
                <w:szCs w:val="21"/>
              </w:rPr>
            </w:pPr>
            <w:r>
              <w:rPr>
                <w:rFonts w:ascii="Times New Roman" w:hAnsi="Times New Roman" w:eastAsia="Times New Roman" w:cs="Times New Roman"/>
                <w:spacing w:val="0"/>
                <w:position w:val="0"/>
                <w:sz w:val="21"/>
                <w:szCs w:val="21"/>
              </w:rPr>
              <w:t>34.3</w:t>
            </w:r>
          </w:p>
        </w:tc>
        <w:tc>
          <w:tcPr>
            <w:tcW w:w="126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pacing w:val="0"/>
                <w:position w:val="0"/>
                <w:sz w:val="21"/>
                <w:szCs w:val="21"/>
              </w:rPr>
            </w:pPr>
            <w:r>
              <w:rPr>
                <w:spacing w:val="0"/>
                <w:position w:val="0"/>
                <w:sz w:val="21"/>
                <w:szCs w:val="21"/>
              </w:rPr>
              <w:t>达标</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7"/>
        <w:jc w:val="both"/>
        <w:textAlignment w:val="auto"/>
        <w:rPr>
          <w:rFonts w:ascii="Times New Roman" w:hAnsi="Times New Roman" w:eastAsia="Times New Roman" w:cs="Times New Roman"/>
          <w:spacing w:val="-6"/>
          <w:sz w:val="24"/>
          <w:szCs w:val="24"/>
        </w:rPr>
      </w:pPr>
      <w:r>
        <w:rPr>
          <w:rFonts w:ascii="宋体" w:hAnsi="宋体" w:eastAsia="宋体" w:cs="宋体"/>
          <w:spacing w:val="-3"/>
          <w:sz w:val="24"/>
          <w:szCs w:val="24"/>
        </w:rPr>
        <w:t>根据上表评价结果可知，</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年塔城地区</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宋体" w:hAnsi="宋体" w:eastAsia="宋体" w:cs="宋体"/>
          <w:spacing w:val="-3"/>
          <w:sz w:val="24"/>
          <w:szCs w:val="24"/>
        </w:rPr>
        <w:t>、</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1"/>
          <w:sz w:val="15"/>
          <w:szCs w:val="15"/>
        </w:rPr>
        <w:t>2.5</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宋体" w:hAnsi="宋体" w:eastAsia="宋体" w:cs="宋体"/>
          <w:spacing w:val="-4"/>
          <w:sz w:val="24"/>
          <w:szCs w:val="24"/>
        </w:rPr>
        <w:t>、</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3</w:t>
      </w:r>
      <w:r>
        <w:rPr>
          <w:rFonts w:ascii="宋体" w:hAnsi="宋体" w:eastAsia="宋体" w:cs="宋体"/>
          <w:spacing w:val="-4"/>
          <w:sz w:val="24"/>
          <w:szCs w:val="24"/>
        </w:rPr>
        <w:t>、</w:t>
      </w:r>
      <w:r>
        <w:rPr>
          <w:rFonts w:ascii="Times New Roman" w:hAnsi="Times New Roman" w:eastAsia="Times New Roman" w:cs="Times New Roman"/>
          <w:spacing w:val="-4"/>
          <w:sz w:val="24"/>
          <w:szCs w:val="24"/>
        </w:rPr>
        <w:t>CO</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position w:val="-1"/>
          <w:sz w:val="15"/>
          <w:szCs w:val="15"/>
        </w:rPr>
        <w:t xml:space="preserve"> </w:t>
      </w:r>
      <w:r>
        <w:rPr>
          <w:rFonts w:ascii="宋体" w:hAnsi="宋体" w:eastAsia="宋体" w:cs="宋体"/>
          <w:spacing w:val="-2"/>
          <w:sz w:val="24"/>
          <w:szCs w:val="24"/>
        </w:rPr>
        <w:t>指标均符合《环境空气质量标准》（</w:t>
      </w:r>
      <w:r>
        <w:rPr>
          <w:rFonts w:ascii="Times New Roman" w:hAnsi="Times New Roman" w:eastAsia="Times New Roman" w:cs="Times New Roman"/>
          <w:spacing w:val="-2"/>
          <w:sz w:val="24"/>
          <w:szCs w:val="24"/>
        </w:rPr>
        <w:t>GB 309</w:t>
      </w:r>
      <w:r>
        <w:rPr>
          <w:rFonts w:ascii="Times New Roman" w:hAnsi="Times New Roman" w:eastAsia="Times New Roman" w:cs="Times New Roman"/>
          <w:spacing w:val="-3"/>
          <w:sz w:val="24"/>
          <w:szCs w:val="24"/>
        </w:rPr>
        <w:t>5-2012</w:t>
      </w:r>
      <w:r>
        <w:rPr>
          <w:rFonts w:ascii="宋体" w:hAnsi="宋体" w:eastAsia="宋体" w:cs="宋体"/>
          <w:spacing w:val="-3"/>
          <w:sz w:val="24"/>
          <w:szCs w:val="24"/>
        </w:rPr>
        <w:t>）二级标准，判定项目区属于达标区。</w:t>
      </w:r>
    </w:p>
    <w:p>
      <w:pPr>
        <w:spacing w:line="360" w:lineRule="auto"/>
        <w:outlineLvl w:val="3"/>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4.</w:t>
      </w:r>
      <w:r>
        <w:rPr>
          <w:rFonts w:hint="eastAsia" w:ascii="Times New Roman" w:hAnsi="Times New Roman" w:cs="Times New Roman"/>
          <w:b/>
          <w:bCs/>
          <w:color w:val="000000" w:themeColor="text1"/>
          <w:sz w:val="24"/>
          <w:lang w:val="en-US"/>
        </w:rPr>
        <w:t>2</w:t>
      </w:r>
      <w:r>
        <w:rPr>
          <w:rFonts w:ascii="Times New Roman" w:hAnsi="Times New Roman" w:cs="Times New Roman"/>
          <w:b/>
          <w:bCs/>
          <w:color w:val="000000" w:themeColor="text1"/>
          <w:sz w:val="24"/>
        </w:rPr>
        <w:t>.1.</w:t>
      </w:r>
      <w:r>
        <w:rPr>
          <w:rFonts w:ascii="Times New Roman" w:hAnsi="Times New Roman" w:cs="Times New Roman"/>
          <w:b/>
          <w:bCs/>
          <w:color w:val="000000" w:themeColor="text1"/>
          <w:sz w:val="24"/>
          <w:lang w:val="en-US"/>
        </w:rPr>
        <w:t>2特征项目补充调查与评价</w:t>
      </w:r>
    </w:p>
    <w:p>
      <w:pPr>
        <w:spacing w:line="360" w:lineRule="auto"/>
        <w:ind w:firstLine="480" w:firstLineChars="200"/>
        <w:textAlignment w:val="baseline"/>
        <w:rPr>
          <w:color w:val="auto"/>
          <w:sz w:val="24"/>
          <w:szCs w:val="24"/>
          <w:highlight w:val="none"/>
        </w:rPr>
      </w:pPr>
      <w:bookmarkStart w:id="152" w:name="4.2.2_地下水环境质量现状监测与评价"/>
      <w:bookmarkEnd w:id="152"/>
      <w:r>
        <w:rPr>
          <w:color w:val="auto"/>
          <w:sz w:val="24"/>
          <w:szCs w:val="24"/>
          <w:highlight w:val="none"/>
        </w:rPr>
        <w:t>①监测布点</w:t>
      </w:r>
    </w:p>
    <w:p>
      <w:pPr>
        <w:spacing w:line="360" w:lineRule="auto"/>
        <w:ind w:firstLine="480" w:firstLineChars="200"/>
        <w:rPr>
          <w:color w:val="auto"/>
          <w:sz w:val="24"/>
          <w:szCs w:val="24"/>
          <w:highlight w:val="none"/>
        </w:rPr>
      </w:pPr>
      <w:r>
        <w:rPr>
          <w:color w:val="auto"/>
          <w:sz w:val="24"/>
          <w:szCs w:val="24"/>
          <w:highlight w:val="none"/>
        </w:rPr>
        <w:t>本次环境空气质量现状补充监测委托</w:t>
      </w:r>
      <w:r>
        <w:rPr>
          <w:rFonts w:hint="eastAsia"/>
          <w:color w:val="auto"/>
          <w:sz w:val="24"/>
          <w:szCs w:val="24"/>
          <w:highlight w:val="none"/>
          <w:lang w:eastAsia="zh-CN"/>
        </w:rPr>
        <w:t>新疆天蓝水清环境监测技术有限公司</w:t>
      </w:r>
      <w:r>
        <w:rPr>
          <w:color w:val="auto"/>
          <w:sz w:val="24"/>
          <w:szCs w:val="24"/>
          <w:highlight w:val="none"/>
        </w:rPr>
        <w:t>完成，在项目区</w:t>
      </w:r>
      <w:r>
        <w:rPr>
          <w:rFonts w:hint="eastAsia"/>
          <w:color w:val="auto"/>
          <w:sz w:val="24"/>
          <w:szCs w:val="24"/>
          <w:highlight w:val="none"/>
          <w:lang w:eastAsia="zh-CN"/>
        </w:rPr>
        <w:t>及</w:t>
      </w:r>
      <w:r>
        <w:rPr>
          <w:color w:val="auto"/>
          <w:sz w:val="24"/>
          <w:szCs w:val="24"/>
          <w:highlight w:val="none"/>
        </w:rPr>
        <w:t>项目区下风向各布设1个监测点，共设2个监测点，监测布点示意见图4.2-1。</w:t>
      </w:r>
    </w:p>
    <w:p>
      <w:pPr>
        <w:tabs>
          <w:tab w:val="left" w:pos="6133"/>
        </w:tabs>
        <w:spacing w:line="360" w:lineRule="auto"/>
        <w:ind w:firstLine="480" w:firstLineChars="200"/>
        <w:rPr>
          <w:rFonts w:hint="eastAsia" w:eastAsia="宋体"/>
          <w:color w:val="auto"/>
          <w:sz w:val="24"/>
          <w:szCs w:val="24"/>
          <w:highlight w:val="none"/>
          <w:lang w:eastAsia="zh-CN"/>
        </w:rPr>
      </w:pPr>
      <w:r>
        <w:rPr>
          <w:color w:val="auto"/>
          <w:sz w:val="24"/>
          <w:szCs w:val="24"/>
          <w:highlight w:val="none"/>
        </w:rPr>
        <w:t>②监测项目及监测方法</w:t>
      </w:r>
    </w:p>
    <w:p>
      <w:pPr>
        <w:spacing w:line="360" w:lineRule="auto"/>
        <w:ind w:firstLine="480" w:firstLineChars="200"/>
        <w:rPr>
          <w:rFonts w:hint="eastAsia" w:eastAsia="宋体"/>
          <w:color w:val="auto"/>
          <w:sz w:val="24"/>
          <w:szCs w:val="24"/>
          <w:highlight w:val="none"/>
          <w:lang w:eastAsia="zh-CN"/>
        </w:rPr>
      </w:pPr>
      <w:r>
        <w:rPr>
          <w:color w:val="auto"/>
          <w:sz w:val="24"/>
          <w:szCs w:val="24"/>
          <w:highlight w:val="none"/>
        </w:rPr>
        <w:t>监测项目：TSP、汞</w:t>
      </w:r>
      <w:r>
        <w:rPr>
          <w:rFonts w:hint="eastAsia"/>
          <w:color w:val="auto"/>
          <w:sz w:val="24"/>
          <w:szCs w:val="24"/>
          <w:highlight w:val="none"/>
          <w:lang w:eastAsia="zh-CN"/>
        </w:rPr>
        <w:t>、</w:t>
      </w:r>
      <w:r>
        <w:rPr>
          <w:rFonts w:hint="eastAsia"/>
          <w:sz w:val="24"/>
          <w:lang w:val="en-US" w:eastAsia="zh-CN"/>
        </w:rPr>
        <w:t>NO</w:t>
      </w:r>
      <w:r>
        <w:rPr>
          <w:rFonts w:hint="eastAsia"/>
          <w:sz w:val="24"/>
          <w:vertAlign w:val="subscript"/>
          <w:lang w:val="en-US" w:eastAsia="zh-CN"/>
        </w:rPr>
        <w:t>x</w:t>
      </w:r>
      <w:r>
        <w:rPr>
          <w:rFonts w:hint="eastAsia"/>
          <w:sz w:val="24"/>
          <w:lang w:val="en-US" w:eastAsia="zh-CN"/>
        </w:rPr>
        <w:t>、氨</w:t>
      </w:r>
    </w:p>
    <w:p>
      <w:pPr>
        <w:spacing w:line="360" w:lineRule="auto"/>
        <w:ind w:firstLine="480" w:firstLineChars="200"/>
        <w:rPr>
          <w:color w:val="auto"/>
          <w:sz w:val="24"/>
          <w:szCs w:val="24"/>
          <w:highlight w:val="none"/>
        </w:rPr>
      </w:pPr>
      <w:r>
        <w:rPr>
          <w:color w:val="auto"/>
          <w:sz w:val="24"/>
          <w:szCs w:val="24"/>
          <w:highlight w:val="none"/>
        </w:rPr>
        <w:t>监测方法：按国家《环境监测技术规范（大气部分）》的规定执行；分析方法按《空气和废气监测分析方法》的有关规定和要求执行。</w:t>
      </w:r>
    </w:p>
    <w:p>
      <w:pPr>
        <w:spacing w:line="360" w:lineRule="auto"/>
        <w:ind w:firstLine="480" w:firstLineChars="200"/>
        <w:rPr>
          <w:color w:val="auto"/>
          <w:sz w:val="24"/>
          <w:szCs w:val="24"/>
          <w:highlight w:val="none"/>
        </w:rPr>
      </w:pPr>
      <w:r>
        <w:rPr>
          <w:color w:val="auto"/>
          <w:sz w:val="24"/>
          <w:szCs w:val="24"/>
          <w:highlight w:val="none"/>
        </w:rPr>
        <w:t>③监测时间</w:t>
      </w:r>
    </w:p>
    <w:p>
      <w:pPr>
        <w:spacing w:line="360" w:lineRule="auto"/>
        <w:ind w:firstLine="480" w:firstLineChars="200"/>
        <w:rPr>
          <w:color w:val="auto"/>
          <w:sz w:val="24"/>
          <w:szCs w:val="24"/>
          <w:highlight w:val="none"/>
        </w:rPr>
      </w:pPr>
      <w:r>
        <w:rPr>
          <w:color w:val="auto"/>
          <w:sz w:val="24"/>
          <w:szCs w:val="24"/>
          <w:highlight w:val="none"/>
        </w:rPr>
        <w:t>监测时间为202</w:t>
      </w:r>
      <w:r>
        <w:rPr>
          <w:rFonts w:hint="eastAsia"/>
          <w:color w:val="auto"/>
          <w:sz w:val="24"/>
          <w:szCs w:val="24"/>
          <w:highlight w:val="none"/>
          <w:lang w:val="en-US" w:eastAsia="zh-CN"/>
        </w:rPr>
        <w:t>3</w:t>
      </w:r>
      <w:r>
        <w:rPr>
          <w:color w:val="auto"/>
          <w:sz w:val="24"/>
          <w:szCs w:val="24"/>
          <w:highlight w:val="none"/>
        </w:rPr>
        <w:t>年</w:t>
      </w:r>
      <w:r>
        <w:rPr>
          <w:rFonts w:hint="eastAsia"/>
          <w:color w:val="auto"/>
          <w:sz w:val="24"/>
          <w:szCs w:val="24"/>
          <w:highlight w:val="none"/>
          <w:lang w:val="en-US" w:eastAsia="zh-CN"/>
        </w:rPr>
        <w:t>7</w:t>
      </w:r>
      <w:r>
        <w:rPr>
          <w:color w:val="auto"/>
          <w:sz w:val="24"/>
          <w:szCs w:val="24"/>
          <w:highlight w:val="none"/>
        </w:rPr>
        <w:t>月</w:t>
      </w:r>
      <w:r>
        <w:rPr>
          <w:rFonts w:hint="eastAsia"/>
          <w:color w:val="auto"/>
          <w:sz w:val="24"/>
          <w:szCs w:val="24"/>
          <w:highlight w:val="none"/>
          <w:lang w:val="en-US" w:eastAsia="zh-CN"/>
        </w:rPr>
        <w:t>18</w:t>
      </w:r>
      <w:r>
        <w:rPr>
          <w:color w:val="auto"/>
          <w:sz w:val="24"/>
          <w:szCs w:val="24"/>
          <w:highlight w:val="none"/>
        </w:rPr>
        <w:t>日</w:t>
      </w:r>
      <w:r>
        <w:rPr>
          <w:rFonts w:hint="eastAsia"/>
          <w:color w:val="auto"/>
          <w:sz w:val="24"/>
          <w:szCs w:val="24"/>
          <w:highlight w:val="none"/>
        </w:rPr>
        <w:t>－</w:t>
      </w:r>
      <w:r>
        <w:rPr>
          <w:rFonts w:hint="eastAsia"/>
          <w:color w:val="auto"/>
          <w:sz w:val="24"/>
          <w:szCs w:val="24"/>
          <w:highlight w:val="none"/>
          <w:lang w:val="en-US" w:eastAsia="zh-CN"/>
        </w:rPr>
        <w:t>24</w:t>
      </w:r>
      <w:r>
        <w:rPr>
          <w:color w:val="auto"/>
          <w:sz w:val="24"/>
          <w:szCs w:val="24"/>
          <w:highlight w:val="none"/>
        </w:rPr>
        <w:t>日，监测7天。</w:t>
      </w:r>
    </w:p>
    <w:p>
      <w:pPr>
        <w:spacing w:line="360" w:lineRule="auto"/>
        <w:ind w:firstLine="480" w:firstLineChars="200"/>
        <w:rPr>
          <w:color w:val="auto"/>
          <w:sz w:val="24"/>
          <w:szCs w:val="24"/>
          <w:highlight w:val="none"/>
        </w:rPr>
      </w:pPr>
      <w:r>
        <w:rPr>
          <w:color w:val="auto"/>
          <w:sz w:val="24"/>
          <w:szCs w:val="24"/>
          <w:highlight w:val="none"/>
        </w:rPr>
        <w:t>④评价标准</w:t>
      </w:r>
    </w:p>
    <w:p>
      <w:pPr>
        <w:bidi w:val="0"/>
        <w:rPr>
          <w:rFonts w:hint="eastAsia" w:eastAsia="宋体"/>
          <w:color w:val="auto"/>
          <w:szCs w:val="24"/>
          <w:highlight w:val="none"/>
          <w:lang w:eastAsia="zh-CN"/>
        </w:rPr>
      </w:pPr>
      <w:r>
        <w:rPr>
          <w:rFonts w:hint="eastAsia"/>
          <w:color w:val="auto"/>
          <w:highlight w:val="none"/>
        </w:rPr>
        <w:t xml:space="preserve">TSP </w:t>
      </w:r>
      <w:r>
        <w:rPr>
          <w:rFonts w:hint="eastAsia"/>
          <w:color w:val="auto"/>
          <w:highlight w:val="none"/>
          <w:lang w:eastAsia="zh-CN"/>
        </w:rPr>
        <w:t>、</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rPr>
        <w:t>环境质量标准浓度限值执行《环境空气质量标准》</w:t>
      </w:r>
      <w:r>
        <w:rPr>
          <w:rFonts w:hint="eastAsia"/>
          <w:color w:val="auto"/>
          <w:highlight w:val="none"/>
          <w:lang w:eastAsia="zh-CN"/>
        </w:rPr>
        <w:t>（</w:t>
      </w:r>
      <w:r>
        <w:rPr>
          <w:rFonts w:hint="eastAsia"/>
          <w:color w:val="auto"/>
          <w:highlight w:val="none"/>
        </w:rPr>
        <w:t>GB3095-2012</w:t>
      </w:r>
      <w:r>
        <w:rPr>
          <w:rFonts w:hint="eastAsia"/>
          <w:color w:val="auto"/>
          <w:highlight w:val="none"/>
          <w:lang w:eastAsia="zh-CN"/>
        </w:rPr>
        <w:t>）</w:t>
      </w:r>
      <w:r>
        <w:rPr>
          <w:rFonts w:hint="eastAsia"/>
          <w:color w:val="auto"/>
          <w:highlight w:val="none"/>
        </w:rPr>
        <w:t>；汞执行《环境空气质量标准》</w:t>
      </w:r>
      <w:r>
        <w:rPr>
          <w:rFonts w:hint="eastAsia"/>
          <w:color w:val="auto"/>
          <w:highlight w:val="none"/>
          <w:lang w:eastAsia="zh-CN"/>
        </w:rPr>
        <w:t>（</w:t>
      </w:r>
      <w:r>
        <w:rPr>
          <w:rFonts w:hint="eastAsia"/>
          <w:color w:val="auto"/>
          <w:highlight w:val="none"/>
        </w:rPr>
        <w:t>GB3095-2012</w:t>
      </w:r>
      <w:r>
        <w:rPr>
          <w:rFonts w:hint="eastAsia"/>
          <w:color w:val="auto"/>
          <w:highlight w:val="none"/>
          <w:lang w:eastAsia="zh-CN"/>
        </w:rPr>
        <w:t>）</w:t>
      </w:r>
      <w:r>
        <w:rPr>
          <w:rFonts w:hint="eastAsia"/>
          <w:color w:val="auto"/>
          <w:highlight w:val="none"/>
        </w:rPr>
        <w:t>附录 A 中参考浓</w:t>
      </w:r>
      <w:r>
        <w:rPr>
          <w:rFonts w:hint="eastAsia"/>
          <w:color w:val="auto"/>
          <w:sz w:val="24"/>
          <w:szCs w:val="24"/>
          <w:highlight w:val="none"/>
        </w:rPr>
        <w:t>度限值，</w:t>
      </w:r>
      <w:r>
        <w:rPr>
          <w:rFonts w:hint="eastAsia"/>
          <w:color w:val="auto"/>
          <w:sz w:val="24"/>
          <w:szCs w:val="24"/>
          <w:highlight w:val="none"/>
          <w:lang w:eastAsia="zh-CN"/>
        </w:rPr>
        <w:t>氨执行</w:t>
      </w:r>
      <w:r>
        <w:rPr>
          <w:rFonts w:hint="eastAsia" w:ascii="宋体" w:hAnsi="宋体" w:eastAsia="宋体" w:cs="宋体"/>
          <w:color w:val="000000"/>
          <w:kern w:val="0"/>
          <w:sz w:val="24"/>
          <w:szCs w:val="24"/>
          <w:lang w:val="en-US" w:eastAsia="zh-CN" w:bidi="ar"/>
        </w:rPr>
        <w:t>《环境影响评价技术导则大气环境》</w:t>
      </w:r>
      <w:r>
        <w:rPr>
          <w:rFonts w:hint="default" w:ascii="Times New Roman" w:hAnsi="Times New Roman" w:eastAsia="宋体" w:cs="Times New Roman"/>
          <w:color w:val="000000"/>
          <w:kern w:val="0"/>
          <w:sz w:val="24"/>
          <w:szCs w:val="24"/>
          <w:lang w:val="en-US" w:eastAsia="zh-CN" w:bidi="ar"/>
        </w:rPr>
        <w:t>(HJ 2.2-2018)</w:t>
      </w:r>
      <w:r>
        <w:rPr>
          <w:rFonts w:hint="eastAsia" w:ascii="宋体" w:hAnsi="宋体" w:eastAsia="宋体" w:cs="宋体"/>
          <w:color w:val="000000"/>
          <w:kern w:val="0"/>
          <w:sz w:val="24"/>
          <w:szCs w:val="24"/>
          <w:lang w:val="en-US" w:eastAsia="zh-CN" w:bidi="ar"/>
        </w:rPr>
        <w:t>中附录</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中浓度限值</w:t>
      </w:r>
      <w:r>
        <w:rPr>
          <w:rFonts w:hint="eastAsia"/>
          <w:color w:val="auto"/>
          <w:sz w:val="24"/>
          <w:szCs w:val="24"/>
          <w:highlight w:val="none"/>
          <w:lang w:eastAsia="zh-CN"/>
        </w:rPr>
        <w:t>。</w:t>
      </w:r>
    </w:p>
    <w:p>
      <w:pPr>
        <w:spacing w:line="360" w:lineRule="auto"/>
        <w:ind w:firstLine="480" w:firstLineChars="200"/>
        <w:rPr>
          <w:color w:val="auto"/>
          <w:sz w:val="24"/>
          <w:szCs w:val="24"/>
          <w:highlight w:val="none"/>
        </w:rPr>
      </w:pPr>
      <w:r>
        <w:rPr>
          <w:color w:val="auto"/>
          <w:sz w:val="24"/>
          <w:szCs w:val="24"/>
          <w:highlight w:val="none"/>
        </w:rPr>
        <w:t>⑤评价方法</w:t>
      </w:r>
    </w:p>
    <w:p>
      <w:pPr>
        <w:spacing w:line="360" w:lineRule="auto"/>
        <w:ind w:firstLine="480" w:firstLineChars="200"/>
        <w:rPr>
          <w:color w:val="auto"/>
          <w:sz w:val="24"/>
          <w:szCs w:val="24"/>
          <w:highlight w:val="none"/>
        </w:rPr>
      </w:pPr>
      <w:r>
        <w:rPr>
          <w:color w:val="auto"/>
          <w:sz w:val="24"/>
          <w:szCs w:val="24"/>
          <w:highlight w:val="none"/>
        </w:rPr>
        <w:t>采用对标法进行评价。</w:t>
      </w:r>
    </w:p>
    <w:p>
      <w:pPr>
        <w:spacing w:line="360" w:lineRule="auto"/>
        <w:ind w:firstLine="480" w:firstLineChars="200"/>
        <w:rPr>
          <w:color w:val="auto"/>
          <w:sz w:val="24"/>
          <w:szCs w:val="24"/>
          <w:highlight w:val="none"/>
        </w:rPr>
      </w:pPr>
      <w:r>
        <w:rPr>
          <w:color w:val="auto"/>
          <w:sz w:val="24"/>
          <w:szCs w:val="24"/>
          <w:highlight w:val="none"/>
        </w:rPr>
        <w:t>⑥评价结果</w:t>
      </w:r>
    </w:p>
    <w:p>
      <w:pPr>
        <w:spacing w:line="360" w:lineRule="auto"/>
        <w:ind w:firstLine="480" w:firstLineChars="200"/>
        <w:rPr>
          <w:color w:val="auto"/>
          <w:sz w:val="24"/>
          <w:szCs w:val="24"/>
          <w:highlight w:val="none"/>
        </w:rPr>
      </w:pPr>
      <w:r>
        <w:rPr>
          <w:color w:val="auto"/>
          <w:sz w:val="24"/>
          <w:szCs w:val="24"/>
          <w:highlight w:val="none"/>
        </w:rPr>
        <w:t>项目区域环境空气其他污染物监测结果</w:t>
      </w:r>
      <w:r>
        <w:rPr>
          <w:rFonts w:hint="eastAsia"/>
          <w:color w:val="auto"/>
          <w:sz w:val="24"/>
          <w:szCs w:val="24"/>
          <w:highlight w:val="none"/>
        </w:rPr>
        <w:t>及评价结果</w:t>
      </w:r>
      <w:r>
        <w:rPr>
          <w:color w:val="auto"/>
          <w:sz w:val="24"/>
          <w:szCs w:val="24"/>
          <w:highlight w:val="none"/>
        </w:rPr>
        <w:t>见表 4.2-</w:t>
      </w:r>
      <w:r>
        <w:rPr>
          <w:rFonts w:hint="eastAsia"/>
          <w:color w:val="auto"/>
          <w:sz w:val="24"/>
          <w:szCs w:val="24"/>
          <w:highlight w:val="none"/>
        </w:rPr>
        <w:t>3</w:t>
      </w:r>
      <w:r>
        <w:rPr>
          <w:rFonts w:hint="eastAsia"/>
          <w:color w:val="auto"/>
          <w:sz w:val="24"/>
          <w:szCs w:val="24"/>
          <w:highlight w:val="none"/>
          <w:lang w:eastAsia="zh-CN"/>
        </w:rPr>
        <w:t>，</w:t>
      </w:r>
      <w:r>
        <w:rPr>
          <w:rFonts w:hint="eastAsia"/>
          <w:color w:val="auto"/>
          <w:sz w:val="24"/>
          <w:szCs w:val="24"/>
          <w:highlight w:val="none"/>
          <w:lang w:val="en-US" w:eastAsia="zh-CN"/>
        </w:rPr>
        <w:t>4.2-4</w:t>
      </w:r>
      <w:r>
        <w:rPr>
          <w:color w:val="auto"/>
          <w:sz w:val="24"/>
          <w:szCs w:val="24"/>
          <w:highlight w:val="none"/>
        </w:rPr>
        <w:t>。</w:t>
      </w:r>
    </w:p>
    <w:p>
      <w:pPr>
        <w:pStyle w:val="68"/>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textAlignment w:val="auto"/>
        <w:rPr>
          <w:rFonts w:ascii="Times New Roman" w:hAnsi="Times New Roman" w:eastAsia="宋体" w:cs="Times New Roman"/>
          <w:bCs/>
          <w:color w:val="auto"/>
          <w:sz w:val="21"/>
          <w:szCs w:val="21"/>
          <w:highlight w:val="none"/>
          <w:lang w:val="en-US"/>
        </w:rPr>
      </w:pPr>
      <w:r>
        <w:rPr>
          <w:rFonts w:hint="eastAsia" w:ascii="Times New Roman" w:hAnsi="Times New Roman" w:eastAsia="宋体" w:cs="Times New Roman"/>
          <w:bCs/>
          <w:color w:val="auto"/>
          <w:sz w:val="21"/>
          <w:szCs w:val="21"/>
          <w:highlight w:val="none"/>
          <w:lang w:val="en-US"/>
        </w:rPr>
        <w:t>表</w:t>
      </w:r>
      <w:r>
        <w:rPr>
          <w:rFonts w:ascii="Times New Roman" w:hAnsi="Times New Roman" w:eastAsia="宋体" w:cs="Times New Roman"/>
          <w:bCs/>
          <w:color w:val="auto"/>
          <w:sz w:val="21"/>
          <w:szCs w:val="21"/>
          <w:highlight w:val="none"/>
          <w:lang w:val="en-US"/>
        </w:rPr>
        <w:t>4.2-</w:t>
      </w:r>
      <w:r>
        <w:rPr>
          <w:rFonts w:hint="eastAsia" w:ascii="Times New Roman" w:hAnsi="Times New Roman" w:eastAsia="宋体" w:cs="Times New Roman"/>
          <w:bCs/>
          <w:color w:val="auto"/>
          <w:sz w:val="21"/>
          <w:szCs w:val="21"/>
          <w:highlight w:val="none"/>
          <w:lang w:val="en-US" w:eastAsia="zh-CN"/>
        </w:rPr>
        <w:t>3</w:t>
      </w:r>
      <w:r>
        <w:rPr>
          <w:rFonts w:hint="eastAsia" w:ascii="Times New Roman" w:hAnsi="Times New Roman" w:eastAsia="宋体" w:cs="Times New Roman"/>
          <w:bCs/>
          <w:color w:val="auto"/>
          <w:sz w:val="21"/>
          <w:szCs w:val="21"/>
          <w:highlight w:val="none"/>
          <w:lang w:val="en-US"/>
        </w:rPr>
        <w:t xml:space="preserve">     </w:t>
      </w:r>
      <w:r>
        <w:rPr>
          <w:rFonts w:ascii="Times New Roman" w:hAnsi="Times New Roman" w:eastAsia="宋体" w:cs="Times New Roman"/>
          <w:bCs/>
          <w:color w:val="auto"/>
          <w:sz w:val="21"/>
          <w:szCs w:val="21"/>
          <w:highlight w:val="none"/>
          <w:lang w:val="en-US"/>
        </w:rPr>
        <w:t>TSP</w:t>
      </w:r>
      <w:r>
        <w:rPr>
          <w:rFonts w:hint="eastAsia" w:ascii="Times New Roman" w:hAnsi="Times New Roman" w:eastAsia="宋体" w:cs="Times New Roman"/>
          <w:bCs/>
          <w:color w:val="auto"/>
          <w:sz w:val="21"/>
          <w:szCs w:val="21"/>
          <w:highlight w:val="none"/>
          <w:lang w:val="en-US" w:eastAsia="zh-CN"/>
        </w:rPr>
        <w:t>、NO</w:t>
      </w:r>
      <w:r>
        <w:rPr>
          <w:rFonts w:hint="eastAsia" w:ascii="Times New Roman" w:hAnsi="Times New Roman" w:eastAsia="宋体" w:cs="Times New Roman"/>
          <w:bCs/>
          <w:color w:val="auto"/>
          <w:sz w:val="21"/>
          <w:szCs w:val="21"/>
          <w:highlight w:val="none"/>
          <w:vertAlign w:val="subscript"/>
          <w:lang w:val="en-US" w:eastAsia="zh-CN"/>
        </w:rPr>
        <w:t>x</w:t>
      </w:r>
      <w:r>
        <w:rPr>
          <w:rFonts w:hint="eastAsia" w:ascii="Times New Roman" w:hAnsi="Times New Roman" w:eastAsia="宋体" w:cs="Times New Roman"/>
          <w:bCs/>
          <w:color w:val="auto"/>
          <w:sz w:val="21"/>
          <w:szCs w:val="21"/>
          <w:highlight w:val="none"/>
          <w:lang w:val="en-US" w:eastAsia="zh-CN"/>
        </w:rPr>
        <w:t>、汞</w:t>
      </w:r>
      <w:r>
        <w:rPr>
          <w:rFonts w:ascii="Times New Roman" w:hAnsi="Times New Roman" w:eastAsia="宋体" w:cs="Times New Roman"/>
          <w:bCs/>
          <w:color w:val="auto"/>
          <w:sz w:val="21"/>
          <w:szCs w:val="21"/>
          <w:highlight w:val="none"/>
          <w:lang w:val="en-US"/>
        </w:rPr>
        <w:t>监测结果</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315"/>
        <w:gridCol w:w="881"/>
        <w:gridCol w:w="575"/>
        <w:gridCol w:w="731"/>
        <w:gridCol w:w="790"/>
        <w:gridCol w:w="1381"/>
        <w:gridCol w:w="575"/>
        <w:gridCol w:w="128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jc w:val="center"/>
        </w:trPr>
        <w:tc>
          <w:tcPr>
            <w:tcW w:w="0" w:type="auto"/>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cs="Times New Roman"/>
                <w:b w:val="0"/>
                <w:bCs w:val="0"/>
                <w:color w:val="auto"/>
                <w:sz w:val="18"/>
                <w:szCs w:val="18"/>
                <w:highlight w:val="none"/>
                <w:lang w:val="zh-TW" w:eastAsia="zh-CN"/>
              </w:rPr>
              <w:t>采样</w:t>
            </w:r>
            <w:r>
              <w:rPr>
                <w:rFonts w:hint="default" w:ascii="Times New Roman" w:hAnsi="Times New Roman" w:cs="Times New Roman"/>
                <w:b w:val="0"/>
                <w:bCs w:val="0"/>
                <w:color w:val="auto"/>
                <w:sz w:val="18"/>
                <w:szCs w:val="18"/>
                <w:highlight w:val="none"/>
                <w:lang w:val="zh-TW" w:eastAsia="zh-TW"/>
              </w:rPr>
              <w:t>时间</w:t>
            </w:r>
          </w:p>
        </w:tc>
        <w:tc>
          <w:tcPr>
            <w:tcW w:w="0" w:type="auto"/>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cs="Times New Roman"/>
                <w:b w:val="0"/>
                <w:bCs w:val="0"/>
                <w:color w:val="auto"/>
                <w:sz w:val="18"/>
                <w:szCs w:val="18"/>
                <w:highlight w:val="none"/>
                <w:lang w:val="en-US"/>
              </w:rPr>
              <w:t>监测点位</w:t>
            </w:r>
          </w:p>
        </w:tc>
        <w:tc>
          <w:tcPr>
            <w:tcW w:w="0" w:type="auto"/>
            <w:gridSpan w:val="3"/>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en-US"/>
              </w:rPr>
            </w:pPr>
            <w:r>
              <w:rPr>
                <w:rFonts w:hint="default" w:ascii="Times New Roman" w:hAnsi="Times New Roman" w:cs="Times New Roman"/>
                <w:b w:val="0"/>
                <w:bCs w:val="0"/>
                <w:color w:val="auto"/>
                <w:sz w:val="18"/>
                <w:szCs w:val="18"/>
                <w:highlight w:val="none"/>
                <w:lang w:val="zh-TW" w:eastAsia="zh-TW"/>
              </w:rPr>
              <w:t>检测项目</w:t>
            </w:r>
            <w:r>
              <w:rPr>
                <w:rFonts w:hint="default" w:ascii="Times New Roman" w:hAnsi="Times New Roman" w:cs="Times New Roman"/>
                <w:b w:val="0"/>
                <w:bCs w:val="0"/>
                <w:color w:val="auto"/>
                <w:sz w:val="18"/>
                <w:szCs w:val="18"/>
                <w:highlight w:val="none"/>
                <w:lang w:val="zh-TW" w:eastAsia="zh-CN"/>
              </w:rPr>
              <w:t>（</w:t>
            </w:r>
            <w:r>
              <w:rPr>
                <w:rFonts w:hint="default" w:ascii="Times New Roman" w:hAnsi="Times New Roman" w:cs="Times New Roman"/>
                <w:b w:val="0"/>
                <w:bCs w:val="0"/>
                <w:color w:val="auto"/>
                <w:sz w:val="18"/>
                <w:szCs w:val="18"/>
                <w:highlight w:val="none"/>
                <w:lang w:val="zh-TW" w:eastAsia="zh-TW"/>
              </w:rPr>
              <w:t>日均值</w:t>
            </w:r>
            <w:r>
              <w:rPr>
                <w:rFonts w:hint="default" w:ascii="Times New Roman" w:hAnsi="Times New Roman" w:cs="Times New Roman"/>
                <w:b w:val="0"/>
                <w:bCs w:val="0"/>
                <w:color w:val="auto"/>
                <w:sz w:val="18"/>
                <w:szCs w:val="18"/>
                <w:highlight w:val="none"/>
                <w:lang w:val="zh-TW" w:eastAsia="zh-CN"/>
              </w:rPr>
              <w:t>）</w:t>
            </w:r>
          </w:p>
        </w:tc>
        <w:tc>
          <w:tcPr>
            <w:tcW w:w="0" w:type="auto"/>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cs="Times New Roman"/>
                <w:b w:val="0"/>
                <w:bCs w:val="0"/>
                <w:color w:val="auto"/>
                <w:sz w:val="18"/>
                <w:szCs w:val="18"/>
                <w:highlight w:val="none"/>
                <w:lang w:val="en-US"/>
              </w:rPr>
              <w:t>监测点位</w:t>
            </w:r>
          </w:p>
        </w:tc>
        <w:tc>
          <w:tcPr>
            <w:tcW w:w="0" w:type="auto"/>
            <w:gridSpan w:val="3"/>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cs="Times New Roman"/>
                <w:b w:val="0"/>
                <w:bCs w:val="0"/>
                <w:color w:val="auto"/>
                <w:sz w:val="18"/>
                <w:szCs w:val="18"/>
                <w:highlight w:val="none"/>
                <w:lang w:val="zh-TW" w:eastAsia="zh-TW"/>
              </w:rPr>
              <w:t>检测项目</w:t>
            </w:r>
            <w:r>
              <w:rPr>
                <w:rFonts w:hint="default" w:ascii="Times New Roman" w:hAnsi="Times New Roman" w:cs="Times New Roman"/>
                <w:b w:val="0"/>
                <w:bCs w:val="0"/>
                <w:color w:val="auto"/>
                <w:sz w:val="18"/>
                <w:szCs w:val="18"/>
                <w:highlight w:val="none"/>
                <w:lang w:val="zh-TW" w:eastAsia="zh-CN"/>
              </w:rPr>
              <w:t>（</w:t>
            </w:r>
            <w:r>
              <w:rPr>
                <w:rFonts w:hint="default" w:ascii="Times New Roman" w:hAnsi="Times New Roman" w:cs="Times New Roman"/>
                <w:b w:val="0"/>
                <w:bCs w:val="0"/>
                <w:color w:val="auto"/>
                <w:sz w:val="18"/>
                <w:szCs w:val="18"/>
                <w:highlight w:val="none"/>
                <w:lang w:val="zh-TW" w:eastAsia="zh-TW"/>
              </w:rPr>
              <w:t>日均值</w:t>
            </w:r>
            <w:r>
              <w:rPr>
                <w:rFonts w:hint="default" w:ascii="Times New Roman" w:hAnsi="Times New Roman" w:cs="Times New Roman"/>
                <w:b w:val="0"/>
                <w:bCs w:val="0"/>
                <w:color w:val="auto"/>
                <w:sz w:val="18"/>
                <w:szCs w:val="18"/>
                <w:highlight w:val="none"/>
                <w:lang w:val="zh-TW"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jc w:val="center"/>
        </w:trPr>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en-US" w:eastAsia="en-US"/>
              </w:rPr>
            </w:pPr>
          </w:p>
        </w:tc>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en-US" w:eastAsia="en-US"/>
              </w:rPr>
            </w:pPr>
            <w:r>
              <w:rPr>
                <w:rFonts w:hint="default" w:ascii="Times New Roman" w:hAnsi="Times New Roman" w:cs="Times New Roman"/>
                <w:b w:val="0"/>
                <w:bCs w:val="0"/>
                <w:color w:val="auto"/>
                <w:sz w:val="18"/>
                <w:szCs w:val="18"/>
                <w:highlight w:val="none"/>
                <w:lang w:val="en-US" w:eastAsia="en-US"/>
              </w:rPr>
              <w:t>TSP</w:t>
            </w:r>
          </w:p>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cs="Times New Roman"/>
                <w:b w:val="0"/>
                <w:bCs w:val="0"/>
                <w:color w:val="auto"/>
                <w:sz w:val="18"/>
                <w:szCs w:val="18"/>
                <w:highlight w:val="none"/>
              </w:rPr>
              <w:t>(μg/m</w:t>
            </w:r>
            <w:r>
              <w:rPr>
                <w:rFonts w:hint="default" w:ascii="Times New Roman" w:hAnsi="Times New Roman" w:cs="Times New Roman"/>
                <w:b w:val="0"/>
                <w:bCs w:val="0"/>
                <w:color w:val="auto"/>
                <w:sz w:val="18"/>
                <w:szCs w:val="18"/>
                <w:highlight w:val="none"/>
                <w:vertAlign w:val="superscript"/>
              </w:rPr>
              <w:t>3</w:t>
            </w:r>
            <w:r>
              <w:rPr>
                <w:rFonts w:hint="default" w:ascii="Times New Roman" w:hAnsi="Times New Roman" w:cs="Times New Roman"/>
                <w:b w:val="0"/>
                <w:bCs w:val="0"/>
                <w:color w:val="auto"/>
                <w:sz w:val="18"/>
                <w:szCs w:val="18"/>
                <w:highlight w:val="none"/>
              </w:rPr>
              <w:t>)</w:t>
            </w:r>
          </w:p>
        </w:tc>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18"/>
                <w:szCs w:val="18"/>
                <w:lang w:val="en-US" w:eastAsia="zh-CN" w:bidi="ar-SA"/>
              </w:rPr>
            </w:pPr>
            <w:r>
              <w:rPr>
                <w:rFonts w:hint="default" w:ascii="Times New Roman" w:hAnsi="Times New Roman" w:eastAsia="宋体" w:cs="Times New Roman"/>
                <w:b w:val="0"/>
                <w:bCs w:val="0"/>
                <w:kern w:val="0"/>
                <w:sz w:val="18"/>
                <w:szCs w:val="18"/>
                <w:lang w:val="en-US" w:eastAsia="zh-CN" w:bidi="ar-SA"/>
              </w:rPr>
              <w:t>氮氧化物</w:t>
            </w:r>
          </w:p>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bidi="ar-SA"/>
              </w:rPr>
              <w:t>(mg/m</w:t>
            </w:r>
            <w:r>
              <w:rPr>
                <w:rFonts w:hint="default" w:ascii="Times New Roman" w:hAnsi="Times New Roman" w:eastAsia="宋体" w:cs="Times New Roman"/>
                <w:b w:val="0"/>
                <w:bCs w:val="0"/>
                <w:kern w:val="0"/>
                <w:sz w:val="18"/>
                <w:szCs w:val="18"/>
                <w:vertAlign w:val="superscript"/>
                <w:lang w:val="en-US" w:eastAsia="zh-CN" w:bidi="ar-SA"/>
              </w:rPr>
              <w:t>3</w:t>
            </w:r>
            <w:r>
              <w:rPr>
                <w:rFonts w:hint="default" w:ascii="Times New Roman" w:hAnsi="Times New Roman" w:eastAsia="宋体" w:cs="Times New Roman"/>
                <w:b w:val="0"/>
                <w:bCs w:val="0"/>
                <w:kern w:val="0"/>
                <w:sz w:val="18"/>
                <w:szCs w:val="18"/>
                <w:lang w:val="en-US" w:eastAsia="zh-CN" w:bidi="ar-SA"/>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kern w:val="0"/>
                <w:sz w:val="18"/>
                <w:szCs w:val="18"/>
                <w:lang w:val="en-US" w:eastAsia="zh-CN" w:bidi="ar-SA"/>
              </w:rPr>
            </w:pPr>
            <w:r>
              <w:rPr>
                <w:rFonts w:hint="default" w:ascii="Times New Roman" w:hAnsi="Times New Roman" w:eastAsia="宋体" w:cs="Times New Roman"/>
                <w:b w:val="0"/>
                <w:bCs w:val="0"/>
                <w:kern w:val="0"/>
                <w:sz w:val="18"/>
                <w:szCs w:val="18"/>
                <w:lang w:val="en-US" w:eastAsia="zh-CN" w:bidi="ar-SA"/>
              </w:rPr>
              <w:t>汞</w:t>
            </w:r>
          </w:p>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bidi="ar-SA"/>
              </w:rPr>
              <w:t>(mg/m</w:t>
            </w:r>
            <w:r>
              <w:rPr>
                <w:rFonts w:hint="default" w:ascii="Times New Roman" w:hAnsi="Times New Roman" w:eastAsia="宋体" w:cs="Times New Roman"/>
                <w:b w:val="0"/>
                <w:bCs w:val="0"/>
                <w:kern w:val="0"/>
                <w:sz w:val="18"/>
                <w:szCs w:val="18"/>
                <w:vertAlign w:val="superscript"/>
                <w:lang w:val="en-US" w:eastAsia="zh-CN" w:bidi="ar-SA"/>
              </w:rPr>
              <w:t>3</w:t>
            </w:r>
            <w:r>
              <w:rPr>
                <w:rFonts w:hint="default" w:ascii="Times New Roman" w:hAnsi="Times New Roman" w:eastAsia="宋体" w:cs="Times New Roman"/>
                <w:b w:val="0"/>
                <w:bCs w:val="0"/>
                <w:kern w:val="0"/>
                <w:sz w:val="18"/>
                <w:szCs w:val="18"/>
                <w:lang w:val="en-US" w:eastAsia="zh-CN" w:bidi="ar-SA"/>
              </w:rPr>
              <w:t>)</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en-US" w:eastAsia="en-US"/>
              </w:rPr>
            </w:pPr>
            <w:r>
              <w:rPr>
                <w:rFonts w:hint="default" w:ascii="Times New Roman" w:hAnsi="Times New Roman" w:cs="Times New Roman"/>
                <w:b w:val="0"/>
                <w:bCs w:val="0"/>
                <w:color w:val="auto"/>
                <w:sz w:val="18"/>
                <w:szCs w:val="18"/>
                <w:highlight w:val="none"/>
                <w:lang w:val="en-US" w:eastAsia="en-US"/>
              </w:rPr>
              <w:t>TSP</w:t>
            </w:r>
          </w:p>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cs="Times New Roman"/>
                <w:b w:val="0"/>
                <w:bCs w:val="0"/>
                <w:color w:val="auto"/>
                <w:sz w:val="18"/>
                <w:szCs w:val="18"/>
                <w:highlight w:val="none"/>
              </w:rPr>
              <w:t>(μg/m</w:t>
            </w:r>
            <w:r>
              <w:rPr>
                <w:rFonts w:hint="default" w:ascii="Times New Roman" w:hAnsi="Times New Roman" w:cs="Times New Roman"/>
                <w:b w:val="0"/>
                <w:bCs w:val="0"/>
                <w:color w:val="auto"/>
                <w:sz w:val="18"/>
                <w:szCs w:val="18"/>
                <w:highlight w:val="none"/>
                <w:vertAlign w:val="superscript"/>
              </w:rPr>
              <w:t>3</w:t>
            </w:r>
            <w:r>
              <w:rPr>
                <w:rFonts w:hint="default" w:ascii="Times New Roman" w:hAnsi="Times New Roman" w:cs="Times New Roman"/>
                <w:b w:val="0"/>
                <w:bCs w:val="0"/>
                <w:color w:val="auto"/>
                <w:sz w:val="18"/>
                <w:szCs w:val="18"/>
                <w:highlight w:val="none"/>
              </w:rPr>
              <w:t>)</w:t>
            </w:r>
          </w:p>
        </w:tc>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en-US" w:eastAsia="en-US"/>
              </w:rPr>
            </w:pPr>
            <w:r>
              <w:rPr>
                <w:rFonts w:hint="default" w:ascii="Times New Roman" w:hAnsi="Times New Roman" w:eastAsia="宋体" w:cs="Times New Roman"/>
                <w:b w:val="0"/>
                <w:bCs w:val="0"/>
                <w:kern w:val="0"/>
                <w:sz w:val="18"/>
                <w:szCs w:val="18"/>
                <w:lang w:val="en-US" w:eastAsia="zh-CN" w:bidi="ar-SA"/>
              </w:rPr>
              <w:t>氮氧化物(mg/m</w:t>
            </w:r>
            <w:r>
              <w:rPr>
                <w:rFonts w:hint="default" w:ascii="Times New Roman" w:hAnsi="Times New Roman" w:eastAsia="宋体" w:cs="Times New Roman"/>
                <w:b w:val="0"/>
                <w:bCs w:val="0"/>
                <w:kern w:val="0"/>
                <w:sz w:val="18"/>
                <w:szCs w:val="18"/>
                <w:vertAlign w:val="superscript"/>
                <w:lang w:val="en-US" w:eastAsia="zh-CN" w:bidi="ar-SA"/>
              </w:rPr>
              <w:t>3</w:t>
            </w:r>
            <w:r>
              <w:rPr>
                <w:rFonts w:hint="default" w:ascii="Times New Roman" w:hAnsi="Times New Roman" w:eastAsia="宋体" w:cs="Times New Roman"/>
                <w:b w:val="0"/>
                <w:bCs w:val="0"/>
                <w:kern w:val="0"/>
                <w:sz w:val="18"/>
                <w:szCs w:val="18"/>
                <w:lang w:val="en-US" w:eastAsia="zh-CN" w:bidi="ar-SA"/>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kern w:val="0"/>
                <w:sz w:val="18"/>
                <w:szCs w:val="18"/>
                <w:lang w:val="en-US" w:eastAsia="zh-CN" w:bidi="ar-SA"/>
              </w:rPr>
            </w:pPr>
            <w:r>
              <w:rPr>
                <w:rFonts w:hint="default" w:ascii="Times New Roman" w:hAnsi="Times New Roman" w:eastAsia="宋体" w:cs="Times New Roman"/>
                <w:b w:val="0"/>
                <w:bCs w:val="0"/>
                <w:kern w:val="0"/>
                <w:sz w:val="18"/>
                <w:szCs w:val="18"/>
                <w:lang w:val="en-US" w:eastAsia="zh-CN" w:bidi="ar-SA"/>
              </w:rPr>
              <w:t>汞</w:t>
            </w:r>
          </w:p>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en-US" w:eastAsia="en-US"/>
              </w:rPr>
            </w:pPr>
            <w:r>
              <w:rPr>
                <w:rFonts w:hint="default" w:ascii="Times New Roman" w:hAnsi="Times New Roman" w:eastAsia="宋体" w:cs="Times New Roman"/>
                <w:b w:val="0"/>
                <w:bCs w:val="0"/>
                <w:kern w:val="0"/>
                <w:sz w:val="18"/>
                <w:szCs w:val="18"/>
                <w:lang w:val="en-US" w:eastAsia="zh-CN" w:bidi="ar-SA"/>
              </w:rPr>
              <w:t>(mg/m</w:t>
            </w:r>
            <w:r>
              <w:rPr>
                <w:rFonts w:hint="default" w:ascii="Times New Roman" w:hAnsi="Times New Roman" w:eastAsia="宋体" w:cs="Times New Roman"/>
                <w:b w:val="0"/>
                <w:bCs w:val="0"/>
                <w:kern w:val="0"/>
                <w:sz w:val="18"/>
                <w:szCs w:val="18"/>
                <w:vertAlign w:val="superscript"/>
                <w:lang w:val="en-US" w:eastAsia="zh-CN" w:bidi="ar-SA"/>
              </w:rPr>
              <w:t>3</w:t>
            </w:r>
            <w:r>
              <w:rPr>
                <w:rFonts w:hint="default" w:ascii="Times New Roman" w:hAnsi="Times New Roman" w:eastAsia="宋体" w:cs="Times New Roman"/>
                <w:b w:val="0"/>
                <w:bCs w:val="0"/>
                <w:kern w:val="0"/>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jc w:val="center"/>
        </w:trPr>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2023年7月18日</w:t>
            </w:r>
          </w:p>
        </w:tc>
        <w:tc>
          <w:tcPr>
            <w:tcW w:w="0" w:type="auto"/>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cs="Times New Roman"/>
                <w:b w:val="0"/>
                <w:bCs w:val="0"/>
                <w:color w:val="auto"/>
                <w:sz w:val="18"/>
                <w:szCs w:val="18"/>
                <w:highlight w:val="none"/>
                <w:lang w:val="en-US" w:eastAsia="zh-CN"/>
              </w:rPr>
              <w:t>1</w:t>
            </w:r>
            <w:r>
              <w:rPr>
                <w:rFonts w:hint="default" w:ascii="Times New Roman" w:hAnsi="Times New Roman" w:cs="Times New Roman"/>
                <w:b w:val="0"/>
                <w:bCs w:val="0"/>
                <w:color w:val="auto"/>
                <w:sz w:val="18"/>
                <w:szCs w:val="18"/>
                <w:highlight w:val="none"/>
                <w:lang w:val="zh-TW" w:eastAsia="zh-TW"/>
              </w:rPr>
              <w:t>#：项目区</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178</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0.061</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c>
          <w:tcPr>
            <w:tcW w:w="0" w:type="auto"/>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cs="Times New Roman"/>
                <w:b w:val="0"/>
                <w:bCs w:val="0"/>
                <w:color w:val="auto"/>
                <w:sz w:val="18"/>
                <w:szCs w:val="18"/>
                <w:highlight w:val="none"/>
                <w:lang w:val="zh-TW" w:eastAsia="zh-TW"/>
              </w:rPr>
              <w:t>2#：项目区下风向</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186</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0.055</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jc w:val="center"/>
        </w:trPr>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2023年7月19日</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183</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0.055</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192</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0.059</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jc w:val="center"/>
        </w:trPr>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2023年7月20日</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187</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0.057</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200</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0.059</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jc w:val="center"/>
        </w:trPr>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2023年7月21日</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182</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0.056</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190</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0.062</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jc w:val="center"/>
        </w:trPr>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2023年7月22日</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177</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0.062</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184</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0.056</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jc w:val="center"/>
        </w:trPr>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2023年7月23日</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190</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0.062</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196</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0.057</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7" w:hRule="atLeast"/>
          <w:jc w:val="center"/>
        </w:trPr>
        <w:tc>
          <w:tcPr>
            <w:tcW w:w="0" w:type="auto"/>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2023年7月24日</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198</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0.057</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c>
          <w:tcPr>
            <w:tcW w:w="0" w:type="auto"/>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18"/>
                <w:szCs w:val="18"/>
                <w:highlight w:val="none"/>
                <w:lang w:val="zh-TW" w:eastAsia="zh-TW"/>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203</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0.057</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kern w:val="0"/>
                <w:sz w:val="18"/>
                <w:szCs w:val="18"/>
                <w:lang w:val="en-US" w:eastAsia="zh-CN"/>
              </w:rPr>
              <w:t>＜6.6×10</w:t>
            </w:r>
            <w:r>
              <w:rPr>
                <w:rFonts w:hint="default" w:ascii="Times New Roman" w:hAnsi="Times New Roman" w:eastAsia="宋体" w:cs="Times New Roman"/>
                <w:b w:val="0"/>
                <w:bCs w:val="0"/>
                <w:kern w:val="0"/>
                <w:sz w:val="18"/>
                <w:szCs w:val="18"/>
                <w:vertAlign w:val="superscript"/>
                <w:lang w:val="en-US" w:eastAsia="zh-CN"/>
              </w:rPr>
              <w:t>-6</w:t>
            </w:r>
          </w:p>
        </w:tc>
      </w:tr>
    </w:tbl>
    <w:p>
      <w:pPr>
        <w:pStyle w:val="68"/>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textAlignment w:val="auto"/>
        <w:rPr>
          <w:rFonts w:ascii="Times New Roman" w:hAnsi="Times New Roman" w:eastAsia="宋体" w:cs="Times New Roman"/>
          <w:bCs/>
          <w:color w:val="auto"/>
          <w:sz w:val="21"/>
          <w:szCs w:val="21"/>
          <w:highlight w:val="none"/>
          <w:lang w:val="en-US"/>
        </w:rPr>
      </w:pPr>
      <w:r>
        <w:rPr>
          <w:rFonts w:hint="eastAsia" w:ascii="Times New Roman" w:hAnsi="Times New Roman" w:eastAsia="宋体" w:cs="Times New Roman"/>
          <w:bCs/>
          <w:color w:val="auto"/>
          <w:sz w:val="21"/>
          <w:szCs w:val="21"/>
          <w:highlight w:val="none"/>
          <w:lang w:val="en-US"/>
        </w:rPr>
        <w:t>表</w:t>
      </w:r>
      <w:r>
        <w:rPr>
          <w:rFonts w:ascii="Times New Roman" w:hAnsi="Times New Roman" w:eastAsia="宋体" w:cs="Times New Roman"/>
          <w:bCs/>
          <w:color w:val="auto"/>
          <w:sz w:val="21"/>
          <w:szCs w:val="21"/>
          <w:highlight w:val="none"/>
          <w:lang w:val="en-US"/>
        </w:rPr>
        <w:t>4.2-</w:t>
      </w:r>
      <w:r>
        <w:rPr>
          <w:rFonts w:hint="eastAsia" w:ascii="Times New Roman" w:hAnsi="Times New Roman" w:eastAsia="宋体" w:cs="Times New Roman"/>
          <w:bCs/>
          <w:color w:val="auto"/>
          <w:sz w:val="21"/>
          <w:szCs w:val="21"/>
          <w:highlight w:val="none"/>
          <w:lang w:val="en-US" w:eastAsia="zh-CN"/>
        </w:rPr>
        <w:t>4</w:t>
      </w:r>
      <w:r>
        <w:rPr>
          <w:rFonts w:hint="eastAsia" w:ascii="Times New Roman" w:hAnsi="Times New Roman" w:eastAsia="宋体" w:cs="Times New Roman"/>
          <w:bCs/>
          <w:color w:val="auto"/>
          <w:sz w:val="21"/>
          <w:szCs w:val="21"/>
          <w:highlight w:val="none"/>
          <w:lang w:val="en-US"/>
        </w:rPr>
        <w:t xml:space="preserve">    </w:t>
      </w:r>
      <w:r>
        <w:rPr>
          <w:rFonts w:hint="eastAsia" w:ascii="Times New Roman" w:hAnsi="Times New Roman" w:eastAsia="宋体" w:cs="Times New Roman"/>
          <w:bCs/>
          <w:color w:val="auto"/>
          <w:sz w:val="21"/>
          <w:szCs w:val="21"/>
          <w:highlight w:val="none"/>
          <w:lang w:val="en-US" w:eastAsia="zh-CN"/>
        </w:rPr>
        <w:t>氨</w:t>
      </w:r>
      <w:r>
        <w:rPr>
          <w:rFonts w:ascii="Times New Roman" w:hAnsi="Times New Roman" w:eastAsia="宋体" w:cs="Times New Roman"/>
          <w:bCs/>
          <w:color w:val="auto"/>
          <w:sz w:val="21"/>
          <w:szCs w:val="21"/>
          <w:highlight w:val="none"/>
          <w:lang w:val="en-US"/>
        </w:rPr>
        <w:t>监测结果</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1206"/>
        <w:gridCol w:w="2188"/>
        <w:gridCol w:w="1206"/>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bCs w:val="0"/>
                <w:color w:val="auto"/>
                <w:sz w:val="21"/>
                <w:szCs w:val="20"/>
                <w:highlight w:val="none"/>
                <w:vertAlign w:val="baseline"/>
                <w:lang w:val="de-DE" w:eastAsia="zh-CN"/>
              </w:rPr>
            </w:pPr>
            <w:r>
              <w:rPr>
                <w:rFonts w:hint="default" w:ascii="Times New Roman" w:hAnsi="Times New Roman" w:cs="Times New Roman"/>
                <w:b w:val="0"/>
                <w:bCs w:val="0"/>
                <w:color w:val="auto"/>
                <w:sz w:val="21"/>
                <w:szCs w:val="20"/>
                <w:highlight w:val="none"/>
                <w:vertAlign w:val="baseline"/>
                <w:lang w:val="de-DE" w:eastAsia="zh-CN"/>
              </w:rPr>
              <w:t>采样时间</w:t>
            </w:r>
          </w:p>
        </w:tc>
        <w:tc>
          <w:tcPr>
            <w:tcW w:w="1206"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rPr>
              <w:t>监测点位</w:t>
            </w:r>
          </w:p>
        </w:tc>
        <w:tc>
          <w:tcPr>
            <w:tcW w:w="2188" w:type="dxa"/>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zh-TW" w:eastAsia="zh-TW"/>
              </w:rPr>
              <w:t>检测项目</w:t>
            </w:r>
            <w:r>
              <w:rPr>
                <w:rFonts w:hint="default" w:ascii="Times New Roman" w:hAnsi="Times New Roman" w:cs="Times New Roman"/>
                <w:b w:val="0"/>
                <w:bCs w:val="0"/>
                <w:color w:val="auto"/>
                <w:sz w:val="21"/>
                <w:highlight w:val="none"/>
                <w:lang w:val="zh-TW" w:eastAsia="zh-CN"/>
              </w:rPr>
              <w:t>（小时值）</w:t>
            </w:r>
          </w:p>
        </w:tc>
        <w:tc>
          <w:tcPr>
            <w:tcW w:w="1206"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rPr>
              <w:t>监测点位</w:t>
            </w:r>
          </w:p>
        </w:tc>
        <w:tc>
          <w:tcPr>
            <w:tcW w:w="2353" w:type="dxa"/>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zh-TW" w:eastAsia="zh-TW"/>
              </w:rPr>
              <w:t>检测项目</w:t>
            </w:r>
            <w:r>
              <w:rPr>
                <w:rFonts w:hint="default" w:ascii="Times New Roman" w:hAnsi="Times New Roman" w:cs="Times New Roman"/>
                <w:b w:val="0"/>
                <w:bCs w:val="0"/>
                <w:color w:val="auto"/>
                <w:sz w:val="21"/>
                <w:highlight w:val="none"/>
                <w:lang w:val="zh-TW" w:eastAsia="zh-CN"/>
              </w:rPr>
              <w:t>（小时值）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bidi="ar-SA"/>
              </w:rPr>
              <w:t>氨(mg/m</w:t>
            </w:r>
            <w:r>
              <w:rPr>
                <w:rFonts w:hint="default" w:ascii="Times New Roman" w:hAnsi="Times New Roman" w:eastAsia="宋体" w:cs="Times New Roman"/>
                <w:b w:val="0"/>
                <w:bCs w:val="0"/>
                <w:kern w:val="0"/>
                <w:sz w:val="21"/>
                <w:szCs w:val="21"/>
                <w:vertAlign w:val="superscript"/>
                <w:lang w:val="en-US" w:eastAsia="zh-CN" w:bidi="ar-SA"/>
              </w:rPr>
              <w:t>3</w:t>
            </w:r>
            <w:r>
              <w:rPr>
                <w:rFonts w:hint="default" w:ascii="Times New Roman" w:hAnsi="Times New Roman" w:eastAsia="宋体" w:cs="Times New Roman"/>
                <w:b w:val="0"/>
                <w:bCs w:val="0"/>
                <w:kern w:val="0"/>
                <w:sz w:val="21"/>
                <w:szCs w:val="21"/>
                <w:lang w:val="en-US" w:eastAsia="zh-CN" w:bidi="ar-SA"/>
              </w:rPr>
              <w:t>)</w:t>
            </w:r>
          </w:p>
        </w:tc>
        <w:tc>
          <w:tcPr>
            <w:tcW w:w="1206" w:type="dxa"/>
            <w:vMerge w:val="continue"/>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bidi="ar-SA"/>
              </w:rPr>
              <w:t>氨(mg/m</w:t>
            </w:r>
            <w:r>
              <w:rPr>
                <w:rFonts w:hint="default" w:ascii="Times New Roman" w:hAnsi="Times New Roman" w:eastAsia="宋体" w:cs="Times New Roman"/>
                <w:b w:val="0"/>
                <w:bCs w:val="0"/>
                <w:kern w:val="0"/>
                <w:sz w:val="21"/>
                <w:szCs w:val="21"/>
                <w:vertAlign w:val="superscript"/>
                <w:lang w:val="en-US" w:eastAsia="zh-CN" w:bidi="ar-SA"/>
              </w:rPr>
              <w:t>3</w:t>
            </w:r>
            <w:r>
              <w:rPr>
                <w:rFonts w:hint="default" w:ascii="Times New Roman" w:hAnsi="Times New Roman" w:eastAsia="宋体" w:cs="Times New Roman"/>
                <w:b w:val="0"/>
                <w:bCs w:val="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eastAsia="zh-CN"/>
              </w:rPr>
              <w:t>2023年7月18日</w:t>
            </w:r>
          </w:p>
        </w:tc>
        <w:tc>
          <w:tcPr>
            <w:tcW w:w="12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eastAsia="zh-CN"/>
              </w:rPr>
              <w:t>1</w:t>
            </w:r>
            <w:r>
              <w:rPr>
                <w:rFonts w:hint="default" w:ascii="Times New Roman" w:hAnsi="Times New Roman" w:cs="Times New Roman"/>
                <w:b w:val="0"/>
                <w:bCs w:val="0"/>
                <w:color w:val="auto"/>
                <w:sz w:val="21"/>
                <w:highlight w:val="none"/>
                <w:lang w:val="zh-TW" w:eastAsia="zh-TW"/>
              </w:rPr>
              <w:t>#：项目区</w:t>
            </w: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0"/>
                <w:highlight w:val="none"/>
                <w:vertAlign w:val="baseline"/>
                <w:lang w:val="en-US" w:eastAsia="zh-CN"/>
              </w:rPr>
            </w:pPr>
            <w:r>
              <w:rPr>
                <w:rFonts w:hint="default" w:ascii="Times New Roman" w:hAnsi="Times New Roman" w:eastAsia="宋体" w:cs="Times New Roman"/>
                <w:b w:val="0"/>
                <w:bCs w:val="0"/>
                <w:kern w:val="0"/>
                <w:sz w:val="21"/>
                <w:szCs w:val="21"/>
                <w:lang w:val="en-US" w:eastAsia="zh-CN"/>
              </w:rPr>
              <w:t>0.16</w:t>
            </w:r>
          </w:p>
        </w:tc>
        <w:tc>
          <w:tcPr>
            <w:tcW w:w="120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zh-TW" w:eastAsia="zh-TW"/>
              </w:rPr>
              <w:t>2#：项目区下风向</w:t>
            </w: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eastAsia="zh-CN"/>
              </w:rPr>
              <w:t>2023年7月19日</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eastAsia="zh-CN"/>
              </w:rPr>
              <w:t>2023年7月20日</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eastAsia="zh-CN"/>
              </w:rPr>
              <w:t>2023年7月21日</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eastAsia="zh-CN"/>
              </w:rPr>
              <w:t>2023年7月22日</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eastAsia="zh-CN"/>
              </w:rPr>
              <w:t>2023年7月23日</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0.14</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restart"/>
            <w:noWrap w:val="0"/>
            <w:vAlign w:val="center"/>
          </w:tcPr>
          <w:p>
            <w:pPr>
              <w:pStyle w:val="69"/>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cs="Times New Roman"/>
                <w:b w:val="0"/>
                <w:bCs w:val="0"/>
                <w:color w:val="auto"/>
                <w:sz w:val="21"/>
                <w:highlight w:val="none"/>
                <w:lang w:val="en-US" w:eastAsia="zh-CN"/>
              </w:rPr>
              <w:t>2023年7月24日</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0.15</w:t>
            </w:r>
          </w:p>
        </w:tc>
        <w:tc>
          <w:tcPr>
            <w:tcW w:w="120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p>
        </w:tc>
        <w:tc>
          <w:tcPr>
            <w:tcW w:w="2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0"/>
                <w:highlight w:val="none"/>
                <w:vertAlign w:val="baseline"/>
                <w:lang w:val="de-DE"/>
              </w:rPr>
            </w:pPr>
            <w:r>
              <w:rPr>
                <w:rFonts w:hint="default" w:ascii="Times New Roman" w:hAnsi="Times New Roman" w:eastAsia="宋体" w:cs="Times New Roman"/>
                <w:b w:val="0"/>
                <w:bCs w:val="0"/>
                <w:kern w:val="0"/>
                <w:sz w:val="21"/>
                <w:szCs w:val="21"/>
                <w:lang w:val="en-US" w:eastAsia="zh-CN"/>
              </w:rPr>
              <w:t>0.11</w:t>
            </w:r>
          </w:p>
        </w:tc>
      </w:tr>
    </w:tbl>
    <w:p>
      <w:pPr>
        <w:pStyle w:val="68"/>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textAlignment w:val="auto"/>
        <w:rPr>
          <w:rFonts w:hint="eastAsia" w:ascii="Times New Roman" w:hAnsi="Times New Roman" w:eastAsia="宋体" w:cs="Times New Roman"/>
          <w:bCs/>
          <w:color w:val="auto"/>
          <w:sz w:val="21"/>
          <w:szCs w:val="21"/>
          <w:highlight w:val="none"/>
          <w:lang w:val="de-DE"/>
        </w:rPr>
      </w:pPr>
    </w:p>
    <w:p>
      <w:pPr>
        <w:pStyle w:val="68"/>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textAlignment w:val="auto"/>
        <w:rPr>
          <w:rFonts w:hint="eastAsia" w:ascii="Times New Roman" w:hAnsi="Times New Roman" w:eastAsia="宋体" w:cs="Times New Roman"/>
          <w:bCs/>
          <w:color w:val="auto"/>
          <w:sz w:val="21"/>
          <w:szCs w:val="21"/>
          <w:highlight w:val="none"/>
          <w:lang w:val="de-DE"/>
        </w:rPr>
      </w:pPr>
      <w:r>
        <w:rPr>
          <w:rFonts w:hint="eastAsia" w:ascii="Times New Roman" w:hAnsi="Times New Roman" w:eastAsia="宋体" w:cs="Times New Roman"/>
          <w:bCs/>
          <w:color w:val="auto"/>
          <w:sz w:val="21"/>
          <w:szCs w:val="21"/>
          <w:highlight w:val="none"/>
          <w:lang w:val="de-DE"/>
        </w:rPr>
        <w:t>表 4.2-</w:t>
      </w:r>
      <w:r>
        <w:rPr>
          <w:rFonts w:hint="eastAsia" w:ascii="Times New Roman" w:hAnsi="Times New Roman" w:eastAsia="宋体" w:cs="Times New Roman"/>
          <w:bCs/>
          <w:color w:val="auto"/>
          <w:sz w:val="21"/>
          <w:szCs w:val="21"/>
          <w:highlight w:val="none"/>
          <w:lang w:val="en-US"/>
        </w:rPr>
        <w:t>5</w:t>
      </w:r>
      <w:r>
        <w:rPr>
          <w:rFonts w:hint="eastAsia" w:ascii="Times New Roman" w:hAnsi="Times New Roman" w:eastAsia="宋体" w:cs="Times New Roman"/>
          <w:bCs/>
          <w:color w:val="auto"/>
          <w:sz w:val="21"/>
          <w:szCs w:val="21"/>
          <w:highlight w:val="none"/>
          <w:lang w:val="de-DE"/>
        </w:rPr>
        <w:t xml:space="preserve">    评价</w:t>
      </w:r>
      <w:r>
        <w:rPr>
          <w:rFonts w:hint="eastAsia" w:ascii="Times New Roman" w:hAnsi="Times New Roman" w:eastAsia="宋体" w:cs="Times New Roman"/>
          <w:bCs/>
          <w:color w:val="auto"/>
          <w:sz w:val="21"/>
          <w:szCs w:val="21"/>
          <w:highlight w:val="none"/>
          <w:lang w:val="en-US"/>
        </w:rPr>
        <w:t>结果</w:t>
      </w:r>
    </w:p>
    <w:tbl>
      <w:tblPr>
        <w:tblStyle w:val="31"/>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6"/>
        <w:gridCol w:w="1378"/>
        <w:gridCol w:w="1475"/>
        <w:gridCol w:w="1263"/>
        <w:gridCol w:w="1445"/>
        <w:gridCol w:w="995"/>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1016"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2"/>
                <w:sz w:val="21"/>
                <w:szCs w:val="21"/>
                <w:highlight w:val="none"/>
              </w:rPr>
              <w:t>采样</w:t>
            </w:r>
          </w:p>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4"/>
                <w:sz w:val="21"/>
                <w:szCs w:val="21"/>
                <w:highlight w:val="none"/>
              </w:rPr>
              <w:t>点位</w:t>
            </w: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3"/>
                <w:sz w:val="21"/>
                <w:szCs w:val="21"/>
                <w:highlight w:val="none"/>
              </w:rPr>
              <w:t>污染物</w:t>
            </w:r>
          </w:p>
        </w:tc>
        <w:tc>
          <w:tcPr>
            <w:tcW w:w="1475"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r>
              <w:rPr>
                <w:color w:val="auto"/>
                <w:spacing w:val="-2"/>
                <w:sz w:val="21"/>
                <w:szCs w:val="21"/>
                <w:highlight w:val="none"/>
              </w:rPr>
              <w:t>监测浓度范围</w:t>
            </w:r>
          </w:p>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r>
              <w:rPr>
                <w:color w:val="auto"/>
                <w:sz w:val="21"/>
                <w:szCs w:val="21"/>
                <w:highlight w:val="none"/>
              </w:rPr>
              <w:t>(μg/m</w:t>
            </w:r>
            <w:r>
              <w:rPr>
                <w:color w:val="auto"/>
                <w:sz w:val="21"/>
                <w:szCs w:val="21"/>
                <w:highlight w:val="none"/>
                <w:vertAlign w:val="superscript"/>
              </w:rPr>
              <w:t>3</w:t>
            </w:r>
            <w:r>
              <w:rPr>
                <w:color w:val="auto"/>
                <w:sz w:val="21"/>
                <w:szCs w:val="21"/>
                <w:highlight w:val="none"/>
              </w:rPr>
              <w:t>)</w:t>
            </w:r>
          </w:p>
        </w:tc>
        <w:tc>
          <w:tcPr>
            <w:tcW w:w="1263"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rFonts w:hint="eastAsia" w:eastAsia="宋体"/>
                <w:color w:val="auto"/>
                <w:sz w:val="21"/>
                <w:szCs w:val="21"/>
                <w:highlight w:val="none"/>
                <w:lang w:eastAsia="zh-CN"/>
              </w:rPr>
            </w:pPr>
            <w:r>
              <w:rPr>
                <w:rFonts w:hint="eastAsia"/>
                <w:color w:val="auto"/>
                <w:spacing w:val="-3"/>
                <w:sz w:val="21"/>
                <w:szCs w:val="21"/>
                <w:highlight w:val="none"/>
                <w:lang w:eastAsia="zh-CN"/>
              </w:rPr>
              <w:t>评价标准</w:t>
            </w:r>
            <w:r>
              <w:rPr>
                <w:color w:val="auto"/>
                <w:sz w:val="21"/>
                <w:szCs w:val="21"/>
                <w:highlight w:val="none"/>
              </w:rPr>
              <w:t>(μg/m</w:t>
            </w:r>
            <w:r>
              <w:rPr>
                <w:color w:val="auto"/>
                <w:sz w:val="21"/>
                <w:szCs w:val="21"/>
                <w:highlight w:val="none"/>
                <w:vertAlign w:val="superscript"/>
              </w:rPr>
              <w:t>3</w:t>
            </w:r>
            <w:r>
              <w:rPr>
                <w:color w:val="auto"/>
                <w:sz w:val="21"/>
                <w:szCs w:val="21"/>
                <w:highlight w:val="none"/>
              </w:rPr>
              <w:t>)</w:t>
            </w:r>
          </w:p>
        </w:tc>
        <w:tc>
          <w:tcPr>
            <w:tcW w:w="1445"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pacing w:val="-3"/>
                <w:sz w:val="21"/>
                <w:szCs w:val="21"/>
                <w:highlight w:val="none"/>
                <w:lang w:eastAsia="en-US" w:bidi="en-US"/>
              </w:rPr>
            </w:pPr>
            <w:r>
              <w:rPr>
                <w:color w:val="auto"/>
                <w:spacing w:val="-3"/>
                <w:sz w:val="21"/>
                <w:szCs w:val="21"/>
                <w:highlight w:val="none"/>
              </w:rPr>
              <w:t>最大浓度占标率（%）</w:t>
            </w:r>
          </w:p>
        </w:tc>
        <w:tc>
          <w:tcPr>
            <w:tcW w:w="995"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pacing w:val="-3"/>
                <w:sz w:val="21"/>
                <w:szCs w:val="21"/>
                <w:highlight w:val="none"/>
                <w:lang w:eastAsia="en-US" w:bidi="en-US"/>
              </w:rPr>
            </w:pPr>
            <w:r>
              <w:rPr>
                <w:color w:val="auto"/>
                <w:spacing w:val="-3"/>
                <w:sz w:val="21"/>
                <w:szCs w:val="21"/>
                <w:highlight w:val="none"/>
              </w:rPr>
              <w:t>超标率（%）</w:t>
            </w:r>
          </w:p>
        </w:tc>
        <w:tc>
          <w:tcPr>
            <w:tcW w:w="886"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pacing w:val="-3"/>
                <w:sz w:val="21"/>
                <w:szCs w:val="21"/>
                <w:highlight w:val="none"/>
              </w:rPr>
            </w:pPr>
            <w:r>
              <w:rPr>
                <w:color w:val="auto"/>
                <w:spacing w:val="-3"/>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016" w:type="dxa"/>
            <w:vMerge w:val="restart"/>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r>
              <w:rPr>
                <w:color w:val="auto"/>
                <w:sz w:val="21"/>
                <w:szCs w:val="21"/>
                <w:highlight w:val="none"/>
                <w:lang w:val="zh-TW" w:eastAsia="zh-TW"/>
              </w:rPr>
              <w:t>1#</w:t>
            </w:r>
            <w:r>
              <w:rPr>
                <w:rFonts w:hint="eastAsia"/>
                <w:color w:val="auto"/>
                <w:sz w:val="21"/>
                <w:szCs w:val="21"/>
                <w:highlight w:val="none"/>
                <w:lang w:val="zh-TW"/>
              </w:rPr>
              <w:t>：</w:t>
            </w:r>
            <w:r>
              <w:rPr>
                <w:color w:val="auto"/>
                <w:sz w:val="21"/>
                <w:szCs w:val="21"/>
                <w:highlight w:val="none"/>
                <w:lang w:val="zh-TW" w:eastAsia="zh-TW"/>
              </w:rPr>
              <w:t>项目区内</w:t>
            </w: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lang w:eastAsia="en-US" w:bidi="en-US"/>
              </w:rPr>
            </w:pPr>
            <w:r>
              <w:rPr>
                <w:color w:val="auto"/>
                <w:sz w:val="21"/>
                <w:szCs w:val="21"/>
                <w:highlight w:val="none"/>
              </w:rPr>
              <w:t>TSP</w:t>
            </w:r>
          </w:p>
        </w:tc>
        <w:tc>
          <w:tcPr>
            <w:tcW w:w="147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177-198</w:t>
            </w:r>
          </w:p>
        </w:tc>
        <w:tc>
          <w:tcPr>
            <w:tcW w:w="1263"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300</w:t>
            </w:r>
          </w:p>
        </w:tc>
        <w:tc>
          <w:tcPr>
            <w:tcW w:w="144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66</w:t>
            </w:r>
          </w:p>
        </w:tc>
        <w:tc>
          <w:tcPr>
            <w:tcW w:w="995"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886"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lang w:bidi="en-US"/>
              </w:rPr>
            </w:pPr>
            <w:r>
              <w:rPr>
                <w:rFonts w:hint="eastAsia"/>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016" w:type="dxa"/>
            <w:vMerge w:val="continue"/>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lang w:val="zh-TW" w:eastAsia="zh-TW" w:bidi="en-US"/>
              </w:rPr>
            </w:pPr>
            <w:r>
              <w:rPr>
                <w:color w:val="auto"/>
                <w:sz w:val="21"/>
                <w:szCs w:val="21"/>
                <w:highlight w:val="none"/>
              </w:rPr>
              <w:t>汞</w:t>
            </w:r>
          </w:p>
        </w:tc>
        <w:tc>
          <w:tcPr>
            <w:tcW w:w="147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color w:val="auto"/>
                <w:kern w:val="0"/>
                <w:sz w:val="21"/>
                <w:szCs w:val="21"/>
                <w:highlight w:val="none"/>
                <w:lang w:val="zh-TW" w:eastAsia="zh-TW" w:bidi="ar"/>
              </w:rPr>
            </w:pPr>
            <w:r>
              <w:rPr>
                <w:rFonts w:hint="eastAsia"/>
                <w:color w:val="auto"/>
                <w:sz w:val="21"/>
                <w:szCs w:val="20"/>
                <w:highlight w:val="none"/>
                <w:vertAlign w:val="baseline"/>
                <w:lang w:val="en-US" w:eastAsia="zh-CN"/>
              </w:rPr>
              <w:t>＜6.6×10</w:t>
            </w:r>
            <w:r>
              <w:rPr>
                <w:rFonts w:hint="eastAsia"/>
                <w:color w:val="auto"/>
                <w:sz w:val="21"/>
                <w:szCs w:val="20"/>
                <w:highlight w:val="none"/>
                <w:vertAlign w:val="superscript"/>
                <w:lang w:val="en-US" w:eastAsia="zh-CN"/>
              </w:rPr>
              <w:t>-5</w:t>
            </w:r>
          </w:p>
        </w:tc>
        <w:tc>
          <w:tcPr>
            <w:tcW w:w="1263"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0.005</w:t>
            </w:r>
          </w:p>
        </w:tc>
        <w:tc>
          <w:tcPr>
            <w:tcW w:w="144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1.32</w:t>
            </w:r>
          </w:p>
        </w:tc>
        <w:tc>
          <w:tcPr>
            <w:tcW w:w="995"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886"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r>
              <w:rPr>
                <w:rFonts w:hint="eastAsia"/>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016" w:type="dxa"/>
            <w:vMerge w:val="continue"/>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p>
        </w:tc>
        <w:tc>
          <w:tcPr>
            <w:tcW w:w="147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sz w:val="21"/>
                <w:szCs w:val="20"/>
                <w:highlight w:val="none"/>
                <w:vertAlign w:val="baseline"/>
                <w:lang w:val="en-US" w:eastAsia="zh-CN"/>
              </w:rPr>
            </w:pPr>
            <w:r>
              <w:rPr>
                <w:rFonts w:hint="eastAsia"/>
                <w:color w:val="auto"/>
                <w:sz w:val="21"/>
                <w:szCs w:val="20"/>
                <w:highlight w:val="none"/>
                <w:vertAlign w:val="baseline"/>
                <w:lang w:val="en-US" w:eastAsia="zh-CN"/>
              </w:rPr>
              <w:t>55-62</w:t>
            </w:r>
          </w:p>
        </w:tc>
        <w:tc>
          <w:tcPr>
            <w:tcW w:w="1263"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100</w:t>
            </w:r>
          </w:p>
        </w:tc>
        <w:tc>
          <w:tcPr>
            <w:tcW w:w="144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62</w:t>
            </w:r>
          </w:p>
        </w:tc>
        <w:tc>
          <w:tcPr>
            <w:tcW w:w="995"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886" w:type="dxa"/>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宋体"/>
                <w:color w:val="auto"/>
                <w:sz w:val="21"/>
                <w:szCs w:val="21"/>
                <w:highlight w:val="none"/>
                <w:lang w:val="zh-CN" w:eastAsia="zh-CN" w:bidi="en-US"/>
              </w:rPr>
            </w:pPr>
            <w:r>
              <w:rPr>
                <w:rFonts w:hint="eastAsia"/>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016" w:type="dxa"/>
            <w:vMerge w:val="continue"/>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氨</w:t>
            </w:r>
          </w:p>
        </w:tc>
        <w:tc>
          <w:tcPr>
            <w:tcW w:w="147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sz w:val="21"/>
                <w:szCs w:val="20"/>
                <w:highlight w:val="none"/>
                <w:vertAlign w:val="baseline"/>
                <w:lang w:val="en-US" w:eastAsia="zh-CN"/>
              </w:rPr>
            </w:pPr>
            <w:r>
              <w:rPr>
                <w:rFonts w:hint="eastAsia"/>
                <w:color w:val="auto"/>
                <w:sz w:val="21"/>
                <w:szCs w:val="20"/>
                <w:highlight w:val="none"/>
                <w:vertAlign w:val="baseline"/>
                <w:lang w:val="en-US" w:eastAsia="zh-CN"/>
              </w:rPr>
              <w:t>120-160</w:t>
            </w:r>
          </w:p>
        </w:tc>
        <w:tc>
          <w:tcPr>
            <w:tcW w:w="1263"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200</w:t>
            </w:r>
          </w:p>
        </w:tc>
        <w:tc>
          <w:tcPr>
            <w:tcW w:w="144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80</w:t>
            </w:r>
          </w:p>
        </w:tc>
        <w:tc>
          <w:tcPr>
            <w:tcW w:w="995"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886" w:type="dxa"/>
            <w:noWrap w:val="0"/>
            <w:vAlign w:val="center"/>
          </w:tcPr>
          <w:p>
            <w:pPr>
              <w:pStyle w:val="69"/>
              <w:keepNext w:val="0"/>
              <w:keepLines w:val="0"/>
              <w:pageBreakBefore w:val="0"/>
              <w:kinsoku/>
              <w:wordWrap/>
              <w:overflowPunct/>
              <w:autoSpaceDE/>
              <w:autoSpaceDN/>
              <w:bidi w:val="0"/>
              <w:adjustRightInd w:val="0"/>
              <w:snapToGrid w:val="0"/>
              <w:ind w:left="0" w:leftChars="0" w:right="0" w:rightChars="0" w:firstLine="0" w:firstLineChars="0"/>
              <w:rPr>
                <w:rFonts w:hint="eastAsia" w:ascii="Times New Roman" w:hAnsi="Times New Roman" w:eastAsia="宋体" w:cs="宋体"/>
                <w:color w:val="auto"/>
                <w:sz w:val="21"/>
                <w:szCs w:val="21"/>
                <w:highlight w:val="none"/>
                <w:lang w:val="en-US" w:eastAsia="zh-CN" w:bidi="zh-CN"/>
              </w:rPr>
            </w:pPr>
            <w:r>
              <w:rPr>
                <w:rFonts w:hint="eastAsia"/>
                <w:color w:val="auto"/>
                <w:sz w:val="21"/>
                <w:szCs w:val="21"/>
                <w:highlight w:val="none"/>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016" w:type="dxa"/>
            <w:vMerge w:val="restart"/>
            <w:noWrap w:val="0"/>
            <w:vAlign w:val="center"/>
          </w:tcPr>
          <w:p>
            <w:pPr>
              <w:pStyle w:val="70"/>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r>
              <w:rPr>
                <w:color w:val="auto"/>
                <w:sz w:val="21"/>
                <w:szCs w:val="21"/>
                <w:highlight w:val="none"/>
                <w:lang w:val="zh-TW" w:eastAsia="zh-TW" w:bidi="zh-TW"/>
              </w:rPr>
              <w:t>2#：项目区下风向</w:t>
            </w: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lang w:val="zh-TW" w:eastAsia="zh-TW" w:bidi="en-US"/>
              </w:rPr>
            </w:pPr>
            <w:r>
              <w:rPr>
                <w:color w:val="auto"/>
                <w:sz w:val="21"/>
                <w:szCs w:val="21"/>
                <w:highlight w:val="none"/>
              </w:rPr>
              <w:t>TSP</w:t>
            </w:r>
          </w:p>
        </w:tc>
        <w:tc>
          <w:tcPr>
            <w:tcW w:w="147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184-203</w:t>
            </w:r>
          </w:p>
        </w:tc>
        <w:tc>
          <w:tcPr>
            <w:tcW w:w="1263"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300</w:t>
            </w:r>
          </w:p>
        </w:tc>
        <w:tc>
          <w:tcPr>
            <w:tcW w:w="144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67.7</w:t>
            </w:r>
          </w:p>
        </w:tc>
        <w:tc>
          <w:tcPr>
            <w:tcW w:w="995"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886"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lang w:val="zh-CN" w:bidi="en-US"/>
              </w:rPr>
            </w:pPr>
            <w:r>
              <w:rPr>
                <w:rFonts w:hint="eastAsia"/>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16" w:type="dxa"/>
            <w:vMerge w:val="continue"/>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lang w:val="zh-TW" w:eastAsia="zh-TW" w:bidi="en-US"/>
              </w:rPr>
            </w:pPr>
            <w:r>
              <w:rPr>
                <w:color w:val="auto"/>
                <w:sz w:val="21"/>
                <w:szCs w:val="21"/>
                <w:highlight w:val="none"/>
              </w:rPr>
              <w:t>汞</w:t>
            </w:r>
          </w:p>
        </w:tc>
        <w:tc>
          <w:tcPr>
            <w:tcW w:w="147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color w:val="auto"/>
                <w:kern w:val="0"/>
                <w:sz w:val="21"/>
                <w:szCs w:val="21"/>
                <w:highlight w:val="none"/>
                <w:lang w:val="zh-TW" w:eastAsia="zh-TW" w:bidi="ar"/>
              </w:rPr>
            </w:pPr>
            <w:r>
              <w:rPr>
                <w:rFonts w:hint="eastAsia"/>
                <w:color w:val="auto"/>
                <w:sz w:val="21"/>
                <w:szCs w:val="20"/>
                <w:highlight w:val="none"/>
                <w:vertAlign w:val="baseline"/>
                <w:lang w:val="en-US" w:eastAsia="zh-CN"/>
              </w:rPr>
              <w:t>＜6.6×10</w:t>
            </w:r>
            <w:r>
              <w:rPr>
                <w:rFonts w:hint="eastAsia"/>
                <w:color w:val="auto"/>
                <w:sz w:val="21"/>
                <w:szCs w:val="20"/>
                <w:highlight w:val="none"/>
                <w:vertAlign w:val="superscript"/>
                <w:lang w:val="en-US" w:eastAsia="zh-CN"/>
              </w:rPr>
              <w:t>-6</w:t>
            </w:r>
          </w:p>
        </w:tc>
        <w:tc>
          <w:tcPr>
            <w:tcW w:w="1263"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0.005</w:t>
            </w:r>
          </w:p>
        </w:tc>
        <w:tc>
          <w:tcPr>
            <w:tcW w:w="144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1.32</w:t>
            </w:r>
          </w:p>
        </w:tc>
        <w:tc>
          <w:tcPr>
            <w:tcW w:w="995"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886"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color w:val="auto"/>
                <w:sz w:val="21"/>
                <w:szCs w:val="21"/>
                <w:highlight w:val="none"/>
                <w:lang w:val="en-US"/>
              </w:rPr>
            </w:pPr>
            <w:r>
              <w:rPr>
                <w:rFonts w:hint="eastAsia"/>
                <w:color w:val="auto"/>
                <w:sz w:val="21"/>
                <w:szCs w:val="21"/>
                <w:highlight w:val="none"/>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16" w:type="dxa"/>
            <w:vMerge w:val="continue"/>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宋体"/>
                <w:color w:val="auto"/>
                <w:sz w:val="21"/>
                <w:szCs w:val="21"/>
                <w:highlight w:val="none"/>
                <w:lang w:val="en-US" w:eastAsia="zh-CN" w:bidi="zh-CN"/>
              </w:rPr>
            </w:pP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p>
        </w:tc>
        <w:tc>
          <w:tcPr>
            <w:tcW w:w="147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sz w:val="21"/>
                <w:szCs w:val="20"/>
                <w:highlight w:val="none"/>
                <w:vertAlign w:val="baseline"/>
                <w:lang w:val="en-US" w:eastAsia="zh-CN"/>
              </w:rPr>
            </w:pPr>
            <w:r>
              <w:rPr>
                <w:rFonts w:hint="eastAsia"/>
                <w:color w:val="auto"/>
                <w:sz w:val="21"/>
                <w:szCs w:val="20"/>
                <w:highlight w:val="none"/>
                <w:vertAlign w:val="baseline"/>
                <w:lang w:val="en-US" w:eastAsia="zh-CN"/>
              </w:rPr>
              <w:t>55-62</w:t>
            </w:r>
          </w:p>
        </w:tc>
        <w:tc>
          <w:tcPr>
            <w:tcW w:w="1263"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100</w:t>
            </w:r>
          </w:p>
        </w:tc>
        <w:tc>
          <w:tcPr>
            <w:tcW w:w="144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62</w:t>
            </w:r>
          </w:p>
        </w:tc>
        <w:tc>
          <w:tcPr>
            <w:tcW w:w="995"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886" w:type="dxa"/>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宋体"/>
                <w:color w:val="auto"/>
                <w:sz w:val="21"/>
                <w:szCs w:val="21"/>
                <w:highlight w:val="none"/>
                <w:lang w:val="en-US" w:eastAsia="zh-CN" w:bidi="en-US"/>
              </w:rPr>
            </w:pPr>
            <w:r>
              <w:rPr>
                <w:rFonts w:hint="eastAsia"/>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016" w:type="dxa"/>
            <w:vMerge w:val="continue"/>
            <w:noWrap w:val="0"/>
            <w:vAlign w:val="center"/>
          </w:tcPr>
          <w:p>
            <w:pPr>
              <w:keepNext w:val="0"/>
              <w:keepLines w:val="0"/>
              <w:pageBreakBefore w:val="0"/>
              <w:kinsoku/>
              <w:wordWrap/>
              <w:overflowPunct/>
              <w:autoSpaceDE/>
              <w:autoSpaceDN/>
              <w:bidi w:val="0"/>
              <w:adjustRightInd w:val="0"/>
              <w:snapToGrid w:val="0"/>
              <w:spacing w:line="320" w:lineRule="exact"/>
              <w:ind w:left="0" w:right="0" w:firstLine="0" w:firstLineChars="0"/>
              <w:jc w:val="center"/>
              <w:rPr>
                <w:color w:val="auto"/>
                <w:sz w:val="21"/>
                <w:szCs w:val="21"/>
                <w:highlight w:val="none"/>
              </w:rPr>
            </w:pPr>
          </w:p>
        </w:tc>
        <w:tc>
          <w:tcPr>
            <w:tcW w:w="1378" w:type="dxa"/>
            <w:noWrap w:val="0"/>
            <w:vAlign w:val="center"/>
          </w:tcPr>
          <w:p>
            <w:pPr>
              <w:keepNext w:val="0"/>
              <w:keepLines w:val="0"/>
              <w:pageBreakBefore w:val="0"/>
              <w:kinsoku/>
              <w:wordWrap/>
              <w:overflowPunct/>
              <w:autoSpaceDE/>
              <w:autoSpaceDN/>
              <w:bidi w:val="0"/>
              <w:adjustRightInd w:val="0"/>
              <w:snapToGrid w:val="0"/>
              <w:spacing w:line="320" w:lineRule="exact"/>
              <w:ind w:left="0" w:leftChars="0" w:right="0" w:rightChars="0" w:firstLine="0" w:firstLineChars="0"/>
              <w:jc w:val="center"/>
              <w:rPr>
                <w:rFonts w:hint="eastAsia" w:ascii="Times New Roman" w:hAnsi="Times New Roman" w:eastAsia="宋体" w:cs="宋体"/>
                <w:color w:val="auto"/>
                <w:sz w:val="21"/>
                <w:szCs w:val="21"/>
                <w:highlight w:val="none"/>
                <w:lang w:val="zh-CN" w:eastAsia="zh-CN" w:bidi="zh-CN"/>
              </w:rPr>
            </w:pPr>
            <w:r>
              <w:rPr>
                <w:rFonts w:hint="eastAsia"/>
                <w:color w:val="auto"/>
                <w:sz w:val="21"/>
                <w:szCs w:val="21"/>
                <w:highlight w:val="none"/>
                <w:lang w:eastAsia="zh-CN"/>
              </w:rPr>
              <w:t>氨</w:t>
            </w:r>
          </w:p>
        </w:tc>
        <w:tc>
          <w:tcPr>
            <w:tcW w:w="147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sz w:val="21"/>
                <w:szCs w:val="20"/>
                <w:highlight w:val="none"/>
                <w:vertAlign w:val="baseline"/>
                <w:lang w:val="en-US" w:eastAsia="zh-CN"/>
              </w:rPr>
            </w:pPr>
            <w:r>
              <w:rPr>
                <w:rFonts w:hint="eastAsia"/>
                <w:color w:val="auto"/>
                <w:sz w:val="21"/>
                <w:szCs w:val="20"/>
                <w:highlight w:val="none"/>
                <w:vertAlign w:val="baseline"/>
                <w:lang w:val="en-US" w:eastAsia="zh-CN"/>
              </w:rPr>
              <w:t>100-150</w:t>
            </w:r>
          </w:p>
        </w:tc>
        <w:tc>
          <w:tcPr>
            <w:tcW w:w="1263"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200</w:t>
            </w:r>
          </w:p>
        </w:tc>
        <w:tc>
          <w:tcPr>
            <w:tcW w:w="1445" w:type="dxa"/>
            <w:noWrap w:val="0"/>
            <w:vAlign w:val="center"/>
          </w:tcPr>
          <w:p>
            <w:pPr>
              <w:keepNext w:val="0"/>
              <w:keepLines w:val="0"/>
              <w:pageBreakBefore w:val="0"/>
              <w:widowControl/>
              <w:kinsoku/>
              <w:wordWrap/>
              <w:overflowPunct/>
              <w:autoSpaceDE/>
              <w:autoSpaceDN/>
              <w:bidi w:val="0"/>
              <w:adjustRightInd w:val="0"/>
              <w:snapToGrid w:val="0"/>
              <w:spacing w:line="320" w:lineRule="exact"/>
              <w:ind w:left="0" w:right="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995" w:type="dxa"/>
            <w:noWrap w:val="0"/>
            <w:vAlign w:val="center"/>
          </w:tcPr>
          <w:p>
            <w:pPr>
              <w:pStyle w:val="69"/>
              <w:keepNext w:val="0"/>
              <w:keepLines w:val="0"/>
              <w:pageBreakBefore w:val="0"/>
              <w:kinsoku/>
              <w:wordWrap/>
              <w:overflowPunct/>
              <w:autoSpaceDE/>
              <w:autoSpaceDN/>
              <w:bidi w:val="0"/>
              <w:adjustRightInd w:val="0"/>
              <w:snapToGrid w:val="0"/>
              <w:ind w:left="0" w:right="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886" w:type="dxa"/>
            <w:noWrap w:val="0"/>
            <w:vAlign w:val="center"/>
          </w:tcPr>
          <w:p>
            <w:pPr>
              <w:pStyle w:val="69"/>
              <w:keepNext w:val="0"/>
              <w:keepLines w:val="0"/>
              <w:pageBreakBefore w:val="0"/>
              <w:kinsoku/>
              <w:wordWrap/>
              <w:overflowPunct/>
              <w:autoSpaceDE/>
              <w:autoSpaceDN/>
              <w:bidi w:val="0"/>
              <w:adjustRightInd w:val="0"/>
              <w:snapToGrid w:val="0"/>
              <w:ind w:left="0" w:leftChars="0" w:right="0" w:rightChars="0" w:firstLine="0" w:firstLineChars="0"/>
              <w:rPr>
                <w:rFonts w:hint="eastAsia" w:ascii="Times New Roman" w:hAnsi="Times New Roman" w:eastAsia="宋体" w:cs="宋体"/>
                <w:color w:val="auto"/>
                <w:sz w:val="21"/>
                <w:szCs w:val="21"/>
                <w:highlight w:val="none"/>
                <w:lang w:val="en-US" w:eastAsia="zh-CN" w:bidi="zh-CN"/>
              </w:rPr>
            </w:pPr>
            <w:r>
              <w:rPr>
                <w:rFonts w:hint="eastAsia"/>
                <w:color w:val="auto"/>
                <w:sz w:val="21"/>
                <w:szCs w:val="21"/>
                <w:highlight w:val="none"/>
                <w:lang w:val="en-US"/>
              </w:rPr>
              <w:t>达标</w:t>
            </w:r>
          </w:p>
        </w:tc>
      </w:tr>
    </w:tbl>
    <w:p>
      <w:pPr>
        <w:pStyle w:val="68"/>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de-DE"/>
        </w:rPr>
      </w:pPr>
      <w:r>
        <w:rPr>
          <w:rFonts w:hint="default" w:ascii="Times New Roman" w:hAnsi="Times New Roman" w:eastAsia="宋体" w:cs="Times New Roman"/>
          <w:b w:val="0"/>
          <w:bCs/>
          <w:color w:val="auto"/>
          <w:sz w:val="24"/>
          <w:szCs w:val="24"/>
          <w:highlight w:val="none"/>
        </w:rPr>
        <w:t>由上表可知，项目区TSP</w:t>
      </w: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NO</w:t>
      </w:r>
      <w:r>
        <w:rPr>
          <w:rFonts w:hint="eastAsia" w:ascii="Times New Roman" w:hAnsi="Times New Roman" w:eastAsia="宋体" w:cs="Times New Roman"/>
          <w:b w:val="0"/>
          <w:bCs/>
          <w:color w:val="auto"/>
          <w:sz w:val="24"/>
          <w:szCs w:val="24"/>
          <w:highlight w:val="none"/>
          <w:vertAlign w:val="subscript"/>
          <w:lang w:val="en-US" w:eastAsia="zh-CN"/>
        </w:rPr>
        <w:t>x</w:t>
      </w:r>
      <w:r>
        <w:rPr>
          <w:rFonts w:hint="default" w:ascii="Times New Roman" w:hAnsi="Times New Roman" w:eastAsia="宋体" w:cs="Times New Roman"/>
          <w:b w:val="0"/>
          <w:bCs/>
          <w:color w:val="auto"/>
          <w:sz w:val="24"/>
          <w:szCs w:val="24"/>
          <w:highlight w:val="none"/>
        </w:rPr>
        <w:t>浓度能够满足《环境空气质量标准》（GB3095-2012）二级标准限值要求；汞及其化合物的浓度能够满足《环境空气质量标准》（GB3095-2012）附录A表A.1参考浓度限制</w:t>
      </w:r>
      <w:r>
        <w:rPr>
          <w:rFonts w:hint="eastAsia" w:ascii="Times New Roman" w:hAnsi="Times New Roman" w:eastAsia="宋体" w:cs="Times New Roman"/>
          <w:b w:val="0"/>
          <w:bCs/>
          <w:color w:val="auto"/>
          <w:sz w:val="24"/>
          <w:szCs w:val="24"/>
          <w:highlight w:val="none"/>
          <w:lang w:eastAsia="zh-CN"/>
        </w:rPr>
        <w:t>，氨浓度能够满足《</w:t>
      </w:r>
      <w:r>
        <w:rPr>
          <w:rFonts w:hint="eastAsia" w:ascii="宋体" w:hAnsi="宋体" w:eastAsia="宋体" w:cs="宋体"/>
          <w:b w:val="0"/>
          <w:bCs/>
          <w:color w:val="000000"/>
          <w:kern w:val="0"/>
          <w:sz w:val="24"/>
          <w:szCs w:val="24"/>
          <w:lang w:val="en-US" w:eastAsia="zh-CN" w:bidi="ar"/>
        </w:rPr>
        <w:t>环境影响评价技术导则大气环境</w:t>
      </w:r>
      <w:r>
        <w:rPr>
          <w:rFonts w:hint="default" w:ascii="Times New Roman" w:hAnsi="Times New Roman" w:eastAsia="宋体" w:cs="Times New Roman"/>
          <w:b w:val="0"/>
          <w:bCs/>
          <w:color w:val="000000"/>
          <w:kern w:val="0"/>
          <w:sz w:val="24"/>
          <w:szCs w:val="24"/>
          <w:lang w:val="en-US" w:eastAsia="zh-CN" w:bidi="ar"/>
        </w:rPr>
        <w:t>(HJ 2.2-2018)</w:t>
      </w:r>
      <w:r>
        <w:rPr>
          <w:rFonts w:hint="eastAsia" w:ascii="宋体" w:hAnsi="宋体" w:eastAsia="宋体" w:cs="宋体"/>
          <w:b w:val="0"/>
          <w:bCs/>
          <w:color w:val="000000"/>
          <w:kern w:val="0"/>
          <w:sz w:val="24"/>
          <w:szCs w:val="24"/>
          <w:lang w:val="en-US" w:eastAsia="zh-CN" w:bidi="ar"/>
        </w:rPr>
        <w:t>中附录</w:t>
      </w:r>
      <w:r>
        <w:rPr>
          <w:rFonts w:hint="default" w:ascii="Times New Roman" w:hAnsi="Times New Roman" w:eastAsia="宋体" w:cs="Times New Roman"/>
          <w:b w:val="0"/>
          <w:bCs/>
          <w:color w:val="000000"/>
          <w:kern w:val="0"/>
          <w:sz w:val="24"/>
          <w:szCs w:val="24"/>
          <w:lang w:val="en-US" w:eastAsia="zh-CN" w:bidi="ar"/>
        </w:rPr>
        <w:t>D</w:t>
      </w:r>
      <w:r>
        <w:rPr>
          <w:rFonts w:hint="eastAsia" w:ascii="Times New Roman" w:hAnsi="Times New Roman" w:eastAsia="宋体" w:cs="Times New Roman"/>
          <w:b w:val="0"/>
          <w:bCs/>
          <w:color w:val="auto"/>
          <w:sz w:val="24"/>
          <w:szCs w:val="24"/>
          <w:highlight w:val="none"/>
          <w:lang w:eastAsia="zh-CN"/>
        </w:rPr>
        <w:t>》参考浓度限值</w:t>
      </w:r>
      <w:r>
        <w:rPr>
          <w:rFonts w:hint="default" w:ascii="Times New Roman" w:hAnsi="Times New Roman" w:eastAsia="宋体" w:cs="Times New Roman"/>
          <w:b w:val="0"/>
          <w:bCs/>
          <w:color w:val="auto"/>
          <w:sz w:val="24"/>
          <w:szCs w:val="24"/>
          <w:highlight w:val="none"/>
        </w:rPr>
        <w:t>。</w:t>
      </w:r>
    </w:p>
    <w:p>
      <w:pPr>
        <w:pStyle w:val="6"/>
        <w:numPr>
          <w:ilvl w:val="2"/>
          <w:numId w:val="17"/>
        </w:numPr>
        <w:tabs>
          <w:tab w:val="left" w:pos="1241"/>
        </w:tabs>
        <w:spacing w:line="360" w:lineRule="auto"/>
        <w:ind w:left="0" w:firstLine="562" w:firstLineChars="200"/>
        <w:jc w:val="both"/>
        <w:rPr>
          <w:color w:val="000000" w:themeColor="text1"/>
        </w:rPr>
      </w:pPr>
      <w:r>
        <w:rPr>
          <w:color w:val="000000" w:themeColor="text1"/>
        </w:rPr>
        <w:t>地</w:t>
      </w:r>
      <w:r>
        <w:rPr>
          <w:rFonts w:hint="eastAsia"/>
          <w:color w:val="000000" w:themeColor="text1"/>
          <w:lang w:eastAsia="zh-CN"/>
        </w:rPr>
        <w:t>表水</w:t>
      </w:r>
      <w:r>
        <w:rPr>
          <w:color w:val="000000" w:themeColor="text1"/>
        </w:rPr>
        <w:t>环境质量现状监测与评价</w:t>
      </w:r>
    </w:p>
    <w:p>
      <w:pPr>
        <w:pStyle w:val="14"/>
        <w:spacing w:line="360" w:lineRule="auto"/>
        <w:ind w:left="0" w:firstLine="480" w:firstLineChars="200"/>
        <w:jc w:val="both"/>
        <w:rPr>
          <w:rFonts w:hint="eastAsia" w:eastAsia="宋体"/>
          <w:color w:val="000000" w:themeColor="text1"/>
          <w:lang w:eastAsia="zh-CN"/>
        </w:rPr>
      </w:pPr>
      <w:r>
        <w:rPr>
          <w:rFonts w:hint="eastAsia"/>
          <w:color w:val="auto"/>
          <w:kern w:val="0"/>
          <w:sz w:val="24"/>
          <w:highlight w:val="none"/>
        </w:rPr>
        <w:t>根据《环境影响评价技术导则</w:t>
      </w:r>
      <w:r>
        <w:rPr>
          <w:rFonts w:hint="eastAsia"/>
          <w:color w:val="auto"/>
          <w:kern w:val="0"/>
          <w:sz w:val="24"/>
          <w:highlight w:val="none"/>
          <w:lang w:val="en-US" w:eastAsia="zh-CN"/>
        </w:rPr>
        <w:t xml:space="preserve"> </w:t>
      </w:r>
      <w:r>
        <w:rPr>
          <w:rFonts w:hint="eastAsia"/>
          <w:color w:val="auto"/>
          <w:kern w:val="0"/>
          <w:sz w:val="24"/>
          <w:highlight w:val="none"/>
        </w:rPr>
        <w:t>地表水环境》（HJ2.3—2018）中关于水环境影响评价工作等级的划分原则，本项目属于间接排放项目。因此，确定本项目水环境影响评价工作等级定为水污染影响型三级B。根据《环境影响评价技术导则</w:t>
      </w:r>
      <w:r>
        <w:rPr>
          <w:rFonts w:hint="eastAsia"/>
          <w:color w:val="auto"/>
          <w:kern w:val="0"/>
          <w:sz w:val="24"/>
          <w:highlight w:val="none"/>
          <w:lang w:val="en-US" w:eastAsia="zh-CN"/>
        </w:rPr>
        <w:t xml:space="preserve"> </w:t>
      </w:r>
      <w:r>
        <w:rPr>
          <w:rFonts w:hint="eastAsia"/>
          <w:color w:val="auto"/>
          <w:kern w:val="0"/>
          <w:sz w:val="24"/>
          <w:highlight w:val="none"/>
        </w:rPr>
        <w:t>地表水环境》（HJ2.3—2018）相关要求，评价等级为三级B的项目，可不开展水环境质量现状调查与评价。</w:t>
      </w:r>
    </w:p>
    <w:p>
      <w:pPr>
        <w:pStyle w:val="6"/>
        <w:numPr>
          <w:ilvl w:val="2"/>
          <w:numId w:val="17"/>
        </w:numPr>
        <w:tabs>
          <w:tab w:val="left" w:pos="1241"/>
        </w:tabs>
        <w:spacing w:line="360" w:lineRule="auto"/>
        <w:ind w:left="0" w:firstLine="562" w:firstLineChars="200"/>
        <w:jc w:val="both"/>
        <w:rPr>
          <w:color w:val="000000" w:themeColor="text1"/>
        </w:rPr>
      </w:pPr>
      <w:r>
        <w:rPr>
          <w:color w:val="000000" w:themeColor="text1"/>
        </w:rPr>
        <w:t>地下水环境质量现状监测与评价</w:t>
      </w:r>
    </w:p>
    <w:p>
      <w:pPr>
        <w:pStyle w:val="14"/>
        <w:spacing w:line="360" w:lineRule="auto"/>
        <w:ind w:left="0" w:firstLine="480" w:firstLineChars="200"/>
        <w:jc w:val="both"/>
      </w:pPr>
      <w:r>
        <w:rPr>
          <w:color w:val="auto"/>
          <w:highlight w:val="none"/>
        </w:rPr>
        <w:t>根据《</w:t>
      </w:r>
      <w:r>
        <w:rPr>
          <w:rFonts w:hint="eastAsia"/>
          <w:color w:val="auto"/>
          <w:highlight w:val="none"/>
        </w:rPr>
        <w:t>环境影响评价技术导则</w:t>
      </w:r>
      <w:r>
        <w:rPr>
          <w:rFonts w:hint="eastAsia"/>
          <w:color w:val="auto"/>
          <w:highlight w:val="none"/>
          <w:lang w:val="en-US" w:eastAsia="zh-CN"/>
        </w:rPr>
        <w:t xml:space="preserve"> </w:t>
      </w:r>
      <w:r>
        <w:rPr>
          <w:color w:val="auto"/>
          <w:highlight w:val="none"/>
        </w:rPr>
        <w:t>地下水环境》（HJ610-2016）</w:t>
      </w:r>
      <w:r>
        <w:rPr>
          <w:rFonts w:hint="eastAsia"/>
          <w:color w:val="auto"/>
          <w:highlight w:val="none"/>
          <w:lang w:eastAsia="zh-CN"/>
        </w:rPr>
        <w:t>要求：“根据建设项目对地下水环境影响的程度，结合《建设项目环境影响评价分类管理名录》，将建设项目分为四类，详见附录A。Ⅰ类、Ⅱ类、Ⅲ类建设项目的地下水环境影响评价应执行本标准，Ⅳ类建设项目不开展地下水环境影响评价”。</w:t>
      </w:r>
      <w:r>
        <w:rPr>
          <w:color w:val="auto"/>
          <w:highlight w:val="none"/>
        </w:rPr>
        <w:t>建设项目对地下水环境影响的特征，由导则附录A地下水环境影响评价行业分类表可知，本项目为“142、热力生产和供应工程”，属于Ⅳ类建设项目。依据《环境影响评价技术导则</w:t>
      </w:r>
      <w:r>
        <w:rPr>
          <w:rFonts w:hint="eastAsia"/>
          <w:color w:val="auto"/>
          <w:highlight w:val="none"/>
          <w:lang w:val="en-US" w:eastAsia="zh-CN"/>
        </w:rPr>
        <w:t xml:space="preserve"> </w:t>
      </w:r>
      <w:r>
        <w:rPr>
          <w:color w:val="auto"/>
          <w:highlight w:val="none"/>
        </w:rPr>
        <w:t>地下水环境》（HJ610-2016）要求，Ⅳ类建设项目不开展地下水环境影响评价。</w:t>
      </w:r>
      <w:r>
        <w:rPr>
          <w:bCs/>
          <w:color w:val="auto"/>
          <w:sz w:val="24"/>
          <w:highlight w:val="none"/>
        </w:rPr>
        <w:t>无需进行地下水现状调查。</w:t>
      </w:r>
    </w:p>
    <w:p>
      <w:pPr>
        <w:pStyle w:val="6"/>
        <w:numPr>
          <w:ilvl w:val="2"/>
          <w:numId w:val="17"/>
        </w:numPr>
        <w:tabs>
          <w:tab w:val="left" w:pos="1241"/>
        </w:tabs>
        <w:spacing w:line="360" w:lineRule="auto"/>
        <w:ind w:left="0" w:firstLine="562" w:firstLineChars="200"/>
        <w:jc w:val="both"/>
      </w:pPr>
      <w:bookmarkStart w:id="153" w:name="4.2.3_声环境质量现状监测与评价"/>
      <w:bookmarkEnd w:id="153"/>
      <w:r>
        <w:t>声环境质量现状监测与评价</w:t>
      </w:r>
    </w:p>
    <w:p>
      <w:pPr>
        <w:spacing w:line="360" w:lineRule="auto"/>
        <w:ind w:firstLine="480" w:firstLineChars="200"/>
        <w:jc w:val="both"/>
        <w:outlineLvl w:val="3"/>
        <w:rPr>
          <w:rFonts w:ascii="Times New Roman" w:hAnsi="Times New Roman" w:cs="Times New Roman"/>
          <w:color w:val="000000"/>
          <w:sz w:val="24"/>
        </w:rPr>
      </w:pPr>
      <w:bookmarkStart w:id="154" w:name="_Toc341109633"/>
      <w:r>
        <w:rPr>
          <w:rFonts w:ascii="Times New Roman" w:hAnsi="Times New Roman" w:cs="Times New Roman"/>
          <w:color w:val="000000"/>
          <w:sz w:val="24"/>
        </w:rPr>
        <w:t>4.</w:t>
      </w:r>
      <w:r>
        <w:rPr>
          <w:rFonts w:hint="eastAsia" w:ascii="Times New Roman" w:hAnsi="Times New Roman" w:cs="Times New Roman"/>
          <w:color w:val="000000"/>
          <w:sz w:val="24"/>
          <w:lang w:val="en-US"/>
        </w:rPr>
        <w:t>2</w:t>
      </w:r>
      <w:r>
        <w:rPr>
          <w:rFonts w:ascii="Times New Roman" w:hAnsi="Times New Roman" w:cs="Times New Roman"/>
          <w:color w:val="000000"/>
          <w:sz w:val="24"/>
        </w:rPr>
        <w:t>.</w:t>
      </w:r>
      <w:r>
        <w:rPr>
          <w:rFonts w:hint="eastAsia" w:ascii="Times New Roman" w:hAnsi="Times New Roman" w:cs="Times New Roman"/>
          <w:color w:val="000000"/>
          <w:sz w:val="24"/>
          <w:lang w:val="en-US"/>
        </w:rPr>
        <w:t>3</w:t>
      </w:r>
      <w:r>
        <w:rPr>
          <w:rFonts w:ascii="Times New Roman" w:hAnsi="Times New Roman" w:cs="Times New Roman"/>
          <w:color w:val="000000"/>
          <w:sz w:val="24"/>
        </w:rPr>
        <w:t>.1监测布点</w:t>
      </w:r>
      <w:bookmarkEnd w:id="154"/>
    </w:p>
    <w:p>
      <w:pPr>
        <w:spacing w:line="360" w:lineRule="auto"/>
        <w:ind w:firstLine="480" w:firstLineChars="200"/>
        <w:jc w:val="both"/>
        <w:rPr>
          <w:rFonts w:ascii="Times New Roman" w:hAnsi="Times New Roman" w:cs="Times New Roman"/>
          <w:color w:val="000000"/>
          <w:sz w:val="24"/>
        </w:rPr>
      </w:pPr>
      <w:r>
        <w:rPr>
          <w:rFonts w:ascii="Times New Roman" w:hAnsi="Times New Roman" w:cs="Times New Roman"/>
          <w:color w:val="000000"/>
          <w:sz w:val="24"/>
        </w:rPr>
        <w:t>监测布点：在项目区东、南、西、北方向厂界外1m处各布设1个监测点位，共布设4个监测点。</w:t>
      </w:r>
    </w:p>
    <w:p>
      <w:pPr>
        <w:spacing w:line="360" w:lineRule="auto"/>
        <w:ind w:firstLine="480" w:firstLineChars="200"/>
        <w:jc w:val="both"/>
        <w:outlineLvl w:val="3"/>
        <w:rPr>
          <w:rFonts w:ascii="Times New Roman" w:hAnsi="Times New Roman" w:cs="Times New Roman"/>
          <w:color w:val="000000"/>
          <w:sz w:val="24"/>
        </w:rPr>
      </w:pPr>
      <w:bookmarkStart w:id="155" w:name="_Toc341109634"/>
      <w:r>
        <w:rPr>
          <w:rFonts w:ascii="Times New Roman" w:hAnsi="Times New Roman" w:cs="Times New Roman"/>
          <w:color w:val="000000"/>
          <w:sz w:val="24"/>
        </w:rPr>
        <w:t>4.</w:t>
      </w:r>
      <w:r>
        <w:rPr>
          <w:rFonts w:hint="eastAsia" w:ascii="Times New Roman" w:hAnsi="Times New Roman" w:cs="Times New Roman"/>
          <w:color w:val="000000"/>
          <w:sz w:val="24"/>
          <w:lang w:val="en-US"/>
        </w:rPr>
        <w:t>2</w:t>
      </w:r>
      <w:r>
        <w:rPr>
          <w:rFonts w:ascii="Times New Roman" w:hAnsi="Times New Roman" w:cs="Times New Roman"/>
          <w:color w:val="000000"/>
          <w:sz w:val="24"/>
        </w:rPr>
        <w:t>.</w:t>
      </w:r>
      <w:r>
        <w:rPr>
          <w:rFonts w:hint="eastAsia" w:ascii="Times New Roman" w:hAnsi="Times New Roman" w:cs="Times New Roman"/>
          <w:color w:val="000000"/>
          <w:sz w:val="24"/>
          <w:lang w:val="en-US"/>
        </w:rPr>
        <w:t>3</w:t>
      </w:r>
      <w:r>
        <w:rPr>
          <w:rFonts w:ascii="Times New Roman" w:hAnsi="Times New Roman" w:cs="Times New Roman"/>
          <w:color w:val="000000"/>
          <w:sz w:val="24"/>
        </w:rPr>
        <w:t>.2监测时段及监测方法</w:t>
      </w:r>
      <w:bookmarkEnd w:id="155"/>
    </w:p>
    <w:p>
      <w:pPr>
        <w:spacing w:line="360" w:lineRule="auto"/>
        <w:ind w:firstLine="480" w:firstLineChars="200"/>
        <w:jc w:val="both"/>
        <w:rPr>
          <w:rFonts w:ascii="Times New Roman" w:hAnsi="Times New Roman" w:cs="Times New Roman"/>
          <w:color w:val="000000"/>
          <w:sz w:val="24"/>
        </w:rPr>
      </w:pPr>
      <w:r>
        <w:rPr>
          <w:rFonts w:ascii="Times New Roman" w:hAnsi="Times New Roman" w:cs="Times New Roman"/>
          <w:color w:val="0000FF"/>
          <w:sz w:val="24"/>
        </w:rPr>
        <w:t>监测时间：20</w:t>
      </w:r>
      <w:r>
        <w:rPr>
          <w:rFonts w:hint="eastAsia" w:ascii="Times New Roman" w:hAnsi="Times New Roman" w:cs="Times New Roman"/>
          <w:color w:val="0000FF"/>
          <w:sz w:val="24"/>
          <w:lang w:val="en-US"/>
        </w:rPr>
        <w:t>2</w:t>
      </w:r>
      <w:r>
        <w:rPr>
          <w:rFonts w:hint="eastAsia" w:cs="Times New Roman"/>
          <w:color w:val="0000FF"/>
          <w:sz w:val="24"/>
          <w:lang w:val="en-US" w:eastAsia="zh-CN"/>
        </w:rPr>
        <w:t>3</w:t>
      </w:r>
      <w:r>
        <w:rPr>
          <w:rFonts w:ascii="Times New Roman" w:hAnsi="Times New Roman" w:cs="Times New Roman"/>
          <w:color w:val="0000FF"/>
          <w:sz w:val="24"/>
        </w:rPr>
        <w:t>年</w:t>
      </w:r>
      <w:r>
        <w:rPr>
          <w:rFonts w:hint="eastAsia" w:ascii="Times New Roman" w:hAnsi="Times New Roman" w:cs="Times New Roman"/>
          <w:color w:val="0000FF"/>
          <w:sz w:val="24"/>
          <w:lang w:val="en-US" w:eastAsia="zh-CN"/>
        </w:rPr>
        <w:t>7</w:t>
      </w:r>
      <w:r>
        <w:rPr>
          <w:rFonts w:ascii="Times New Roman" w:hAnsi="Times New Roman" w:cs="Times New Roman"/>
          <w:color w:val="0000FF"/>
          <w:sz w:val="24"/>
        </w:rPr>
        <w:t>月</w:t>
      </w:r>
      <w:r>
        <w:rPr>
          <w:rFonts w:hint="eastAsia" w:cs="Times New Roman"/>
          <w:color w:val="0000FF"/>
          <w:sz w:val="24"/>
          <w:lang w:val="en-US" w:eastAsia="zh-CN"/>
        </w:rPr>
        <w:t>18</w:t>
      </w:r>
      <w:r>
        <w:rPr>
          <w:rFonts w:ascii="Times New Roman" w:hAnsi="Times New Roman" w:cs="Times New Roman"/>
          <w:color w:val="0000FF"/>
          <w:sz w:val="24"/>
        </w:rPr>
        <w:t>日</w:t>
      </w:r>
      <w:r>
        <w:rPr>
          <w:rFonts w:hint="eastAsia" w:cs="Times New Roman"/>
          <w:color w:val="0000FF"/>
          <w:sz w:val="24"/>
          <w:lang w:val="en-US" w:eastAsia="zh-CN"/>
        </w:rPr>
        <w:t>-19日</w:t>
      </w:r>
      <w:r>
        <w:rPr>
          <w:rFonts w:ascii="Times New Roman" w:hAnsi="Times New Roman" w:cs="Times New Roman"/>
          <w:color w:val="0000FF"/>
          <w:sz w:val="24"/>
        </w:rPr>
        <w:t>，</w:t>
      </w:r>
      <w:r>
        <w:rPr>
          <w:rFonts w:ascii="Times New Roman" w:hAnsi="Times New Roman" w:cs="Times New Roman"/>
          <w:color w:val="000000"/>
          <w:sz w:val="24"/>
        </w:rPr>
        <w:t>分昼间和夜间两时段监测。监测方法：按照《声环境质量标准》（GB3096-2008）中的有关规定进行监测。</w:t>
      </w:r>
    </w:p>
    <w:p>
      <w:pPr>
        <w:spacing w:line="360" w:lineRule="auto"/>
        <w:ind w:firstLine="480" w:firstLineChars="200"/>
        <w:jc w:val="both"/>
        <w:outlineLvl w:val="3"/>
        <w:rPr>
          <w:rFonts w:ascii="Times New Roman" w:hAnsi="Times New Roman" w:cs="Times New Roman"/>
          <w:color w:val="000000"/>
          <w:sz w:val="24"/>
        </w:rPr>
      </w:pPr>
      <w:bookmarkStart w:id="156" w:name="_Toc341109635"/>
      <w:r>
        <w:rPr>
          <w:rFonts w:ascii="Times New Roman" w:hAnsi="Times New Roman" w:cs="Times New Roman"/>
          <w:color w:val="000000"/>
          <w:sz w:val="24"/>
        </w:rPr>
        <w:t>4.</w:t>
      </w:r>
      <w:r>
        <w:rPr>
          <w:rFonts w:hint="eastAsia" w:ascii="Times New Roman" w:hAnsi="Times New Roman" w:cs="Times New Roman"/>
          <w:color w:val="000000"/>
          <w:sz w:val="24"/>
          <w:lang w:val="en-US"/>
        </w:rPr>
        <w:t>2</w:t>
      </w:r>
      <w:r>
        <w:rPr>
          <w:rFonts w:ascii="Times New Roman" w:hAnsi="Times New Roman" w:cs="Times New Roman"/>
          <w:color w:val="000000"/>
          <w:sz w:val="24"/>
        </w:rPr>
        <w:t>.</w:t>
      </w:r>
      <w:r>
        <w:rPr>
          <w:rFonts w:hint="eastAsia" w:ascii="Times New Roman" w:hAnsi="Times New Roman" w:cs="Times New Roman"/>
          <w:color w:val="000000"/>
          <w:sz w:val="24"/>
          <w:lang w:val="en-US"/>
        </w:rPr>
        <w:t>3</w:t>
      </w:r>
      <w:r>
        <w:rPr>
          <w:rFonts w:ascii="Times New Roman" w:hAnsi="Times New Roman" w:cs="Times New Roman"/>
          <w:color w:val="000000"/>
          <w:sz w:val="24"/>
        </w:rPr>
        <w:t>.3评价标准</w:t>
      </w:r>
      <w:bookmarkEnd w:id="156"/>
      <w:r>
        <w:rPr>
          <w:rFonts w:ascii="Times New Roman" w:hAnsi="Times New Roman" w:cs="Times New Roman"/>
          <w:color w:val="000000"/>
          <w:sz w:val="24"/>
        </w:rPr>
        <w:t>和评价方法</w:t>
      </w:r>
    </w:p>
    <w:p>
      <w:pPr>
        <w:spacing w:line="360" w:lineRule="auto"/>
        <w:ind w:firstLine="480" w:firstLineChars="200"/>
        <w:jc w:val="both"/>
        <w:rPr>
          <w:rFonts w:ascii="Times New Roman" w:hAnsi="Times New Roman" w:cs="Times New Roman"/>
          <w:color w:val="000000"/>
          <w:sz w:val="24"/>
        </w:rPr>
      </w:pPr>
      <w:r>
        <w:rPr>
          <w:rFonts w:ascii="Times New Roman" w:hAnsi="Times New Roman" w:cs="Times New Roman"/>
          <w:color w:val="000000"/>
          <w:sz w:val="24"/>
        </w:rPr>
        <w:t>根据本项目实际情况，项目区执行《声环境质量标准》（GB3096-2008）中</w:t>
      </w:r>
      <w:r>
        <w:rPr>
          <w:rFonts w:hint="eastAsia" w:cs="Times New Roman"/>
          <w:color w:val="000000"/>
          <w:sz w:val="24"/>
          <w:lang w:val="en-US" w:eastAsia="zh-CN"/>
        </w:rPr>
        <w:t>3</w:t>
      </w:r>
      <w:r>
        <w:rPr>
          <w:rFonts w:ascii="Times New Roman" w:hAnsi="Times New Roman" w:cs="Times New Roman"/>
          <w:color w:val="000000"/>
          <w:sz w:val="24"/>
        </w:rPr>
        <w:t>类声环境功能区标准，昼间6</w:t>
      </w:r>
      <w:r>
        <w:rPr>
          <w:rFonts w:hint="eastAsia" w:cs="Times New Roman"/>
          <w:color w:val="000000"/>
          <w:sz w:val="24"/>
          <w:lang w:val="en-US" w:eastAsia="zh-CN"/>
        </w:rPr>
        <w:t>5</w:t>
      </w:r>
      <w:r>
        <w:rPr>
          <w:rFonts w:ascii="Times New Roman" w:hAnsi="Times New Roman" w:cs="Times New Roman"/>
          <w:color w:val="000000"/>
          <w:sz w:val="24"/>
        </w:rPr>
        <w:t>dB(A</w:t>
      </w:r>
      <w:r>
        <w:rPr>
          <w:rFonts w:ascii="Times New Roman" w:hAnsi="Times New Roman" w:cs="Times New Roman"/>
          <w:color w:val="000000"/>
        </w:rPr>
        <w:t>)</w:t>
      </w:r>
      <w:r>
        <w:rPr>
          <w:rFonts w:ascii="Times New Roman" w:hAnsi="Times New Roman" w:cs="Times New Roman"/>
          <w:color w:val="000000"/>
          <w:sz w:val="24"/>
        </w:rPr>
        <w:t>，夜间5</w:t>
      </w:r>
      <w:r>
        <w:rPr>
          <w:rFonts w:hint="eastAsia" w:cs="Times New Roman"/>
          <w:color w:val="000000"/>
          <w:sz w:val="24"/>
          <w:lang w:val="en-US" w:eastAsia="zh-CN"/>
        </w:rPr>
        <w:t>5</w:t>
      </w:r>
      <w:r>
        <w:rPr>
          <w:rFonts w:ascii="Times New Roman" w:hAnsi="Times New Roman" w:cs="Times New Roman"/>
          <w:color w:val="000000"/>
          <w:sz w:val="24"/>
        </w:rPr>
        <w:t>dB(A)。</w:t>
      </w:r>
    </w:p>
    <w:p>
      <w:pPr>
        <w:spacing w:line="360" w:lineRule="auto"/>
        <w:ind w:firstLine="480" w:firstLineChars="200"/>
        <w:jc w:val="both"/>
        <w:rPr>
          <w:rFonts w:ascii="Times New Roman" w:hAnsi="Times New Roman" w:cs="Times New Roman"/>
          <w:color w:val="000000"/>
          <w:sz w:val="24"/>
        </w:rPr>
      </w:pPr>
      <w:r>
        <w:rPr>
          <w:rFonts w:ascii="Times New Roman" w:hAnsi="Times New Roman" w:cs="Times New Roman"/>
          <w:color w:val="000000"/>
          <w:sz w:val="24"/>
        </w:rPr>
        <w:t>评价方法：与标准值直接比对法。</w:t>
      </w:r>
    </w:p>
    <w:p>
      <w:pPr>
        <w:spacing w:line="360" w:lineRule="auto"/>
        <w:ind w:firstLine="480" w:firstLineChars="200"/>
        <w:jc w:val="both"/>
        <w:outlineLvl w:val="3"/>
        <w:rPr>
          <w:rFonts w:ascii="Times New Roman" w:hAnsi="Times New Roman" w:cs="Times New Roman"/>
          <w:color w:val="000000"/>
          <w:sz w:val="24"/>
        </w:rPr>
      </w:pPr>
      <w:bookmarkStart w:id="157" w:name="_Toc341109636"/>
      <w:r>
        <w:rPr>
          <w:rFonts w:ascii="Times New Roman" w:hAnsi="Times New Roman" w:cs="Times New Roman"/>
          <w:color w:val="000000"/>
          <w:sz w:val="24"/>
        </w:rPr>
        <w:t>4.</w:t>
      </w:r>
      <w:r>
        <w:rPr>
          <w:rFonts w:hint="eastAsia" w:ascii="Times New Roman" w:hAnsi="Times New Roman" w:cs="Times New Roman"/>
          <w:color w:val="000000"/>
          <w:sz w:val="24"/>
          <w:lang w:val="en-US"/>
        </w:rPr>
        <w:t>2</w:t>
      </w:r>
      <w:r>
        <w:rPr>
          <w:rFonts w:ascii="Times New Roman" w:hAnsi="Times New Roman" w:cs="Times New Roman"/>
          <w:color w:val="000000"/>
          <w:sz w:val="24"/>
        </w:rPr>
        <w:t>.</w:t>
      </w:r>
      <w:r>
        <w:rPr>
          <w:rFonts w:hint="eastAsia" w:ascii="Times New Roman" w:hAnsi="Times New Roman" w:cs="Times New Roman"/>
          <w:color w:val="000000"/>
          <w:sz w:val="24"/>
          <w:lang w:val="en-US"/>
        </w:rPr>
        <w:t>3</w:t>
      </w:r>
      <w:r>
        <w:rPr>
          <w:rFonts w:ascii="Times New Roman" w:hAnsi="Times New Roman" w:cs="Times New Roman"/>
          <w:color w:val="000000"/>
          <w:sz w:val="24"/>
        </w:rPr>
        <w:t>.4现状监测结果</w:t>
      </w:r>
      <w:bookmarkEnd w:id="157"/>
    </w:p>
    <w:p>
      <w:pPr>
        <w:spacing w:line="360" w:lineRule="auto"/>
        <w:ind w:firstLine="480" w:firstLineChars="200"/>
        <w:jc w:val="both"/>
        <w:rPr>
          <w:rFonts w:ascii="Times New Roman" w:hAnsi="Times New Roman" w:cs="Times New Roman"/>
          <w:b/>
          <w:color w:val="000000"/>
        </w:rPr>
      </w:pPr>
      <w:r>
        <w:rPr>
          <w:rFonts w:ascii="Times New Roman" w:hAnsi="Times New Roman" w:cs="Times New Roman"/>
          <w:color w:val="000000"/>
          <w:sz w:val="24"/>
        </w:rPr>
        <w:t>环境现状监测结果见表4.</w:t>
      </w:r>
      <w:r>
        <w:rPr>
          <w:rFonts w:hint="eastAsia" w:ascii="Times New Roman" w:hAnsi="Times New Roman" w:cs="Times New Roman"/>
          <w:color w:val="000000"/>
          <w:sz w:val="24"/>
          <w:lang w:val="en-US"/>
        </w:rPr>
        <w:t>2</w:t>
      </w:r>
      <w:r>
        <w:rPr>
          <w:rFonts w:ascii="Times New Roman" w:hAnsi="Times New Roman" w:cs="Times New Roman"/>
          <w:color w:val="000000"/>
          <w:sz w:val="24"/>
        </w:rPr>
        <w:t>-</w:t>
      </w:r>
      <w:r>
        <w:rPr>
          <w:rFonts w:hint="eastAsia" w:ascii="Times New Roman" w:hAnsi="Times New Roman" w:cs="Times New Roman"/>
          <w:color w:val="000000"/>
          <w:sz w:val="24"/>
          <w:lang w:val="en-US"/>
        </w:rPr>
        <w:t>8</w:t>
      </w:r>
      <w:r>
        <w:rPr>
          <w:rFonts w:ascii="Times New Roman" w:hAnsi="Times New Roman" w:cs="Times New Roman"/>
          <w:color w:val="000000"/>
          <w:sz w:val="24"/>
        </w:rPr>
        <w:t>。</w:t>
      </w:r>
    </w:p>
    <w:p>
      <w:pPr>
        <w:tabs>
          <w:tab w:val="left" w:pos="4095"/>
        </w:tabs>
        <w:jc w:val="center"/>
        <w:rPr>
          <w:rFonts w:ascii="Times New Roman" w:hAnsi="Times New Roman" w:cs="Times New Roman"/>
          <w:color w:val="000000"/>
          <w:sz w:val="21"/>
          <w:szCs w:val="21"/>
        </w:rPr>
      </w:pPr>
      <w:r>
        <w:rPr>
          <w:rFonts w:ascii="Times New Roman" w:hAnsi="Times New Roman" w:cs="Times New Roman"/>
          <w:b/>
          <w:color w:val="000000"/>
          <w:sz w:val="21"/>
          <w:szCs w:val="21"/>
        </w:rPr>
        <w:t>表4.</w:t>
      </w:r>
      <w:r>
        <w:rPr>
          <w:rFonts w:hint="eastAsia" w:ascii="Times New Roman" w:hAnsi="Times New Roman" w:cs="Times New Roman"/>
          <w:b/>
          <w:color w:val="000000"/>
          <w:sz w:val="21"/>
          <w:szCs w:val="21"/>
          <w:lang w:val="en-US"/>
        </w:rPr>
        <w:t>2</w:t>
      </w:r>
      <w:r>
        <w:rPr>
          <w:rFonts w:ascii="Times New Roman" w:hAnsi="Times New Roman" w:cs="Times New Roman"/>
          <w:b/>
          <w:color w:val="000000"/>
          <w:sz w:val="21"/>
          <w:szCs w:val="21"/>
        </w:rPr>
        <w:t>-</w:t>
      </w:r>
      <w:r>
        <w:rPr>
          <w:rFonts w:hint="eastAsia" w:ascii="Times New Roman" w:hAnsi="Times New Roman" w:cs="Times New Roman"/>
          <w:b/>
          <w:color w:val="000000"/>
          <w:sz w:val="21"/>
          <w:szCs w:val="21"/>
          <w:lang w:val="en-US"/>
        </w:rPr>
        <w:t>8</w:t>
      </w:r>
      <w:r>
        <w:rPr>
          <w:rFonts w:ascii="Times New Roman" w:hAnsi="Times New Roman" w:cs="Times New Roman"/>
          <w:b/>
          <w:color w:val="000000"/>
          <w:sz w:val="21"/>
          <w:szCs w:val="21"/>
        </w:rPr>
        <w:t xml:space="preserve">  声环境质量现状监测结果           单位：dB(A)</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458"/>
        <w:gridCol w:w="1583"/>
        <w:gridCol w:w="1587"/>
        <w:gridCol w:w="1353"/>
        <w:gridCol w:w="154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6" w:hRule="exact"/>
          <w:tblHeader/>
          <w:jc w:val="center"/>
        </w:trPr>
        <w:tc>
          <w:tcPr>
            <w:tcW w:w="2458"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监测点</w:t>
            </w:r>
          </w:p>
        </w:tc>
        <w:tc>
          <w:tcPr>
            <w:tcW w:w="317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昼间</w:t>
            </w:r>
          </w:p>
        </w:tc>
        <w:tc>
          <w:tcPr>
            <w:tcW w:w="2894"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6" w:hRule="exact"/>
          <w:tblHeader/>
          <w:jc w:val="center"/>
        </w:trPr>
        <w:tc>
          <w:tcPr>
            <w:tcW w:w="2458"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color w:val="000000"/>
                <w:sz w:val="21"/>
                <w:szCs w:val="21"/>
              </w:rPr>
            </w:pPr>
          </w:p>
        </w:tc>
        <w:tc>
          <w:tcPr>
            <w:tcW w:w="1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监测值</w:t>
            </w:r>
          </w:p>
        </w:tc>
        <w:tc>
          <w:tcPr>
            <w:tcW w:w="158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标准值</w:t>
            </w:r>
          </w:p>
        </w:tc>
        <w:tc>
          <w:tcPr>
            <w:tcW w:w="13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监测值</w:t>
            </w:r>
          </w:p>
        </w:tc>
        <w:tc>
          <w:tcPr>
            <w:tcW w:w="15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6" w:hRule="exact"/>
          <w:jc w:val="center"/>
        </w:trPr>
        <w:tc>
          <w:tcPr>
            <w:tcW w:w="245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场界东1＃</w:t>
            </w:r>
          </w:p>
        </w:tc>
        <w:tc>
          <w:tcPr>
            <w:tcW w:w="15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rPr>
              <w:t>43.7</w:t>
            </w:r>
          </w:p>
        </w:tc>
        <w:tc>
          <w:tcPr>
            <w:tcW w:w="1587"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65</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bidi="ar-SA"/>
              </w:rPr>
              <w:t>37.5</w:t>
            </w:r>
          </w:p>
        </w:tc>
        <w:tc>
          <w:tcPr>
            <w:tcW w:w="154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6" w:hRule="exact"/>
          <w:jc w:val="center"/>
        </w:trPr>
        <w:tc>
          <w:tcPr>
            <w:tcW w:w="245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场界南2＃</w:t>
            </w:r>
          </w:p>
        </w:tc>
        <w:tc>
          <w:tcPr>
            <w:tcW w:w="15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rPr>
              <w:t>44.6</w:t>
            </w:r>
          </w:p>
        </w:tc>
        <w:tc>
          <w:tcPr>
            <w:tcW w:w="1587"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65</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bidi="ar-SA"/>
              </w:rPr>
              <w:t>37.3</w:t>
            </w:r>
          </w:p>
        </w:tc>
        <w:tc>
          <w:tcPr>
            <w:tcW w:w="154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6" w:hRule="exact"/>
          <w:jc w:val="center"/>
        </w:trPr>
        <w:tc>
          <w:tcPr>
            <w:tcW w:w="245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场界西3＃</w:t>
            </w:r>
          </w:p>
        </w:tc>
        <w:tc>
          <w:tcPr>
            <w:tcW w:w="15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rPr>
              <w:t>42.4</w:t>
            </w:r>
          </w:p>
        </w:tc>
        <w:tc>
          <w:tcPr>
            <w:tcW w:w="1587"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65</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bidi="ar-SA"/>
              </w:rPr>
              <w:t>36.6</w:t>
            </w:r>
          </w:p>
        </w:tc>
        <w:tc>
          <w:tcPr>
            <w:tcW w:w="154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6" w:hRule="exact"/>
          <w:jc w:val="center"/>
        </w:trPr>
        <w:tc>
          <w:tcPr>
            <w:tcW w:w="245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场界北4＃</w:t>
            </w:r>
          </w:p>
        </w:tc>
        <w:tc>
          <w:tcPr>
            <w:tcW w:w="158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lang w:val="en-US" w:eastAsia="zh-CN"/>
              </w:rPr>
              <w:t>43.8</w:t>
            </w:r>
          </w:p>
        </w:tc>
        <w:tc>
          <w:tcPr>
            <w:tcW w:w="1587"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65</w:t>
            </w:r>
          </w:p>
        </w:tc>
        <w:tc>
          <w:tcPr>
            <w:tcW w:w="13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37.0</w:t>
            </w:r>
          </w:p>
        </w:tc>
        <w:tc>
          <w:tcPr>
            <w:tcW w:w="154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55</w:t>
            </w:r>
          </w:p>
        </w:tc>
      </w:tr>
    </w:tbl>
    <w:p>
      <w:pPr>
        <w:spacing w:line="360" w:lineRule="auto"/>
        <w:ind w:firstLine="480" w:firstLineChars="200"/>
        <w:jc w:val="both"/>
        <w:outlineLvl w:val="3"/>
        <w:rPr>
          <w:rFonts w:ascii="Times New Roman" w:hAnsi="Times New Roman" w:cs="Times New Roman"/>
          <w:color w:val="000000"/>
          <w:sz w:val="24"/>
        </w:rPr>
      </w:pPr>
      <w:bookmarkStart w:id="158" w:name="_Toc341109637"/>
      <w:r>
        <w:rPr>
          <w:rFonts w:ascii="Times New Roman" w:hAnsi="Times New Roman" w:cs="Times New Roman"/>
          <w:color w:val="000000"/>
          <w:sz w:val="24"/>
        </w:rPr>
        <w:t>4.</w:t>
      </w:r>
      <w:r>
        <w:rPr>
          <w:rFonts w:ascii="Times New Roman" w:hAnsi="Times New Roman" w:cs="Times New Roman"/>
          <w:color w:val="000000"/>
          <w:sz w:val="24"/>
          <w:lang w:val="en-US"/>
        </w:rPr>
        <w:t>2</w:t>
      </w:r>
      <w:r>
        <w:rPr>
          <w:rFonts w:ascii="Times New Roman" w:hAnsi="Times New Roman" w:cs="Times New Roman"/>
          <w:color w:val="000000"/>
          <w:sz w:val="24"/>
        </w:rPr>
        <w:t>.</w:t>
      </w:r>
      <w:r>
        <w:rPr>
          <w:rFonts w:ascii="Times New Roman" w:hAnsi="Times New Roman" w:cs="Times New Roman"/>
          <w:color w:val="000000"/>
          <w:sz w:val="24"/>
          <w:lang w:val="en-US"/>
        </w:rPr>
        <w:t>3</w:t>
      </w:r>
      <w:r>
        <w:rPr>
          <w:rFonts w:ascii="Times New Roman" w:hAnsi="Times New Roman" w:cs="Times New Roman"/>
          <w:color w:val="000000"/>
          <w:sz w:val="24"/>
        </w:rPr>
        <w:t>.5声环境质量现状评价</w:t>
      </w:r>
      <w:bookmarkEnd w:id="158"/>
    </w:p>
    <w:p>
      <w:pPr>
        <w:pStyle w:val="14"/>
        <w:spacing w:line="360" w:lineRule="auto"/>
        <w:ind w:left="0" w:firstLine="480" w:firstLineChars="200"/>
        <w:jc w:val="both"/>
        <w:rPr>
          <w:rFonts w:ascii="Times New Roman" w:hAnsi="Times New Roman" w:cs="Times New Roman"/>
        </w:rPr>
      </w:pPr>
      <w:r>
        <w:rPr>
          <w:rFonts w:ascii="Times New Roman" w:hAnsi="Times New Roman" w:cs="Times New Roman"/>
          <w:color w:val="000000"/>
        </w:rPr>
        <w:t>由表4.</w:t>
      </w:r>
      <w:r>
        <w:rPr>
          <w:rFonts w:ascii="Times New Roman" w:hAnsi="Times New Roman" w:cs="Times New Roman"/>
          <w:color w:val="000000"/>
          <w:lang w:val="en-US"/>
        </w:rPr>
        <w:t>2</w:t>
      </w:r>
      <w:r>
        <w:rPr>
          <w:rFonts w:ascii="Times New Roman" w:hAnsi="Times New Roman" w:cs="Times New Roman"/>
          <w:color w:val="000000"/>
        </w:rPr>
        <w:t>-</w:t>
      </w:r>
      <w:r>
        <w:rPr>
          <w:rFonts w:hint="eastAsia" w:ascii="Times New Roman" w:hAnsi="Times New Roman" w:cs="Times New Roman"/>
          <w:color w:val="000000"/>
          <w:lang w:val="en-US"/>
        </w:rPr>
        <w:t>8</w:t>
      </w:r>
      <w:r>
        <w:rPr>
          <w:rFonts w:ascii="Times New Roman" w:hAnsi="Times New Roman" w:cs="Times New Roman"/>
          <w:color w:val="000000"/>
        </w:rPr>
        <w:t>可知，项目区厂界四周监测点声环境质量监测值均符合《声环境质量标准》（GB3096-2008）中</w:t>
      </w:r>
      <w:r>
        <w:rPr>
          <w:rFonts w:hint="eastAsia" w:cs="Times New Roman"/>
          <w:color w:val="000000"/>
          <w:lang w:val="en-US" w:eastAsia="zh-CN"/>
        </w:rPr>
        <w:t>3</w:t>
      </w:r>
      <w:r>
        <w:rPr>
          <w:rFonts w:ascii="Times New Roman" w:hAnsi="Times New Roman" w:cs="Times New Roman"/>
          <w:color w:val="000000"/>
        </w:rPr>
        <w:t>类声环境功能区标准。项目区声环境质量现状较好。</w:t>
      </w:r>
    </w:p>
    <w:p>
      <w:pPr>
        <w:pStyle w:val="6"/>
        <w:numPr>
          <w:ilvl w:val="2"/>
          <w:numId w:val="17"/>
        </w:numPr>
        <w:tabs>
          <w:tab w:val="left" w:pos="1241"/>
        </w:tabs>
        <w:spacing w:line="360" w:lineRule="auto"/>
        <w:ind w:left="0" w:firstLine="562" w:firstLineChars="200"/>
        <w:jc w:val="both"/>
        <w:rPr>
          <w:rFonts w:ascii="Times New Roman" w:hAnsi="Times New Roman" w:cs="Times New Roman"/>
        </w:rPr>
      </w:pPr>
      <w:bookmarkStart w:id="159" w:name="4.2.4_土壤环境质量现状与评价"/>
      <w:bookmarkEnd w:id="159"/>
      <w:r>
        <w:rPr>
          <w:rFonts w:ascii="Times New Roman" w:hAnsi="Times New Roman" w:cs="Times New Roman"/>
        </w:rPr>
        <w:t>土壤环境质量现状与评价</w:t>
      </w:r>
    </w:p>
    <w:p>
      <w:pPr>
        <w:spacing w:line="360" w:lineRule="auto"/>
        <w:ind w:firstLine="480" w:firstLineChars="200"/>
        <w:rPr>
          <w:bCs/>
          <w:color w:val="auto"/>
          <w:sz w:val="24"/>
          <w:szCs w:val="24"/>
          <w:highlight w:val="none"/>
        </w:rPr>
      </w:pPr>
      <w:r>
        <w:rPr>
          <w:color w:val="auto"/>
          <w:sz w:val="24"/>
          <w:szCs w:val="24"/>
          <w:highlight w:val="none"/>
        </w:rPr>
        <w:t>本项目</w:t>
      </w:r>
      <w:r>
        <w:rPr>
          <w:bCs/>
          <w:color w:val="auto"/>
          <w:sz w:val="24"/>
          <w:szCs w:val="24"/>
          <w:highlight w:val="none"/>
        </w:rPr>
        <w:t>土壤环境质量现状委托</w:t>
      </w:r>
      <w:r>
        <w:rPr>
          <w:rFonts w:hint="eastAsia"/>
          <w:bCs/>
          <w:color w:val="auto"/>
          <w:sz w:val="24"/>
          <w:szCs w:val="24"/>
          <w:highlight w:val="none"/>
          <w:lang w:eastAsia="zh-CN"/>
        </w:rPr>
        <w:t>新疆天蓝水清环境监测技术有限公司</w:t>
      </w:r>
      <w:r>
        <w:rPr>
          <w:bCs/>
          <w:color w:val="auto"/>
          <w:sz w:val="24"/>
          <w:szCs w:val="24"/>
          <w:highlight w:val="none"/>
        </w:rPr>
        <w:t>对项目区内土壤进行监测，取样日期为20</w:t>
      </w:r>
      <w:r>
        <w:rPr>
          <w:rFonts w:hint="eastAsia"/>
          <w:bCs/>
          <w:color w:val="auto"/>
          <w:sz w:val="24"/>
          <w:szCs w:val="24"/>
          <w:highlight w:val="none"/>
        </w:rPr>
        <w:t>2</w:t>
      </w:r>
      <w:r>
        <w:rPr>
          <w:rFonts w:hint="eastAsia"/>
          <w:bCs/>
          <w:color w:val="auto"/>
          <w:sz w:val="24"/>
          <w:szCs w:val="24"/>
          <w:highlight w:val="none"/>
          <w:lang w:val="en-US" w:eastAsia="zh-CN"/>
        </w:rPr>
        <w:t>3</w:t>
      </w:r>
      <w:r>
        <w:rPr>
          <w:bCs/>
          <w:color w:val="auto"/>
          <w:sz w:val="24"/>
          <w:szCs w:val="24"/>
          <w:highlight w:val="none"/>
        </w:rPr>
        <w:t>年</w:t>
      </w:r>
      <w:r>
        <w:rPr>
          <w:rFonts w:hint="eastAsia"/>
          <w:bCs/>
          <w:color w:val="auto"/>
          <w:sz w:val="24"/>
          <w:szCs w:val="24"/>
          <w:highlight w:val="none"/>
          <w:lang w:val="en-US" w:eastAsia="zh-CN"/>
        </w:rPr>
        <w:t>7</w:t>
      </w:r>
      <w:r>
        <w:rPr>
          <w:bCs/>
          <w:color w:val="auto"/>
          <w:sz w:val="24"/>
          <w:szCs w:val="24"/>
          <w:highlight w:val="none"/>
        </w:rPr>
        <w:t>月</w:t>
      </w:r>
      <w:r>
        <w:rPr>
          <w:rFonts w:hint="eastAsia"/>
          <w:bCs/>
          <w:color w:val="auto"/>
          <w:sz w:val="24"/>
          <w:szCs w:val="24"/>
          <w:highlight w:val="none"/>
          <w:lang w:val="en-US" w:eastAsia="zh-CN"/>
        </w:rPr>
        <w:t>18</w:t>
      </w:r>
      <w:r>
        <w:rPr>
          <w:bCs/>
          <w:color w:val="auto"/>
          <w:sz w:val="24"/>
          <w:szCs w:val="24"/>
          <w:highlight w:val="none"/>
        </w:rPr>
        <w:t>日。</w:t>
      </w:r>
    </w:p>
    <w:p>
      <w:pPr>
        <w:widowControl/>
        <w:spacing w:line="360" w:lineRule="auto"/>
        <w:ind w:firstLine="480" w:firstLineChars="200"/>
        <w:textAlignment w:val="baseline"/>
        <w:rPr>
          <w:color w:val="auto"/>
          <w:sz w:val="24"/>
          <w:szCs w:val="24"/>
          <w:highlight w:val="none"/>
        </w:rPr>
      </w:pPr>
      <w:r>
        <w:rPr>
          <w:color w:val="auto"/>
          <w:sz w:val="24"/>
          <w:szCs w:val="24"/>
          <w:highlight w:val="none"/>
        </w:rPr>
        <w:t>（1）监测点位布置</w:t>
      </w:r>
    </w:p>
    <w:p>
      <w:pPr>
        <w:widowControl/>
        <w:spacing w:line="360" w:lineRule="auto"/>
        <w:ind w:firstLine="480" w:firstLineChars="200"/>
        <w:textAlignment w:val="baseline"/>
        <w:rPr>
          <w:color w:val="auto"/>
          <w:sz w:val="24"/>
          <w:szCs w:val="24"/>
          <w:highlight w:val="none"/>
        </w:rPr>
      </w:pPr>
      <w:r>
        <w:rPr>
          <w:color w:val="auto"/>
          <w:sz w:val="24"/>
          <w:szCs w:val="24"/>
          <w:highlight w:val="none"/>
        </w:rPr>
        <w:t>本项目区内</w:t>
      </w:r>
      <w:r>
        <w:rPr>
          <w:rFonts w:hint="eastAsia"/>
          <w:color w:val="auto"/>
          <w:sz w:val="24"/>
          <w:szCs w:val="24"/>
          <w:highlight w:val="none"/>
          <w:lang w:eastAsia="zh-CN"/>
        </w:rPr>
        <w:t>拟建地块内</w:t>
      </w:r>
      <w:r>
        <w:rPr>
          <w:color w:val="auto"/>
          <w:sz w:val="24"/>
          <w:szCs w:val="24"/>
          <w:highlight w:val="none"/>
        </w:rPr>
        <w:t>共设置</w:t>
      </w:r>
      <w:r>
        <w:rPr>
          <w:rFonts w:hint="eastAsia"/>
          <w:color w:val="auto"/>
          <w:sz w:val="24"/>
          <w:szCs w:val="24"/>
          <w:highlight w:val="none"/>
          <w:lang w:val="en-US" w:eastAsia="zh-CN"/>
        </w:rPr>
        <w:t>3</w:t>
      </w:r>
      <w:r>
        <w:rPr>
          <w:color w:val="auto"/>
          <w:sz w:val="24"/>
          <w:szCs w:val="24"/>
          <w:highlight w:val="none"/>
        </w:rPr>
        <w:t>个</w:t>
      </w:r>
      <w:r>
        <w:rPr>
          <w:rFonts w:hint="eastAsia"/>
          <w:color w:val="auto"/>
          <w:sz w:val="24"/>
          <w:szCs w:val="24"/>
          <w:highlight w:val="none"/>
          <w:lang w:eastAsia="zh-CN"/>
        </w:rPr>
        <w:t>表层</w:t>
      </w:r>
      <w:r>
        <w:rPr>
          <w:color w:val="auto"/>
          <w:sz w:val="24"/>
          <w:szCs w:val="24"/>
          <w:highlight w:val="none"/>
        </w:rPr>
        <w:t>样点</w:t>
      </w:r>
      <w:r>
        <w:rPr>
          <w:rFonts w:hint="eastAsia"/>
          <w:color w:val="auto"/>
          <w:sz w:val="24"/>
          <w:szCs w:val="24"/>
          <w:highlight w:val="none"/>
          <w:lang w:val="zh-TW" w:eastAsia="zh-CN"/>
        </w:rPr>
        <w:t>，</w:t>
      </w:r>
      <w:r>
        <w:rPr>
          <w:color w:val="auto"/>
          <w:sz w:val="24"/>
          <w:szCs w:val="24"/>
          <w:highlight w:val="none"/>
        </w:rPr>
        <w:t>土壤监测点位图详见图4.2-1。</w:t>
      </w:r>
    </w:p>
    <w:p>
      <w:pPr>
        <w:widowControl/>
        <w:spacing w:line="360" w:lineRule="auto"/>
        <w:ind w:firstLine="480" w:firstLineChars="200"/>
        <w:textAlignment w:val="baseline"/>
        <w:rPr>
          <w:color w:val="auto"/>
          <w:sz w:val="24"/>
          <w:szCs w:val="24"/>
          <w:highlight w:val="none"/>
        </w:rPr>
      </w:pPr>
      <w:r>
        <w:rPr>
          <w:color w:val="auto"/>
          <w:sz w:val="24"/>
          <w:szCs w:val="24"/>
          <w:highlight w:val="none"/>
        </w:rPr>
        <w:t>（2）监测项目</w:t>
      </w:r>
    </w:p>
    <w:p>
      <w:pPr>
        <w:widowControl/>
        <w:spacing w:line="360" w:lineRule="auto"/>
        <w:ind w:firstLine="480" w:firstLineChars="200"/>
        <w:textAlignment w:val="baseline"/>
        <w:rPr>
          <w:color w:val="auto"/>
          <w:sz w:val="24"/>
          <w:szCs w:val="24"/>
          <w:highlight w:val="none"/>
        </w:rPr>
      </w:pPr>
      <w:r>
        <w:rPr>
          <w:color w:val="auto"/>
          <w:sz w:val="24"/>
          <w:szCs w:val="24"/>
          <w:highlight w:val="none"/>
        </w:rPr>
        <w:t>监测项目包括</w:t>
      </w:r>
      <w:r>
        <w:rPr>
          <w:rFonts w:hint="eastAsia"/>
          <w:bCs/>
          <w:color w:val="auto"/>
          <w:szCs w:val="21"/>
          <w:highlight w:val="none"/>
        </w:rPr>
        <w:t>铬（六价）、镉、铜、铅、砷、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color w:val="auto"/>
          <w:sz w:val="24"/>
          <w:szCs w:val="24"/>
          <w:highlight w:val="none"/>
        </w:rPr>
        <w:t>，监测因子共</w:t>
      </w:r>
      <w:r>
        <w:rPr>
          <w:rFonts w:hint="eastAsia"/>
          <w:color w:val="auto"/>
          <w:sz w:val="24"/>
          <w:szCs w:val="24"/>
          <w:highlight w:val="none"/>
          <w:lang w:eastAsia="zh-CN"/>
        </w:rPr>
        <w:t>计</w:t>
      </w:r>
      <w:r>
        <w:rPr>
          <w:color w:val="auto"/>
          <w:sz w:val="24"/>
          <w:szCs w:val="24"/>
          <w:highlight w:val="none"/>
        </w:rPr>
        <w:t>4</w:t>
      </w:r>
      <w:r>
        <w:rPr>
          <w:rFonts w:hint="eastAsia"/>
          <w:color w:val="auto"/>
          <w:sz w:val="24"/>
          <w:szCs w:val="24"/>
          <w:highlight w:val="none"/>
          <w:lang w:val="en-US" w:eastAsia="zh-CN"/>
        </w:rPr>
        <w:t>5</w:t>
      </w:r>
      <w:r>
        <w:rPr>
          <w:color w:val="auto"/>
          <w:sz w:val="24"/>
          <w:szCs w:val="24"/>
          <w:highlight w:val="none"/>
        </w:rPr>
        <w:t>个项目。</w:t>
      </w:r>
    </w:p>
    <w:p>
      <w:pPr>
        <w:autoSpaceDE w:val="0"/>
        <w:autoSpaceDN w:val="0"/>
        <w:spacing w:line="360" w:lineRule="auto"/>
        <w:ind w:firstLine="480" w:firstLineChars="200"/>
        <w:jc w:val="left"/>
        <w:rPr>
          <w:color w:val="auto"/>
          <w:sz w:val="24"/>
          <w:szCs w:val="24"/>
          <w:highlight w:val="none"/>
        </w:rPr>
      </w:pPr>
      <w:r>
        <w:rPr>
          <w:color w:val="auto"/>
          <w:sz w:val="24"/>
          <w:szCs w:val="24"/>
          <w:highlight w:val="none"/>
        </w:rPr>
        <w:t>（3）</w:t>
      </w:r>
      <w:r>
        <w:rPr>
          <w:rFonts w:hint="eastAsia"/>
          <w:color w:val="auto"/>
          <w:sz w:val="24"/>
          <w:highlight w:val="none"/>
        </w:rPr>
        <w:t>评价标准</w:t>
      </w:r>
    </w:p>
    <w:p>
      <w:pPr>
        <w:widowControl/>
        <w:spacing w:line="360" w:lineRule="auto"/>
        <w:ind w:firstLine="480" w:firstLineChars="200"/>
        <w:textAlignment w:val="baseline"/>
        <w:rPr>
          <w:rFonts w:hint="eastAsia"/>
          <w:color w:val="auto"/>
          <w:sz w:val="24"/>
          <w:szCs w:val="24"/>
          <w:highlight w:val="none"/>
        </w:rPr>
      </w:pPr>
      <w:r>
        <w:rPr>
          <w:rFonts w:hint="eastAsia"/>
          <w:color w:val="auto"/>
          <w:sz w:val="24"/>
          <w:szCs w:val="24"/>
          <w:highlight w:val="none"/>
          <w:lang w:val="zh-TW"/>
        </w:rPr>
        <w:t>土壤环境执行《土壤环境质量 建设用地土壤污染风险管控标准（试行）》（GB36600-2018）中的第二类用地风险筛选值</w:t>
      </w:r>
      <w:r>
        <w:rPr>
          <w:color w:val="auto"/>
          <w:sz w:val="24"/>
          <w:szCs w:val="24"/>
          <w:highlight w:val="none"/>
        </w:rPr>
        <w:t>限值要求</w:t>
      </w:r>
      <w:r>
        <w:rPr>
          <w:rFonts w:hint="eastAsia"/>
          <w:color w:val="auto"/>
          <w:sz w:val="24"/>
          <w:szCs w:val="24"/>
          <w:highlight w:val="none"/>
        </w:rPr>
        <w:t>。</w:t>
      </w:r>
    </w:p>
    <w:p>
      <w:pPr>
        <w:autoSpaceDE w:val="0"/>
        <w:autoSpaceDN w:val="0"/>
        <w:spacing w:line="360" w:lineRule="auto"/>
        <w:ind w:firstLine="480" w:firstLineChars="200"/>
        <w:jc w:val="left"/>
        <w:rPr>
          <w:color w:val="auto"/>
          <w:sz w:val="24"/>
          <w:szCs w:val="24"/>
          <w:highlight w:val="none"/>
        </w:rPr>
      </w:pPr>
      <w:r>
        <w:rPr>
          <w:rFonts w:hint="eastAsia"/>
          <w:color w:val="auto"/>
          <w:sz w:val="24"/>
          <w:szCs w:val="24"/>
          <w:highlight w:val="none"/>
        </w:rPr>
        <w:t>（4）</w:t>
      </w:r>
      <w:r>
        <w:rPr>
          <w:color w:val="auto"/>
          <w:sz w:val="24"/>
          <w:szCs w:val="24"/>
          <w:highlight w:val="none"/>
        </w:rPr>
        <w:t>土壤监测结果及评价</w:t>
      </w:r>
    </w:p>
    <w:p>
      <w:pPr>
        <w:spacing w:line="360" w:lineRule="auto"/>
        <w:ind w:firstLine="480" w:firstLineChars="200"/>
        <w:rPr>
          <w:color w:val="auto"/>
          <w:sz w:val="24"/>
          <w:szCs w:val="24"/>
          <w:highlight w:val="none"/>
        </w:rPr>
      </w:pPr>
      <w:r>
        <w:rPr>
          <w:color w:val="auto"/>
          <w:sz w:val="24"/>
          <w:szCs w:val="24"/>
          <w:highlight w:val="none"/>
        </w:rPr>
        <w:t>本项目土壤监测及评价详见下表。</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ascii="Times New Roman" w:hAnsi="Times New Roman" w:eastAsia="宋体" w:cs="Times New Roman"/>
          <w:b/>
          <w:bCs w:val="0"/>
          <w:color w:val="auto"/>
          <w:sz w:val="21"/>
          <w:szCs w:val="18"/>
          <w:highlight w:val="none"/>
        </w:rPr>
      </w:pPr>
      <w:r>
        <w:rPr>
          <w:rFonts w:hint="default" w:ascii="Times New Roman" w:hAnsi="Times New Roman" w:eastAsia="宋体" w:cs="Times New Roman"/>
          <w:b/>
          <w:bCs w:val="0"/>
          <w:color w:val="auto"/>
          <w:sz w:val="21"/>
          <w:szCs w:val="18"/>
          <w:highlight w:val="none"/>
        </w:rPr>
        <w:t>表4.2-</w:t>
      </w:r>
      <w:r>
        <w:rPr>
          <w:rFonts w:hint="default" w:ascii="Times New Roman" w:hAnsi="Times New Roman" w:eastAsia="宋体" w:cs="Times New Roman"/>
          <w:b/>
          <w:bCs w:val="0"/>
          <w:color w:val="auto"/>
          <w:sz w:val="21"/>
          <w:szCs w:val="18"/>
          <w:highlight w:val="none"/>
          <w:lang w:val="en-US" w:eastAsia="zh-CN"/>
        </w:rPr>
        <w:t>7</w:t>
      </w:r>
      <w:r>
        <w:rPr>
          <w:rFonts w:hint="default" w:ascii="Times New Roman" w:hAnsi="Times New Roman" w:eastAsia="宋体" w:cs="Times New Roman"/>
          <w:b/>
          <w:bCs w:val="0"/>
          <w:color w:val="auto"/>
          <w:sz w:val="21"/>
          <w:szCs w:val="18"/>
          <w:highlight w:val="none"/>
        </w:rPr>
        <w:t xml:space="preserve">   </w:t>
      </w:r>
      <w:r>
        <w:rPr>
          <w:rFonts w:hint="eastAsia" w:cs="Times New Roman"/>
          <w:b/>
          <w:bCs w:val="0"/>
          <w:color w:val="auto"/>
          <w:sz w:val="21"/>
          <w:szCs w:val="18"/>
          <w:highlight w:val="none"/>
          <w:lang w:val="en-US" w:eastAsia="zh-CN"/>
        </w:rPr>
        <w:t xml:space="preserve"> </w:t>
      </w:r>
      <w:r>
        <w:rPr>
          <w:rFonts w:hint="default" w:ascii="Times New Roman" w:hAnsi="Times New Roman" w:eastAsia="宋体" w:cs="Times New Roman"/>
          <w:b/>
          <w:bCs w:val="0"/>
          <w:color w:val="auto"/>
          <w:sz w:val="21"/>
          <w:szCs w:val="18"/>
          <w:highlight w:val="none"/>
        </w:rPr>
        <w:t>土壤质量现状监测及评价结果    单位：mg/kg</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43"/>
        <w:gridCol w:w="1139"/>
        <w:gridCol w:w="1319"/>
        <w:gridCol w:w="1091"/>
        <w:gridCol w:w="7"/>
        <w:gridCol w:w="2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123"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b w:val="0"/>
                <w:bCs/>
                <w:color w:val="auto"/>
                <w:sz w:val="21"/>
                <w:szCs w:val="21"/>
                <w:highlight w:val="none"/>
              </w:rPr>
            </w:pPr>
            <w:r>
              <w:rPr>
                <w:b w:val="0"/>
                <w:bCs/>
                <w:color w:val="auto"/>
                <w:sz w:val="21"/>
                <w:szCs w:val="21"/>
                <w:highlight w:val="none"/>
              </w:rPr>
              <w:t>监测点</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b w:val="0"/>
                <w:bCs/>
                <w:color w:val="auto"/>
                <w:w w:val="90"/>
                <w:sz w:val="21"/>
                <w:szCs w:val="21"/>
                <w:highlight w:val="none"/>
              </w:rPr>
            </w:pPr>
            <w:r>
              <w:rPr>
                <w:b w:val="0"/>
                <w:bCs/>
                <w:color w:val="auto"/>
                <w:sz w:val="21"/>
                <w:szCs w:val="21"/>
                <w:highlight w:val="none"/>
              </w:rPr>
              <w:t>项目</w:t>
            </w:r>
          </w:p>
        </w:tc>
        <w:tc>
          <w:tcPr>
            <w:tcW w:w="3556" w:type="dxa"/>
            <w:gridSpan w:val="4"/>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b w:val="0"/>
                <w:bCs/>
                <w:color w:val="auto"/>
                <w:sz w:val="21"/>
                <w:szCs w:val="21"/>
                <w:highlight w:val="none"/>
              </w:rPr>
            </w:pPr>
            <w:r>
              <w:rPr>
                <w:b w:val="0"/>
                <w:bCs/>
                <w:color w:val="auto"/>
                <w:sz w:val="21"/>
                <w:szCs w:val="21"/>
                <w:highlight w:val="none"/>
              </w:rPr>
              <w:t>污染物监测浓度</w:t>
            </w:r>
          </w:p>
        </w:tc>
        <w:tc>
          <w:tcPr>
            <w:tcW w:w="2711"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ascii="宋体" w:hAnsi="宋体" w:cs="宋体"/>
                <w:b w:val="0"/>
                <w:bCs/>
                <w:color w:val="auto"/>
                <w:sz w:val="21"/>
                <w:szCs w:val="21"/>
                <w:highlight w:val="none"/>
                <w:lang w:val="zh-TW" w:eastAsia="zh-TW" w:bidi="zh-TW"/>
              </w:rPr>
            </w:pPr>
            <w:r>
              <w:rPr>
                <w:rFonts w:hint="default" w:ascii="Times New Roman" w:hAnsi="Times New Roman" w:cs="Times New Roman"/>
                <w:b w:val="0"/>
                <w:bCs/>
                <w:color w:val="auto"/>
                <w:sz w:val="21"/>
                <w:szCs w:val="21"/>
                <w:highlight w:val="none"/>
                <w:lang w:val="zh-TW" w:bidi="zh-TW"/>
              </w:rPr>
              <w:t>（GB36600-2018）中的第二类用地风险筛选值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123"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b w:val="0"/>
                <w:bCs/>
                <w:color w:val="auto"/>
                <w:sz w:val="21"/>
                <w:szCs w:val="21"/>
                <w:highlight w:val="none"/>
              </w:rPr>
            </w:pPr>
          </w:p>
        </w:tc>
        <w:tc>
          <w:tcPr>
            <w:tcW w:w="1139"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b w:val="0"/>
                <w:bCs/>
                <w:color w:val="auto"/>
                <w:sz w:val="21"/>
                <w:szCs w:val="21"/>
                <w:highlight w:val="none"/>
              </w:rPr>
            </w:pPr>
            <w:r>
              <w:rPr>
                <w:b w:val="0"/>
                <w:bCs/>
                <w:color w:val="auto"/>
                <w:sz w:val="21"/>
                <w:szCs w:val="21"/>
                <w:highlight w:val="none"/>
              </w:rPr>
              <w:t>T-1</w:t>
            </w:r>
          </w:p>
        </w:tc>
        <w:tc>
          <w:tcPr>
            <w:tcW w:w="1319"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b w:val="0"/>
                <w:bCs/>
                <w:color w:val="auto"/>
                <w:sz w:val="21"/>
                <w:szCs w:val="21"/>
                <w:highlight w:val="none"/>
              </w:rPr>
            </w:pPr>
            <w:r>
              <w:rPr>
                <w:b w:val="0"/>
                <w:bCs/>
                <w:color w:val="auto"/>
                <w:sz w:val="21"/>
                <w:szCs w:val="21"/>
                <w:highlight w:val="none"/>
              </w:rPr>
              <w:t>T-2</w:t>
            </w:r>
          </w:p>
        </w:tc>
        <w:tc>
          <w:tcPr>
            <w:tcW w:w="109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b w:val="0"/>
                <w:bCs/>
                <w:color w:val="auto"/>
                <w:sz w:val="21"/>
                <w:szCs w:val="21"/>
                <w:highlight w:val="none"/>
              </w:rPr>
            </w:pPr>
            <w:r>
              <w:rPr>
                <w:b w:val="0"/>
                <w:bCs/>
                <w:color w:val="auto"/>
                <w:sz w:val="21"/>
                <w:szCs w:val="21"/>
                <w:highlight w:val="none"/>
              </w:rPr>
              <w:t>T-3</w:t>
            </w:r>
          </w:p>
        </w:tc>
        <w:tc>
          <w:tcPr>
            <w:tcW w:w="2718"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b w:val="0"/>
                <w:bCs/>
                <w:color w:val="auto"/>
                <w:sz w:val="21"/>
                <w:szCs w:val="21"/>
                <w:highlight w:val="none"/>
              </w:rPr>
            </w:pPr>
            <w:r>
              <w:rPr>
                <w:b w:val="0"/>
                <w:bCs/>
                <w:color w:val="auto"/>
                <w:sz w:val="21"/>
                <w:szCs w:val="21"/>
                <w:highlight w:val="none"/>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390" w:type="dxa"/>
            <w:gridSpan w:val="7"/>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b w:val="0"/>
                <w:bCs/>
                <w:color w:val="auto"/>
                <w:sz w:val="21"/>
                <w:szCs w:val="21"/>
                <w:highlight w:val="none"/>
              </w:rPr>
            </w:pPr>
            <w:r>
              <w:rPr>
                <w:b w:val="0"/>
                <w:bCs/>
                <w:color w:val="auto"/>
                <w:sz w:val="21"/>
                <w:szCs w:val="21"/>
                <w:highlight w:val="none"/>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b w:val="0"/>
                <w:bCs/>
                <w:color w:val="auto"/>
                <w:sz w:val="21"/>
                <w:szCs w:val="21"/>
                <w:highlight w:val="none"/>
              </w:rPr>
            </w:pPr>
            <w:r>
              <w:rPr>
                <w:b w:val="0"/>
                <w:bCs/>
                <w:color w:val="auto"/>
                <w:kern w:val="0"/>
                <w:sz w:val="21"/>
                <w:szCs w:val="21"/>
                <w:highlight w:val="none"/>
                <w:lang w:bidi="ar"/>
              </w:rPr>
              <w:t>1</w:t>
            </w:r>
          </w:p>
        </w:tc>
        <w:tc>
          <w:tcPr>
            <w:tcW w:w="1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s="宋体"/>
                <w:b w:val="0"/>
                <w:bCs w:val="0"/>
                <w:color w:val="auto"/>
                <w:kern w:val="0"/>
                <w:sz w:val="21"/>
                <w:szCs w:val="21"/>
                <w:highlight w:val="none"/>
                <w:lang w:val="zh-CN" w:eastAsia="zh-CN" w:bidi="ar"/>
              </w:rPr>
            </w:pPr>
            <w:r>
              <w:rPr>
                <w:rFonts w:hint="default" w:ascii="Times New Roman" w:hAnsi="Times New Roman" w:eastAsia="宋体" w:cs="Times New Roman"/>
                <w:b w:val="0"/>
                <w:bCs w:val="0"/>
                <w:color w:val="000000"/>
                <w:sz w:val="21"/>
                <w:szCs w:val="21"/>
                <w:lang w:val="en-US" w:eastAsia="zh-CN"/>
              </w:rPr>
              <w:t>汞</w:t>
            </w:r>
          </w:p>
        </w:tc>
        <w:tc>
          <w:tcPr>
            <w:tcW w:w="113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bidi="zh-CN"/>
              </w:rPr>
            </w:pPr>
            <w:r>
              <w:rPr>
                <w:rFonts w:hint="eastAsia" w:eastAsia="宋体" w:cs="Times New Roman"/>
                <w:b w:val="0"/>
                <w:bCs w:val="0"/>
                <w:sz w:val="21"/>
                <w:szCs w:val="21"/>
                <w:lang w:val="en-US" w:eastAsia="zh-CN"/>
              </w:rPr>
              <w:t>0.0364</w:t>
            </w:r>
          </w:p>
        </w:tc>
        <w:tc>
          <w:tcPr>
            <w:tcW w:w="131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Times New Roman" w:cs="宋体"/>
                <w:b w:val="0"/>
                <w:bCs/>
                <w:color w:val="auto"/>
                <w:sz w:val="21"/>
                <w:szCs w:val="21"/>
                <w:highlight w:val="none"/>
                <w:lang w:val="en-US" w:eastAsia="zh-CN" w:bidi="en-US"/>
              </w:rPr>
            </w:pPr>
            <w:r>
              <w:rPr>
                <w:rFonts w:hint="eastAsia" w:eastAsia="宋体" w:cs="Times New Roman"/>
                <w:b w:val="0"/>
                <w:bCs w:val="0"/>
                <w:sz w:val="21"/>
                <w:szCs w:val="21"/>
                <w:lang w:val="en-US" w:eastAsia="zh-CN"/>
              </w:rPr>
              <w:t>0.0428</w:t>
            </w:r>
          </w:p>
        </w:tc>
        <w:tc>
          <w:tcPr>
            <w:tcW w:w="1091"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Times New Roman" w:cs="宋体"/>
                <w:b w:val="0"/>
                <w:bCs/>
                <w:color w:val="auto"/>
                <w:sz w:val="21"/>
                <w:szCs w:val="21"/>
                <w:highlight w:val="none"/>
                <w:lang w:val="en-US" w:eastAsia="zh-CN" w:bidi="en-US"/>
              </w:rPr>
            </w:pPr>
            <w:r>
              <w:rPr>
                <w:rFonts w:hint="eastAsia" w:eastAsia="宋体" w:cs="Times New Roman"/>
                <w:b w:val="0"/>
                <w:bCs w:val="0"/>
                <w:sz w:val="21"/>
                <w:szCs w:val="21"/>
                <w:lang w:val="en-US" w:eastAsia="zh-CN"/>
              </w:rPr>
              <w:t>0.0733</w:t>
            </w:r>
          </w:p>
        </w:tc>
        <w:tc>
          <w:tcPr>
            <w:tcW w:w="2718" w:type="dxa"/>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宋体"/>
                <w:b w:val="0"/>
                <w:bCs/>
                <w:color w:val="auto"/>
                <w:kern w:val="0"/>
                <w:sz w:val="21"/>
                <w:szCs w:val="21"/>
                <w:highlight w:val="none"/>
                <w:lang w:val="zh-CN" w:eastAsia="zh-CN" w:bidi="ar"/>
              </w:rPr>
            </w:pPr>
            <w:r>
              <w:rPr>
                <w:rFonts w:hint="eastAsia" w:eastAsia="宋体" w:cs="Times New Roman"/>
                <w:b w:val="0"/>
                <w:bCs w:val="0"/>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b w:val="0"/>
                <w:bCs/>
                <w:color w:val="auto"/>
                <w:sz w:val="21"/>
                <w:szCs w:val="21"/>
                <w:highlight w:val="none"/>
              </w:rPr>
            </w:pPr>
            <w:r>
              <w:rPr>
                <w:b w:val="0"/>
                <w:bCs/>
                <w:color w:val="auto"/>
                <w:kern w:val="0"/>
                <w:sz w:val="21"/>
                <w:szCs w:val="21"/>
                <w:highlight w:val="none"/>
                <w:lang w:bidi="ar"/>
              </w:rPr>
              <w:t>2</w:t>
            </w:r>
          </w:p>
        </w:tc>
        <w:tc>
          <w:tcPr>
            <w:tcW w:w="1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s="宋体"/>
                <w:b w:val="0"/>
                <w:bCs w:val="0"/>
                <w:color w:val="auto"/>
                <w:kern w:val="0"/>
                <w:sz w:val="21"/>
                <w:szCs w:val="21"/>
                <w:highlight w:val="none"/>
                <w:lang w:val="zh-CN" w:eastAsia="zh-CN" w:bidi="ar"/>
              </w:rPr>
            </w:pPr>
            <w:r>
              <w:rPr>
                <w:rFonts w:hint="default" w:ascii="Times New Roman" w:hAnsi="Times New Roman" w:eastAsia="宋体" w:cs="Times New Roman"/>
                <w:b w:val="0"/>
                <w:bCs w:val="0"/>
                <w:color w:val="000000"/>
                <w:sz w:val="21"/>
                <w:szCs w:val="21"/>
                <w:lang w:val="en-US" w:eastAsia="zh-CN"/>
              </w:rPr>
              <w:t>砷</w:t>
            </w:r>
          </w:p>
        </w:tc>
        <w:tc>
          <w:tcPr>
            <w:tcW w:w="113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bidi="zh-CN"/>
              </w:rPr>
            </w:pPr>
            <w:r>
              <w:rPr>
                <w:rFonts w:hint="eastAsia" w:eastAsia="宋体" w:cs="Times New Roman"/>
                <w:b w:val="0"/>
                <w:bCs w:val="0"/>
                <w:sz w:val="21"/>
                <w:szCs w:val="21"/>
                <w:lang w:val="en-US" w:eastAsia="zh-CN"/>
              </w:rPr>
              <w:t>8.24</w:t>
            </w:r>
          </w:p>
        </w:tc>
        <w:tc>
          <w:tcPr>
            <w:tcW w:w="131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Times New Roman" w:cs="宋体"/>
                <w:b w:val="0"/>
                <w:bCs/>
                <w:color w:val="auto"/>
                <w:sz w:val="21"/>
                <w:szCs w:val="21"/>
                <w:highlight w:val="none"/>
                <w:lang w:val="zh-CN" w:eastAsia="zh-CN" w:bidi="en-US"/>
              </w:rPr>
            </w:pPr>
            <w:r>
              <w:rPr>
                <w:rFonts w:hint="eastAsia" w:eastAsia="宋体" w:cs="Times New Roman"/>
                <w:b w:val="0"/>
                <w:bCs w:val="0"/>
                <w:sz w:val="21"/>
                <w:szCs w:val="21"/>
                <w:lang w:val="en-US" w:eastAsia="zh-CN"/>
              </w:rPr>
              <w:t>6.79</w:t>
            </w:r>
          </w:p>
        </w:tc>
        <w:tc>
          <w:tcPr>
            <w:tcW w:w="1091"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bidi="en-US"/>
              </w:rPr>
            </w:pPr>
            <w:r>
              <w:rPr>
                <w:rFonts w:hint="eastAsia" w:eastAsia="宋体" w:cs="Times New Roman"/>
                <w:b w:val="0"/>
                <w:bCs w:val="0"/>
                <w:sz w:val="21"/>
                <w:szCs w:val="21"/>
                <w:lang w:val="en-US" w:eastAsia="zh-CN"/>
              </w:rPr>
              <w:t>7.80</w:t>
            </w:r>
          </w:p>
        </w:tc>
        <w:tc>
          <w:tcPr>
            <w:tcW w:w="2718" w:type="dxa"/>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宋体" w:cs="宋体"/>
                <w:b w:val="0"/>
                <w:bCs/>
                <w:color w:val="auto"/>
                <w:kern w:val="0"/>
                <w:sz w:val="21"/>
                <w:szCs w:val="21"/>
                <w:highlight w:val="none"/>
                <w:lang w:val="zh-CN" w:eastAsia="zh-CN" w:bidi="ar"/>
              </w:rPr>
            </w:pPr>
            <w:r>
              <w:rPr>
                <w:rFonts w:hint="eastAsia" w:eastAsia="宋体" w:cs="Times New Roman"/>
                <w:b w:val="0"/>
                <w:bCs w:val="0"/>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b w:val="0"/>
                <w:bCs/>
                <w:color w:val="auto"/>
                <w:sz w:val="21"/>
                <w:szCs w:val="21"/>
                <w:highlight w:val="none"/>
              </w:rPr>
            </w:pPr>
            <w:r>
              <w:rPr>
                <w:b w:val="0"/>
                <w:bCs/>
                <w:color w:val="auto"/>
                <w:kern w:val="0"/>
                <w:sz w:val="21"/>
                <w:szCs w:val="21"/>
                <w:highlight w:val="none"/>
                <w:lang w:bidi="ar"/>
              </w:rPr>
              <w:t>3</w:t>
            </w:r>
          </w:p>
        </w:tc>
        <w:tc>
          <w:tcPr>
            <w:tcW w:w="1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s="宋体"/>
                <w:b w:val="0"/>
                <w:bCs w:val="0"/>
                <w:color w:val="auto"/>
                <w:kern w:val="0"/>
                <w:sz w:val="21"/>
                <w:szCs w:val="21"/>
                <w:highlight w:val="none"/>
                <w:lang w:val="zh-CN" w:eastAsia="zh-CN" w:bidi="ar"/>
              </w:rPr>
            </w:pPr>
            <w:r>
              <w:rPr>
                <w:rFonts w:hint="default" w:ascii="Times New Roman" w:hAnsi="Times New Roman" w:eastAsia="宋体" w:cs="Times New Roman"/>
                <w:b w:val="0"/>
                <w:bCs w:val="0"/>
                <w:color w:val="000000"/>
                <w:sz w:val="21"/>
                <w:szCs w:val="21"/>
                <w:lang w:val="en-US" w:eastAsia="zh-CN"/>
              </w:rPr>
              <w:t>镉</w:t>
            </w:r>
          </w:p>
        </w:tc>
        <w:tc>
          <w:tcPr>
            <w:tcW w:w="113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bidi="zh-CN"/>
              </w:rPr>
            </w:pPr>
            <w:r>
              <w:rPr>
                <w:rFonts w:hint="eastAsia" w:eastAsia="宋体" w:cs="Times New Roman"/>
                <w:b w:val="0"/>
                <w:bCs w:val="0"/>
                <w:sz w:val="21"/>
                <w:szCs w:val="21"/>
                <w:lang w:val="en-US" w:eastAsia="zh-CN"/>
              </w:rPr>
              <w:t>0.01</w:t>
            </w:r>
          </w:p>
        </w:tc>
        <w:tc>
          <w:tcPr>
            <w:tcW w:w="131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Times New Roman" w:cs="宋体"/>
                <w:b w:val="0"/>
                <w:bCs/>
                <w:color w:val="auto"/>
                <w:sz w:val="21"/>
                <w:szCs w:val="21"/>
                <w:highlight w:val="none"/>
                <w:lang w:val="zh-CN" w:eastAsia="zh-CN" w:bidi="en-US"/>
              </w:rPr>
            </w:pPr>
            <w:r>
              <w:rPr>
                <w:rFonts w:hint="eastAsia" w:eastAsia="宋体" w:cs="Times New Roman"/>
                <w:b w:val="0"/>
                <w:bCs w:val="0"/>
                <w:sz w:val="21"/>
                <w:szCs w:val="21"/>
                <w:lang w:val="en-US" w:eastAsia="zh-CN"/>
              </w:rPr>
              <w:t>0.01</w:t>
            </w:r>
          </w:p>
        </w:tc>
        <w:tc>
          <w:tcPr>
            <w:tcW w:w="1091"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Times New Roman" w:cs="宋体"/>
                <w:b w:val="0"/>
                <w:bCs/>
                <w:color w:val="auto"/>
                <w:sz w:val="21"/>
                <w:szCs w:val="21"/>
                <w:highlight w:val="none"/>
                <w:lang w:val="en-US" w:eastAsia="zh-CN" w:bidi="en-US"/>
              </w:rPr>
            </w:pPr>
            <w:r>
              <w:rPr>
                <w:rFonts w:hint="eastAsia" w:eastAsia="宋体" w:cs="Times New Roman"/>
                <w:b w:val="0"/>
                <w:bCs w:val="0"/>
                <w:sz w:val="21"/>
                <w:szCs w:val="21"/>
                <w:lang w:val="en-US" w:eastAsia="zh-CN"/>
              </w:rPr>
              <w:t>＜0.01</w:t>
            </w:r>
          </w:p>
        </w:tc>
        <w:tc>
          <w:tcPr>
            <w:tcW w:w="2718" w:type="dxa"/>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宋体" w:cs="宋体"/>
                <w:b w:val="0"/>
                <w:bCs/>
                <w:color w:val="auto"/>
                <w:kern w:val="0"/>
                <w:sz w:val="21"/>
                <w:szCs w:val="21"/>
                <w:highlight w:val="none"/>
                <w:lang w:val="zh-CN" w:eastAsia="zh-CN" w:bidi="ar"/>
              </w:rPr>
            </w:pPr>
            <w:r>
              <w:rPr>
                <w:rFonts w:hint="eastAsia" w:eastAsia="宋体" w:cs="Times New Roman"/>
                <w:b w:val="0"/>
                <w:bCs w:val="0"/>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b w:val="0"/>
                <w:bCs/>
                <w:color w:val="auto"/>
                <w:sz w:val="21"/>
                <w:szCs w:val="21"/>
                <w:highlight w:val="none"/>
              </w:rPr>
            </w:pPr>
            <w:r>
              <w:rPr>
                <w:b w:val="0"/>
                <w:bCs/>
                <w:color w:val="auto"/>
                <w:kern w:val="0"/>
                <w:sz w:val="21"/>
                <w:szCs w:val="21"/>
                <w:highlight w:val="none"/>
                <w:lang w:bidi="ar"/>
              </w:rPr>
              <w:t>4</w:t>
            </w:r>
          </w:p>
        </w:tc>
        <w:tc>
          <w:tcPr>
            <w:tcW w:w="1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s="宋体"/>
                <w:b w:val="0"/>
                <w:bCs w:val="0"/>
                <w:color w:val="auto"/>
                <w:kern w:val="0"/>
                <w:sz w:val="21"/>
                <w:szCs w:val="21"/>
                <w:highlight w:val="none"/>
                <w:lang w:val="zh-CN" w:eastAsia="zh-CN" w:bidi="ar"/>
              </w:rPr>
            </w:pPr>
            <w:r>
              <w:rPr>
                <w:rFonts w:hint="default" w:ascii="Times New Roman" w:hAnsi="Times New Roman" w:eastAsia="宋体" w:cs="Times New Roman"/>
                <w:b w:val="0"/>
                <w:bCs w:val="0"/>
                <w:color w:val="000000"/>
                <w:sz w:val="21"/>
                <w:szCs w:val="21"/>
                <w:lang w:val="en-US" w:eastAsia="zh-CN"/>
              </w:rPr>
              <w:t>六价铬</w:t>
            </w:r>
          </w:p>
        </w:tc>
        <w:tc>
          <w:tcPr>
            <w:tcW w:w="113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bidi="zh-CN"/>
              </w:rPr>
            </w:pPr>
            <w:r>
              <w:rPr>
                <w:rFonts w:hint="eastAsia" w:eastAsia="宋体" w:cs="Times New Roman"/>
                <w:b w:val="0"/>
                <w:bCs w:val="0"/>
                <w:sz w:val="21"/>
                <w:szCs w:val="21"/>
                <w:lang w:val="en-US" w:eastAsia="zh-CN"/>
              </w:rPr>
              <w:t>1.1</w:t>
            </w:r>
          </w:p>
        </w:tc>
        <w:tc>
          <w:tcPr>
            <w:tcW w:w="131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zh-CN" w:eastAsia="zh-CN" w:bidi="en-US"/>
              </w:rPr>
            </w:pPr>
            <w:r>
              <w:rPr>
                <w:rFonts w:hint="eastAsia" w:eastAsia="宋体" w:cs="Times New Roman"/>
                <w:b w:val="0"/>
                <w:bCs w:val="0"/>
                <w:sz w:val="21"/>
                <w:szCs w:val="21"/>
                <w:lang w:val="en-US" w:eastAsia="zh-CN"/>
              </w:rPr>
              <w:t>1.1</w:t>
            </w:r>
          </w:p>
        </w:tc>
        <w:tc>
          <w:tcPr>
            <w:tcW w:w="1091"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zh-CN" w:eastAsia="zh-CN" w:bidi="en-US"/>
              </w:rPr>
            </w:pPr>
            <w:r>
              <w:rPr>
                <w:rFonts w:hint="eastAsia" w:eastAsia="宋体" w:cs="Times New Roman"/>
                <w:b w:val="0"/>
                <w:bCs w:val="0"/>
                <w:sz w:val="21"/>
                <w:szCs w:val="21"/>
                <w:lang w:val="en-US" w:eastAsia="zh-CN"/>
              </w:rPr>
              <w:t>1.0</w:t>
            </w:r>
          </w:p>
        </w:tc>
        <w:tc>
          <w:tcPr>
            <w:tcW w:w="2718" w:type="dxa"/>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宋体" w:cs="宋体"/>
                <w:b w:val="0"/>
                <w:bCs/>
                <w:color w:val="auto"/>
                <w:kern w:val="0"/>
                <w:sz w:val="21"/>
                <w:szCs w:val="21"/>
                <w:highlight w:val="none"/>
                <w:lang w:val="zh-CN" w:eastAsia="zh-CN" w:bidi="ar"/>
              </w:rPr>
            </w:pPr>
            <w:r>
              <w:rPr>
                <w:rFonts w:hint="eastAsia" w:eastAsia="宋体" w:cs="Times New Roman"/>
                <w:b w:val="0"/>
                <w:bCs w:val="0"/>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b w:val="0"/>
                <w:bCs/>
                <w:color w:val="auto"/>
                <w:sz w:val="21"/>
                <w:szCs w:val="21"/>
                <w:highlight w:val="none"/>
              </w:rPr>
            </w:pPr>
            <w:r>
              <w:rPr>
                <w:b w:val="0"/>
                <w:bCs/>
                <w:color w:val="auto"/>
                <w:kern w:val="0"/>
                <w:sz w:val="21"/>
                <w:szCs w:val="21"/>
                <w:highlight w:val="none"/>
                <w:lang w:bidi="ar"/>
              </w:rPr>
              <w:t>5</w:t>
            </w:r>
          </w:p>
        </w:tc>
        <w:tc>
          <w:tcPr>
            <w:tcW w:w="1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s="宋体"/>
                <w:b w:val="0"/>
                <w:bCs w:val="0"/>
                <w:color w:val="auto"/>
                <w:kern w:val="0"/>
                <w:sz w:val="21"/>
                <w:szCs w:val="21"/>
                <w:highlight w:val="none"/>
                <w:lang w:val="zh-CN" w:eastAsia="zh-CN" w:bidi="ar"/>
              </w:rPr>
            </w:pPr>
            <w:r>
              <w:rPr>
                <w:rFonts w:hint="default" w:ascii="Times New Roman" w:hAnsi="Times New Roman" w:eastAsia="宋体" w:cs="Times New Roman"/>
                <w:b w:val="0"/>
                <w:bCs w:val="0"/>
                <w:color w:val="000000"/>
                <w:sz w:val="21"/>
                <w:szCs w:val="21"/>
                <w:lang w:val="en-US" w:eastAsia="zh-CN"/>
              </w:rPr>
              <w:t>铜</w:t>
            </w:r>
          </w:p>
        </w:tc>
        <w:tc>
          <w:tcPr>
            <w:tcW w:w="113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bidi="zh-CN"/>
              </w:rPr>
            </w:pPr>
            <w:r>
              <w:rPr>
                <w:rFonts w:hint="eastAsia" w:eastAsia="宋体" w:cs="Times New Roman"/>
                <w:b w:val="0"/>
                <w:bCs w:val="0"/>
                <w:sz w:val="21"/>
                <w:szCs w:val="21"/>
                <w:lang w:val="en-US" w:eastAsia="zh-CN"/>
              </w:rPr>
              <w:t>24</w:t>
            </w:r>
          </w:p>
        </w:tc>
        <w:tc>
          <w:tcPr>
            <w:tcW w:w="131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Times New Roman" w:cs="宋体"/>
                <w:b w:val="0"/>
                <w:bCs/>
                <w:color w:val="auto"/>
                <w:sz w:val="21"/>
                <w:szCs w:val="21"/>
                <w:highlight w:val="none"/>
                <w:lang w:val="zh-CN" w:eastAsia="zh-CN" w:bidi="en-US"/>
              </w:rPr>
            </w:pPr>
            <w:r>
              <w:rPr>
                <w:rFonts w:hint="eastAsia" w:eastAsia="宋体" w:cs="Times New Roman"/>
                <w:b w:val="0"/>
                <w:bCs w:val="0"/>
                <w:sz w:val="21"/>
                <w:szCs w:val="21"/>
                <w:lang w:val="en-US" w:eastAsia="zh-CN"/>
              </w:rPr>
              <w:t>23</w:t>
            </w:r>
          </w:p>
        </w:tc>
        <w:tc>
          <w:tcPr>
            <w:tcW w:w="1091"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Times New Roman" w:cs="宋体"/>
                <w:b w:val="0"/>
                <w:bCs/>
                <w:color w:val="auto"/>
                <w:sz w:val="21"/>
                <w:szCs w:val="21"/>
                <w:highlight w:val="none"/>
                <w:lang w:val="zh-CN" w:eastAsia="zh-CN" w:bidi="en-US"/>
              </w:rPr>
            </w:pPr>
            <w:r>
              <w:rPr>
                <w:rFonts w:hint="eastAsia" w:eastAsia="宋体" w:cs="Times New Roman"/>
                <w:b w:val="0"/>
                <w:bCs w:val="0"/>
                <w:sz w:val="21"/>
                <w:szCs w:val="21"/>
                <w:lang w:val="en-US" w:eastAsia="zh-CN"/>
              </w:rPr>
              <w:t>23</w:t>
            </w:r>
          </w:p>
        </w:tc>
        <w:tc>
          <w:tcPr>
            <w:tcW w:w="2718" w:type="dxa"/>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宋体" w:cs="宋体"/>
                <w:b w:val="0"/>
                <w:bCs/>
                <w:color w:val="auto"/>
                <w:kern w:val="0"/>
                <w:sz w:val="21"/>
                <w:szCs w:val="21"/>
                <w:highlight w:val="none"/>
                <w:lang w:val="zh-CN" w:eastAsia="zh-CN" w:bidi="ar"/>
              </w:rPr>
            </w:pPr>
            <w:r>
              <w:rPr>
                <w:rFonts w:hint="eastAsia" w:eastAsia="宋体" w:cs="Times New Roman"/>
                <w:b w:val="0"/>
                <w:bCs w:val="0"/>
                <w:sz w:val="21"/>
                <w:szCs w:val="21"/>
                <w:lang w:val="en-US" w:eastAsia="zh-CN"/>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b w:val="0"/>
                <w:bCs/>
                <w:color w:val="auto"/>
                <w:sz w:val="21"/>
                <w:szCs w:val="21"/>
                <w:highlight w:val="none"/>
              </w:rPr>
            </w:pPr>
            <w:r>
              <w:rPr>
                <w:b w:val="0"/>
                <w:bCs/>
                <w:color w:val="auto"/>
                <w:kern w:val="0"/>
                <w:sz w:val="21"/>
                <w:szCs w:val="21"/>
                <w:highlight w:val="none"/>
                <w:lang w:bidi="ar"/>
              </w:rPr>
              <w:t>6</w:t>
            </w:r>
          </w:p>
        </w:tc>
        <w:tc>
          <w:tcPr>
            <w:tcW w:w="1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s="宋体"/>
                <w:b w:val="0"/>
                <w:bCs w:val="0"/>
                <w:color w:val="auto"/>
                <w:kern w:val="0"/>
                <w:sz w:val="21"/>
                <w:szCs w:val="21"/>
                <w:highlight w:val="none"/>
                <w:lang w:val="zh-CN" w:eastAsia="zh-CN" w:bidi="ar"/>
              </w:rPr>
            </w:pPr>
            <w:r>
              <w:rPr>
                <w:rFonts w:hint="default" w:ascii="Times New Roman" w:hAnsi="Times New Roman" w:eastAsia="宋体" w:cs="Times New Roman"/>
                <w:b w:val="0"/>
                <w:bCs w:val="0"/>
                <w:color w:val="000000"/>
                <w:sz w:val="21"/>
                <w:szCs w:val="21"/>
                <w:lang w:val="en-US" w:eastAsia="zh-CN"/>
              </w:rPr>
              <w:t>镍</w:t>
            </w:r>
          </w:p>
        </w:tc>
        <w:tc>
          <w:tcPr>
            <w:tcW w:w="113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bidi="zh-CN"/>
              </w:rPr>
            </w:pPr>
            <w:r>
              <w:rPr>
                <w:rFonts w:hint="eastAsia" w:eastAsia="宋体" w:cs="Times New Roman"/>
                <w:b w:val="0"/>
                <w:bCs w:val="0"/>
                <w:sz w:val="21"/>
                <w:szCs w:val="21"/>
                <w:lang w:val="en-US" w:eastAsia="zh-CN"/>
              </w:rPr>
              <w:t>15</w:t>
            </w:r>
          </w:p>
        </w:tc>
        <w:tc>
          <w:tcPr>
            <w:tcW w:w="131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Times New Roman" w:cs="宋体"/>
                <w:b w:val="0"/>
                <w:bCs/>
                <w:color w:val="auto"/>
                <w:sz w:val="21"/>
                <w:szCs w:val="21"/>
                <w:highlight w:val="none"/>
                <w:lang w:val="zh-CN" w:eastAsia="zh-CN" w:bidi="en-US"/>
              </w:rPr>
            </w:pPr>
            <w:r>
              <w:rPr>
                <w:rFonts w:hint="eastAsia" w:eastAsia="宋体" w:cs="Times New Roman"/>
                <w:b w:val="0"/>
                <w:bCs w:val="0"/>
                <w:sz w:val="21"/>
                <w:szCs w:val="21"/>
                <w:lang w:val="en-US" w:eastAsia="zh-CN"/>
              </w:rPr>
              <w:t>15</w:t>
            </w:r>
          </w:p>
        </w:tc>
        <w:tc>
          <w:tcPr>
            <w:tcW w:w="1091"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Times New Roman" w:cs="宋体"/>
                <w:b w:val="0"/>
                <w:bCs/>
                <w:color w:val="auto"/>
                <w:sz w:val="21"/>
                <w:szCs w:val="21"/>
                <w:highlight w:val="none"/>
                <w:lang w:val="zh-CN" w:eastAsia="zh-CN" w:bidi="en-US"/>
              </w:rPr>
            </w:pPr>
            <w:r>
              <w:rPr>
                <w:rFonts w:hint="eastAsia" w:eastAsia="宋体" w:cs="Times New Roman"/>
                <w:b w:val="0"/>
                <w:bCs w:val="0"/>
                <w:sz w:val="21"/>
                <w:szCs w:val="21"/>
                <w:lang w:val="en-US" w:eastAsia="zh-CN"/>
              </w:rPr>
              <w:t>13</w:t>
            </w:r>
          </w:p>
        </w:tc>
        <w:tc>
          <w:tcPr>
            <w:tcW w:w="2718" w:type="dxa"/>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宋体" w:cs="宋体"/>
                <w:b w:val="0"/>
                <w:bCs/>
                <w:color w:val="auto"/>
                <w:kern w:val="0"/>
                <w:sz w:val="21"/>
                <w:szCs w:val="21"/>
                <w:highlight w:val="none"/>
                <w:lang w:val="zh-CN" w:eastAsia="zh-CN" w:bidi="ar"/>
              </w:rPr>
            </w:pPr>
            <w:r>
              <w:rPr>
                <w:rFonts w:hint="eastAsia" w:eastAsia="宋体" w:cs="Times New Roman"/>
                <w:b w:val="0"/>
                <w:bCs w:val="0"/>
                <w:sz w:val="21"/>
                <w:szCs w:val="21"/>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b w:val="0"/>
                <w:bCs/>
                <w:color w:val="auto"/>
                <w:sz w:val="21"/>
                <w:szCs w:val="21"/>
                <w:highlight w:val="none"/>
              </w:rPr>
            </w:pPr>
            <w:r>
              <w:rPr>
                <w:b w:val="0"/>
                <w:bCs/>
                <w:color w:val="auto"/>
                <w:kern w:val="0"/>
                <w:sz w:val="21"/>
                <w:szCs w:val="21"/>
                <w:highlight w:val="none"/>
                <w:lang w:bidi="ar"/>
              </w:rPr>
              <w:t>7</w:t>
            </w:r>
          </w:p>
        </w:tc>
        <w:tc>
          <w:tcPr>
            <w:tcW w:w="104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ascii="Times New Roman" w:hAnsi="Times New Roman" w:eastAsia="宋体" w:cs="宋体"/>
                <w:b w:val="0"/>
                <w:bCs w:val="0"/>
                <w:color w:val="auto"/>
                <w:kern w:val="0"/>
                <w:sz w:val="21"/>
                <w:szCs w:val="21"/>
                <w:highlight w:val="none"/>
                <w:lang w:val="zh-CN" w:eastAsia="zh-CN" w:bidi="ar"/>
              </w:rPr>
            </w:pPr>
            <w:r>
              <w:rPr>
                <w:rFonts w:hint="default" w:ascii="Times New Roman" w:hAnsi="Times New Roman" w:eastAsia="宋体" w:cs="Times New Roman"/>
                <w:b w:val="0"/>
                <w:bCs w:val="0"/>
                <w:color w:val="000000"/>
                <w:sz w:val="21"/>
                <w:szCs w:val="21"/>
                <w:lang w:val="en-US" w:eastAsia="zh-CN"/>
              </w:rPr>
              <w:t>铅</w:t>
            </w:r>
          </w:p>
        </w:tc>
        <w:tc>
          <w:tcPr>
            <w:tcW w:w="113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宋体" w:cs="宋体"/>
                <w:b w:val="0"/>
                <w:bCs/>
                <w:color w:val="auto"/>
                <w:sz w:val="21"/>
                <w:szCs w:val="21"/>
                <w:highlight w:val="none"/>
                <w:lang w:val="zh-CN" w:eastAsia="zh-CN" w:bidi="zh-CN"/>
              </w:rPr>
            </w:pPr>
            <w:r>
              <w:rPr>
                <w:rFonts w:hint="eastAsia" w:eastAsia="宋体" w:cs="Times New Roman"/>
                <w:b w:val="0"/>
                <w:bCs w:val="0"/>
                <w:sz w:val="21"/>
                <w:szCs w:val="21"/>
                <w:lang w:val="en-US" w:eastAsia="zh-CN"/>
              </w:rPr>
              <w:t>26</w:t>
            </w:r>
          </w:p>
        </w:tc>
        <w:tc>
          <w:tcPr>
            <w:tcW w:w="1319"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zh-CN" w:eastAsia="zh-CN" w:bidi="en-US"/>
              </w:rPr>
            </w:pPr>
            <w:r>
              <w:rPr>
                <w:rFonts w:hint="eastAsia" w:eastAsia="宋体" w:cs="Times New Roman"/>
                <w:b w:val="0"/>
                <w:bCs w:val="0"/>
                <w:sz w:val="21"/>
                <w:szCs w:val="21"/>
                <w:lang w:val="en-US" w:eastAsia="zh-CN"/>
              </w:rPr>
              <w:t>26</w:t>
            </w:r>
          </w:p>
        </w:tc>
        <w:tc>
          <w:tcPr>
            <w:tcW w:w="1091"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zh-CN" w:eastAsia="zh-CN" w:bidi="en-US"/>
              </w:rPr>
            </w:pPr>
            <w:r>
              <w:rPr>
                <w:rFonts w:hint="eastAsia" w:eastAsia="宋体" w:cs="Times New Roman"/>
                <w:b w:val="0"/>
                <w:bCs w:val="0"/>
                <w:sz w:val="21"/>
                <w:szCs w:val="21"/>
                <w:lang w:val="en-US" w:eastAsia="zh-CN"/>
              </w:rPr>
              <w:t>24</w:t>
            </w:r>
          </w:p>
        </w:tc>
        <w:tc>
          <w:tcPr>
            <w:tcW w:w="2718" w:type="dxa"/>
            <w:gridSpan w:val="2"/>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ascii="Times New Roman" w:hAnsi="Times New Roman" w:eastAsia="宋体" w:cs="宋体"/>
                <w:b w:val="0"/>
                <w:bCs/>
                <w:color w:val="auto"/>
                <w:kern w:val="0"/>
                <w:sz w:val="21"/>
                <w:szCs w:val="21"/>
                <w:highlight w:val="none"/>
                <w:lang w:val="zh-CN" w:eastAsia="zh-CN" w:bidi="ar"/>
              </w:rPr>
            </w:pPr>
            <w:r>
              <w:rPr>
                <w:rFonts w:hint="eastAsia" w:eastAsia="宋体" w:cs="Times New Roman"/>
                <w:b w:val="0"/>
                <w:bCs w:val="0"/>
                <w:sz w:val="21"/>
                <w:szCs w:val="21"/>
                <w:lang w:val="en-US" w:eastAsia="zh-CN"/>
              </w:rPr>
              <w:t>800</w:t>
            </w:r>
          </w:p>
        </w:tc>
      </w:tr>
    </w:tbl>
    <w:p>
      <w:pPr>
        <w:keepNext w:val="0"/>
        <w:keepLines w:val="0"/>
        <w:pageBreakBefore w:val="0"/>
        <w:widowControl w:val="0"/>
        <w:kinsoku/>
        <w:wordWrap/>
        <w:overflowPunct/>
        <w:topLinePunct w:val="0"/>
        <w:autoSpaceDE/>
        <w:autoSpaceDN/>
        <w:bidi w:val="0"/>
        <w:adjustRightInd w:val="0"/>
        <w:snapToGrid w:val="0"/>
        <w:spacing w:before="313" w:beforeLines="100" w:line="240" w:lineRule="auto"/>
        <w:ind w:firstLine="0" w:firstLineChars="0"/>
        <w:jc w:val="center"/>
        <w:textAlignment w:val="auto"/>
        <w:rPr>
          <w:b/>
          <w:color w:val="auto"/>
          <w:sz w:val="21"/>
          <w:szCs w:val="18"/>
          <w:highlight w:val="none"/>
        </w:rPr>
      </w:pPr>
      <w:r>
        <w:rPr>
          <w:b/>
          <w:color w:val="auto"/>
          <w:sz w:val="21"/>
          <w:szCs w:val="18"/>
          <w:highlight w:val="none"/>
        </w:rPr>
        <w:t>表4.2-</w:t>
      </w:r>
      <w:r>
        <w:rPr>
          <w:rFonts w:hint="eastAsia"/>
          <w:b/>
          <w:color w:val="auto"/>
          <w:sz w:val="21"/>
          <w:szCs w:val="18"/>
          <w:highlight w:val="none"/>
          <w:lang w:val="en-US" w:eastAsia="zh-CN"/>
        </w:rPr>
        <w:t>8</w:t>
      </w:r>
      <w:r>
        <w:rPr>
          <w:b/>
          <w:color w:val="auto"/>
          <w:sz w:val="21"/>
          <w:szCs w:val="18"/>
          <w:highlight w:val="none"/>
        </w:rPr>
        <w:t xml:space="preserve">  </w:t>
      </w:r>
      <w:r>
        <w:rPr>
          <w:rFonts w:hint="eastAsia"/>
          <w:b/>
          <w:color w:val="auto"/>
          <w:sz w:val="21"/>
          <w:szCs w:val="18"/>
          <w:highlight w:val="none"/>
        </w:rPr>
        <w:t>T-1</w:t>
      </w:r>
      <w:r>
        <w:rPr>
          <w:b/>
          <w:color w:val="auto"/>
          <w:sz w:val="21"/>
          <w:szCs w:val="18"/>
          <w:highlight w:val="none"/>
        </w:rPr>
        <w:t>监测点土壤质量现状监测及评价结果    单位：mg/kg</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
        <w:gridCol w:w="806"/>
        <w:gridCol w:w="563"/>
        <w:gridCol w:w="563"/>
        <w:gridCol w:w="563"/>
        <w:gridCol w:w="1215"/>
        <w:gridCol w:w="407"/>
        <w:gridCol w:w="806"/>
        <w:gridCol w:w="658"/>
        <w:gridCol w:w="658"/>
        <w:gridCol w:w="658"/>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7" w:type="pct"/>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监测点</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w w:val="90"/>
                <w:sz w:val="21"/>
                <w:szCs w:val="21"/>
                <w:highlight w:val="none"/>
              </w:rPr>
            </w:pPr>
            <w:r>
              <w:rPr>
                <w:color w:val="auto"/>
                <w:sz w:val="21"/>
                <w:szCs w:val="21"/>
                <w:highlight w:val="none"/>
              </w:rPr>
              <w:t>项目</w:t>
            </w:r>
          </w:p>
        </w:tc>
        <w:tc>
          <w:tcPr>
            <w:tcW w:w="28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T-1</w:t>
            </w:r>
          </w:p>
        </w:tc>
        <w:tc>
          <w:tcPr>
            <w:tcW w:w="278"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eastAsia="宋体"/>
                <w:color w:val="auto"/>
                <w:sz w:val="21"/>
                <w:szCs w:val="21"/>
                <w:highlight w:val="none"/>
                <w:lang w:val="en-US" w:eastAsia="zh-CN" w:bidi="zh-TW"/>
              </w:rPr>
            </w:pPr>
            <w:r>
              <w:rPr>
                <w:rFonts w:hint="eastAsia"/>
                <w:color w:val="auto"/>
                <w:sz w:val="21"/>
                <w:szCs w:val="21"/>
                <w:highlight w:val="none"/>
                <w:lang w:val="en-US" w:eastAsia="zh-CN" w:bidi="zh-TW"/>
              </w:rPr>
              <w:t>T-2</w:t>
            </w:r>
          </w:p>
        </w:tc>
        <w:tc>
          <w:tcPr>
            <w:tcW w:w="278"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eastAsia="宋体"/>
                <w:color w:val="auto"/>
                <w:sz w:val="21"/>
                <w:szCs w:val="21"/>
                <w:highlight w:val="none"/>
                <w:lang w:val="en-US" w:eastAsia="zh-CN" w:bidi="zh-TW"/>
              </w:rPr>
            </w:pPr>
            <w:r>
              <w:rPr>
                <w:rFonts w:hint="eastAsia"/>
                <w:color w:val="auto"/>
                <w:sz w:val="21"/>
                <w:szCs w:val="21"/>
                <w:highlight w:val="none"/>
                <w:lang w:val="en-US" w:eastAsia="zh-CN" w:bidi="zh-TW"/>
              </w:rPr>
              <w:t>T-3</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highlight w:val="none"/>
                <w:lang w:eastAsia="en-US" w:bidi="en-US"/>
              </w:rPr>
            </w:pPr>
            <w:r>
              <w:rPr>
                <w:color w:val="auto"/>
                <w:sz w:val="21"/>
                <w:szCs w:val="21"/>
                <w:highlight w:val="none"/>
                <w:lang w:val="zh-TW" w:bidi="zh-TW"/>
              </w:rPr>
              <w:t>（GB36600-2018）中</w:t>
            </w:r>
            <w:r>
              <w:rPr>
                <w:color w:val="auto"/>
                <w:sz w:val="21"/>
                <w:szCs w:val="21"/>
                <w:highlight w:val="none"/>
              </w:rPr>
              <w:t>第二类用地筛选值</w:t>
            </w:r>
          </w:p>
        </w:tc>
        <w:tc>
          <w:tcPr>
            <w:tcW w:w="757" w:type="pct"/>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监测点</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项目</w:t>
            </w:r>
          </w:p>
        </w:tc>
        <w:tc>
          <w:tcPr>
            <w:tcW w:w="343"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T-1</w:t>
            </w:r>
          </w:p>
        </w:tc>
        <w:tc>
          <w:tcPr>
            <w:tcW w:w="206"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eastAsia="宋体"/>
                <w:color w:val="auto"/>
                <w:sz w:val="21"/>
                <w:szCs w:val="21"/>
                <w:highlight w:val="none"/>
                <w:lang w:val="en-US" w:eastAsia="zh-CN" w:bidi="zh-TW"/>
              </w:rPr>
            </w:pPr>
            <w:r>
              <w:rPr>
                <w:rFonts w:hint="eastAsia"/>
                <w:color w:val="auto"/>
                <w:sz w:val="21"/>
                <w:szCs w:val="21"/>
                <w:highlight w:val="none"/>
                <w:lang w:val="en-US" w:eastAsia="zh-CN" w:bidi="zh-TW"/>
              </w:rPr>
              <w:t>T-2</w:t>
            </w:r>
          </w:p>
        </w:tc>
        <w:tc>
          <w:tcPr>
            <w:tcW w:w="55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default" w:eastAsia="宋体"/>
                <w:color w:val="auto"/>
                <w:sz w:val="21"/>
                <w:szCs w:val="21"/>
                <w:highlight w:val="none"/>
                <w:lang w:val="en-US" w:eastAsia="zh-CN" w:bidi="zh-TW"/>
              </w:rPr>
            </w:pPr>
            <w:r>
              <w:rPr>
                <w:rFonts w:hint="eastAsia"/>
                <w:color w:val="auto"/>
                <w:sz w:val="21"/>
                <w:szCs w:val="21"/>
                <w:highlight w:val="none"/>
                <w:lang w:val="en-US" w:eastAsia="zh-CN" w:bidi="zh-TW"/>
              </w:rPr>
              <w:t>T-3</w:t>
            </w:r>
          </w:p>
        </w:tc>
        <w:tc>
          <w:tcPr>
            <w:tcW w:w="77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color w:val="auto"/>
                <w:sz w:val="21"/>
                <w:szCs w:val="21"/>
                <w:highlight w:val="none"/>
              </w:rPr>
            </w:pPr>
            <w:r>
              <w:rPr>
                <w:color w:val="auto"/>
                <w:sz w:val="21"/>
                <w:szCs w:val="21"/>
                <w:highlight w:val="none"/>
                <w:lang w:val="zh-TW" w:bidi="zh-TW"/>
              </w:rPr>
              <w:t>（GB36600-2018）中</w:t>
            </w:r>
            <w:r>
              <w:rPr>
                <w:color w:val="auto"/>
                <w:sz w:val="21"/>
                <w:szCs w:val="21"/>
                <w:highlight w:val="none"/>
              </w:rPr>
              <w:t>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rFonts w:hint="eastAsia"/>
                <w:color w:val="auto"/>
                <w:kern w:val="0"/>
                <w:sz w:val="21"/>
                <w:szCs w:val="21"/>
                <w:highlight w:val="none"/>
                <w:lang w:val="en-US" w:eastAsia="zh-CN" w:bidi="ar"/>
              </w:rPr>
              <w:t>8</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氯乙烯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&lt;1.5</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&lt;1.5</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&lt;1.5</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rFonts w:hint="eastAsia"/>
                <w:color w:val="000000"/>
                <w:sz w:val="21"/>
                <w:szCs w:val="21"/>
                <w:lang w:val="en-US" w:eastAsia="zh-CN"/>
              </w:rPr>
              <w:t>430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2</w:t>
            </w:r>
            <w:r>
              <w:rPr>
                <w:rFonts w:hint="eastAsia" w:cs="Times New Roman"/>
                <w:color w:val="auto"/>
                <w:kern w:val="0"/>
                <w:sz w:val="21"/>
                <w:szCs w:val="21"/>
                <w:highlight w:val="none"/>
                <w:lang w:val="en-US" w:eastAsia="zh-CN" w:bidi="ar"/>
              </w:rPr>
              <w:t>7</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间,对-二甲苯</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3.6</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3.6</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3.6</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570</w:t>
            </w:r>
            <w:r>
              <w:rPr>
                <w:rFonts w:hint="eastAsia"/>
                <w:color w:val="000000"/>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rFonts w:hint="eastAsia"/>
                <w:color w:val="auto"/>
                <w:kern w:val="0"/>
                <w:sz w:val="21"/>
                <w:szCs w:val="21"/>
                <w:highlight w:val="none"/>
                <w:lang w:val="en-US" w:eastAsia="zh-CN" w:bidi="ar"/>
              </w:rPr>
              <w:t>9</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1,1-二氯乙烯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en-US" w:bidi="ar-SA"/>
              </w:rPr>
            </w:pPr>
            <w:r>
              <w:rPr>
                <w:rFonts w:hint="default" w:ascii="Times New Roman" w:hAnsi="Times New Roman" w:eastAsia="宋体" w:cs="Times New Roman"/>
                <w:color w:val="000000"/>
                <w:sz w:val="21"/>
                <w:szCs w:val="21"/>
                <w:lang w:val="en-US" w:eastAsia="zh-CN"/>
              </w:rPr>
              <w:t>&lt;0.8</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&lt;0.8</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&lt;0.8</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rFonts w:hint="eastAsia"/>
                <w:color w:val="000000"/>
                <w:sz w:val="21"/>
                <w:szCs w:val="21"/>
                <w:lang w:val="en-US" w:eastAsia="zh-CN"/>
              </w:rPr>
              <w:t>66000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2</w:t>
            </w:r>
            <w:r>
              <w:rPr>
                <w:rFonts w:hint="eastAsia" w:cs="Times New Roman"/>
                <w:color w:val="auto"/>
                <w:kern w:val="0"/>
                <w:sz w:val="21"/>
                <w:szCs w:val="21"/>
                <w:highlight w:val="none"/>
                <w:lang w:val="en-US" w:eastAsia="zh-CN" w:bidi="ar"/>
              </w:rPr>
              <w:t>8</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邻-二甲苯</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1.3</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1.3</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1.3</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640</w:t>
            </w:r>
            <w:r>
              <w:rPr>
                <w:rFonts w:hint="eastAsia"/>
                <w:color w:val="000000"/>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1</w:t>
            </w:r>
            <w:r>
              <w:rPr>
                <w:rFonts w:hint="eastAsia"/>
                <w:color w:val="auto"/>
                <w:kern w:val="0"/>
                <w:sz w:val="21"/>
                <w:szCs w:val="21"/>
                <w:highlight w:val="none"/>
                <w:lang w:val="en-US" w:eastAsia="zh-CN" w:bidi="ar"/>
              </w:rPr>
              <w:t>0</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二氯甲烷</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en-US" w:bidi="ar-SA"/>
              </w:rPr>
            </w:pPr>
            <w:r>
              <w:rPr>
                <w:rFonts w:hint="default" w:ascii="Times New Roman" w:hAnsi="Times New Roman" w:eastAsia="宋体" w:cs="Times New Roman"/>
                <w:color w:val="000000"/>
                <w:sz w:val="21"/>
                <w:szCs w:val="21"/>
                <w:lang w:val="en-US" w:eastAsia="zh-CN"/>
              </w:rPr>
              <w:t>&lt;2.6</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&lt;2.6</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&lt;2.6</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color w:val="000000"/>
                <w:sz w:val="21"/>
                <w:szCs w:val="21"/>
              </w:rPr>
              <w:t>616</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29</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eastAsia="zh-CN"/>
              </w:rPr>
              <w:t>苯乙烯</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1.6</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1.6</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1.6</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color w:val="000000"/>
                <w:sz w:val="21"/>
                <w:szCs w:val="21"/>
              </w:rPr>
              <w:t>1290</w:t>
            </w:r>
            <w:r>
              <w:rPr>
                <w:rFonts w:hint="eastAsia"/>
                <w:color w:val="000000"/>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val="en-US" w:eastAsia="zh-CN"/>
              </w:rPr>
            </w:pPr>
            <w:r>
              <w:rPr>
                <w:color w:val="auto"/>
                <w:kern w:val="0"/>
                <w:sz w:val="21"/>
                <w:szCs w:val="21"/>
                <w:highlight w:val="none"/>
                <w:lang w:bidi="ar"/>
              </w:rPr>
              <w:t>1</w:t>
            </w:r>
            <w:r>
              <w:rPr>
                <w:rFonts w:hint="eastAsia"/>
                <w:color w:val="auto"/>
                <w:kern w:val="0"/>
                <w:sz w:val="21"/>
                <w:szCs w:val="21"/>
                <w:highlight w:val="none"/>
                <w:lang w:val="en-US" w:eastAsia="zh-CN" w:bidi="ar"/>
              </w:rPr>
              <w:t>1</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反-1,2-二氯乙烯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en-US" w:bidi="ar-SA"/>
              </w:rPr>
            </w:pPr>
            <w:r>
              <w:rPr>
                <w:rFonts w:hint="default" w:ascii="Times New Roman" w:hAnsi="Times New Roman" w:eastAsia="宋体" w:cs="Times New Roman"/>
                <w:color w:val="000000"/>
                <w:sz w:val="21"/>
                <w:szCs w:val="21"/>
                <w:lang w:val="en-US" w:eastAsia="zh-CN"/>
              </w:rPr>
              <w:t>&lt;0.9</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&lt;0.9</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&lt;0.9</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54</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3</w:t>
            </w:r>
            <w:r>
              <w:rPr>
                <w:rFonts w:hint="eastAsia" w:cs="Times New Roman"/>
                <w:color w:val="auto"/>
                <w:kern w:val="0"/>
                <w:sz w:val="21"/>
                <w:szCs w:val="21"/>
                <w:highlight w:val="none"/>
                <w:lang w:val="en-US" w:eastAsia="zh-CN" w:bidi="ar"/>
              </w:rPr>
              <w:t>0</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1,1,2,2-四氯乙烷</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rFonts w:hint="eastAsia"/>
                <w:color w:val="000000"/>
                <w:sz w:val="21"/>
                <w:szCs w:val="21"/>
                <w:lang w:val="en-US" w:eastAsia="zh-CN"/>
              </w:rPr>
              <w:t>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1</w:t>
            </w:r>
            <w:r>
              <w:rPr>
                <w:rFonts w:hint="eastAsia"/>
                <w:color w:val="auto"/>
                <w:kern w:val="0"/>
                <w:sz w:val="21"/>
                <w:szCs w:val="21"/>
                <w:highlight w:val="none"/>
                <w:lang w:val="en-US" w:eastAsia="zh-CN" w:bidi="ar"/>
              </w:rPr>
              <w:t>2</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1,1-二氯乙烷</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en-US" w:bidi="ar-SA"/>
              </w:rPr>
            </w:pPr>
            <w:r>
              <w:rPr>
                <w:rFonts w:hint="default" w:ascii="Times New Roman" w:hAnsi="Times New Roman" w:eastAsia="宋体" w:cs="Times New Roman"/>
                <w:color w:val="000000"/>
                <w:sz w:val="21"/>
                <w:szCs w:val="21"/>
                <w:lang w:val="en-US" w:eastAsia="zh-CN"/>
              </w:rPr>
              <w:t>&lt;1.6</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&lt;1.6</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&lt;1.6</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9</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3</w:t>
            </w:r>
            <w:r>
              <w:rPr>
                <w:rFonts w:hint="eastAsia" w:cs="Times New Roman"/>
                <w:color w:val="auto"/>
                <w:kern w:val="0"/>
                <w:sz w:val="21"/>
                <w:szCs w:val="21"/>
                <w:highlight w:val="none"/>
                <w:lang w:val="en-US" w:eastAsia="zh-CN" w:bidi="ar"/>
              </w:rPr>
              <w:t>1</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1,2,3-三氯丙烷</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rFonts w:hint="eastAsia"/>
                <w:color w:val="000000"/>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1</w:t>
            </w:r>
            <w:r>
              <w:rPr>
                <w:rFonts w:hint="eastAsia"/>
                <w:color w:val="auto"/>
                <w:kern w:val="0"/>
                <w:sz w:val="21"/>
                <w:szCs w:val="21"/>
                <w:highlight w:val="none"/>
                <w:lang w:val="en-US" w:eastAsia="zh-CN" w:bidi="ar"/>
              </w:rPr>
              <w:t>3</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顺-1,2-二氯乙烯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en-US" w:bidi="ar-SA"/>
              </w:rPr>
            </w:pPr>
            <w:r>
              <w:rPr>
                <w:rFonts w:hint="default" w:ascii="Times New Roman" w:hAnsi="Times New Roman" w:eastAsia="宋体" w:cs="Times New Roman"/>
                <w:color w:val="000000"/>
                <w:sz w:val="21"/>
                <w:szCs w:val="21"/>
                <w:lang w:val="en-US" w:eastAsia="zh-CN"/>
              </w:rPr>
              <w:t>&lt;0.9</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&lt;0.9</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&lt;0.9</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596</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3</w:t>
            </w:r>
            <w:r>
              <w:rPr>
                <w:rFonts w:hint="eastAsia" w:cs="Times New Roman"/>
                <w:color w:val="auto"/>
                <w:kern w:val="0"/>
                <w:sz w:val="21"/>
                <w:szCs w:val="21"/>
                <w:highlight w:val="none"/>
                <w:lang w:val="en-US" w:eastAsia="zh-CN" w:bidi="ar"/>
              </w:rPr>
              <w:t>2</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1,4-二氯苯</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1.2</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1.2</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1.2</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20</w:t>
            </w:r>
            <w:r>
              <w:rPr>
                <w:rFonts w:hint="eastAsia"/>
                <w:color w:val="000000"/>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1</w:t>
            </w:r>
            <w:r>
              <w:rPr>
                <w:rFonts w:hint="eastAsia"/>
                <w:color w:val="auto"/>
                <w:kern w:val="0"/>
                <w:sz w:val="21"/>
                <w:szCs w:val="21"/>
                <w:highlight w:val="none"/>
                <w:lang w:val="en-US" w:eastAsia="zh-CN" w:bidi="ar"/>
              </w:rPr>
              <w:t>4</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0"/>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氯仿</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en-US" w:bidi="ar-SA"/>
              </w:rPr>
            </w:pPr>
            <w:r>
              <w:rPr>
                <w:rFonts w:hint="default" w:ascii="Times New Roman" w:hAnsi="Times New Roman" w:eastAsia="宋体" w:cs="Times New Roman"/>
                <w:color w:val="000000"/>
                <w:sz w:val="21"/>
                <w:szCs w:val="21"/>
                <w:lang w:val="en-US" w:eastAsia="zh-CN"/>
              </w:rPr>
              <w:t>&lt;1.5</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&lt;1.5</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&lt;1.5</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rFonts w:hint="eastAsia"/>
                <w:color w:val="000000"/>
                <w:sz w:val="21"/>
                <w:szCs w:val="21"/>
                <w:lang w:val="en-US" w:eastAsia="zh-CN"/>
              </w:rPr>
              <w:t>900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3</w:t>
            </w:r>
            <w:r>
              <w:rPr>
                <w:rFonts w:hint="eastAsia" w:cs="Times New Roman"/>
                <w:color w:val="auto"/>
                <w:kern w:val="0"/>
                <w:sz w:val="21"/>
                <w:szCs w:val="21"/>
                <w:highlight w:val="none"/>
                <w:lang w:val="en-US" w:eastAsia="zh-CN" w:bidi="ar"/>
              </w:rPr>
              <w:t>3</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1,2-二氯苯</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1.0</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1.0</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1.0</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560</w:t>
            </w:r>
            <w:r>
              <w:rPr>
                <w:rFonts w:hint="eastAsia"/>
                <w:color w:val="000000"/>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1</w:t>
            </w:r>
            <w:r>
              <w:rPr>
                <w:rFonts w:hint="eastAsia"/>
                <w:color w:val="auto"/>
                <w:kern w:val="0"/>
                <w:sz w:val="21"/>
                <w:szCs w:val="21"/>
                <w:highlight w:val="none"/>
                <w:lang w:val="en-US" w:eastAsia="zh-CN" w:bidi="ar"/>
              </w:rPr>
              <w:t>5</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1,1,1-三氯乙烷</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en-US" w:bidi="ar-SA"/>
              </w:rPr>
            </w:pPr>
            <w:r>
              <w:rPr>
                <w:rFonts w:hint="default" w:ascii="Times New Roman" w:hAnsi="Times New Roman" w:eastAsia="宋体" w:cs="Times New Roman"/>
                <w:color w:val="000000"/>
                <w:sz w:val="21"/>
                <w:szCs w:val="21"/>
                <w:lang w:val="en-US" w:eastAsia="zh-CN"/>
              </w:rPr>
              <w:t>&lt;1.1</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&lt;1.1</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&lt;1.1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color w:val="000000"/>
                <w:sz w:val="21"/>
                <w:szCs w:val="21"/>
              </w:rPr>
              <w:t>840</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3</w:t>
            </w:r>
            <w:r>
              <w:rPr>
                <w:rFonts w:hint="eastAsia" w:cs="Times New Roman"/>
                <w:color w:val="auto"/>
                <w:kern w:val="0"/>
                <w:sz w:val="21"/>
                <w:szCs w:val="21"/>
                <w:highlight w:val="none"/>
                <w:lang w:val="en-US" w:eastAsia="zh-CN" w:bidi="ar"/>
              </w:rPr>
              <w:t>4</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氯甲烷</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37</w:t>
            </w:r>
            <w:r>
              <w:rPr>
                <w:rFonts w:hint="eastAsia"/>
                <w:color w:val="000000"/>
                <w:sz w:val="21"/>
                <w:szCs w:val="21"/>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1</w:t>
            </w:r>
            <w:r>
              <w:rPr>
                <w:rFonts w:hint="eastAsia"/>
                <w:color w:val="auto"/>
                <w:kern w:val="0"/>
                <w:sz w:val="21"/>
                <w:szCs w:val="21"/>
                <w:highlight w:val="none"/>
                <w:lang w:val="en-US" w:eastAsia="zh-CN" w:bidi="ar"/>
              </w:rPr>
              <w:t>6</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四氯化碳</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en-US" w:bidi="ar-SA"/>
              </w:rPr>
            </w:pPr>
            <w:r>
              <w:rPr>
                <w:rFonts w:hint="default" w:ascii="Times New Roman" w:hAnsi="Times New Roman" w:eastAsia="宋体" w:cs="Times New Roman"/>
                <w:color w:val="000000"/>
                <w:sz w:val="21"/>
                <w:szCs w:val="21"/>
                <w:lang w:val="en-US" w:eastAsia="zh-CN"/>
              </w:rPr>
              <w:t>&lt;2.1</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&lt;2.1</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&lt;2.1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rFonts w:hint="eastAsia"/>
                <w:color w:val="000000"/>
                <w:sz w:val="21"/>
                <w:szCs w:val="21"/>
                <w:lang w:val="en-US" w:eastAsia="zh-CN"/>
              </w:rPr>
              <w:t>2800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35</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硝基苯</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0.09</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0.09</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0.09</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en-US" w:bidi="ar-SA"/>
              </w:rPr>
            </w:pPr>
            <w:r>
              <w:rPr>
                <w:color w:val="000000"/>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1</w:t>
            </w:r>
            <w:r>
              <w:rPr>
                <w:rFonts w:hint="eastAsia"/>
                <w:color w:val="auto"/>
                <w:kern w:val="0"/>
                <w:sz w:val="21"/>
                <w:szCs w:val="21"/>
                <w:highlight w:val="none"/>
                <w:lang w:val="en-US" w:eastAsia="zh-CN" w:bidi="ar"/>
              </w:rPr>
              <w:t>7</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1,2-二氯乙烷</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1.3</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1.3</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1.3</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color w:val="000000"/>
                <w:sz w:val="21"/>
                <w:szCs w:val="21"/>
              </w:rPr>
              <w:t>5</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3</w:t>
            </w:r>
            <w:r>
              <w:rPr>
                <w:rFonts w:hint="eastAsia" w:cs="Times New Roman"/>
                <w:color w:val="auto"/>
                <w:kern w:val="0"/>
                <w:sz w:val="21"/>
                <w:szCs w:val="21"/>
                <w:highlight w:val="none"/>
                <w:lang w:val="en-US" w:eastAsia="zh-CN" w:bidi="ar"/>
              </w:rPr>
              <w:t>6</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FF0000"/>
                <w:kern w:val="2"/>
                <w:sz w:val="21"/>
                <w:szCs w:val="21"/>
                <w:lang w:val="en-US" w:eastAsia="en-US" w:bidi="ar-SA"/>
              </w:rPr>
            </w:pPr>
            <w:r>
              <w:rPr>
                <w:rFonts w:hint="default" w:ascii="Times New Roman" w:hAnsi="Times New Roman" w:eastAsia="宋体" w:cs="Times New Roman"/>
                <w:b w:val="0"/>
                <w:bCs w:val="0"/>
                <w:color w:val="000000"/>
                <w:sz w:val="21"/>
                <w:szCs w:val="21"/>
                <w:lang w:eastAsia="zh-CN"/>
              </w:rPr>
              <w:t>苯胺</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&lt;3.78</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&lt;3.78</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&lt;3.78</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en-US" w:bidi="ar-SA"/>
              </w:rPr>
            </w:pPr>
            <w:r>
              <w:rPr>
                <w:color w:val="000000"/>
                <w:sz w:val="21"/>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1</w:t>
            </w:r>
            <w:r>
              <w:rPr>
                <w:rFonts w:hint="eastAsia"/>
                <w:color w:val="auto"/>
                <w:kern w:val="0"/>
                <w:sz w:val="21"/>
                <w:szCs w:val="21"/>
                <w:highlight w:val="none"/>
                <w:lang w:val="en-US" w:eastAsia="zh-CN" w:bidi="ar"/>
              </w:rPr>
              <w:t>8</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6</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6</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6</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4</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3</w:t>
            </w:r>
            <w:r>
              <w:rPr>
                <w:rFonts w:hint="eastAsia" w:cs="Times New Roman"/>
                <w:color w:val="auto"/>
                <w:kern w:val="0"/>
                <w:sz w:val="21"/>
                <w:szCs w:val="21"/>
                <w:highlight w:val="none"/>
                <w:lang w:val="en-US" w:eastAsia="zh-CN" w:bidi="ar"/>
              </w:rPr>
              <w:t>7</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en-US" w:bidi="ar-SA"/>
              </w:rPr>
            </w:pPr>
            <w:r>
              <w:rPr>
                <w:rFonts w:hint="default" w:ascii="Times New Roman" w:hAnsi="Times New Roman" w:eastAsia="宋体" w:cs="Times New Roman"/>
                <w:b w:val="0"/>
                <w:bCs w:val="0"/>
                <w:color w:val="auto"/>
                <w:sz w:val="21"/>
                <w:szCs w:val="21"/>
                <w:lang w:val="en-US" w:eastAsia="zh-CN"/>
              </w:rPr>
              <w:t>2-氯酚</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&lt;0.06</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&lt;0.06</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&lt;0.06</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en-US" w:bidi="ar-SA"/>
              </w:rPr>
            </w:pPr>
            <w:r>
              <w:rPr>
                <w:color w:val="000000"/>
                <w:sz w:val="21"/>
                <w:szCs w:val="21"/>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19</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三氯乙烯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0.9</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0.9</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0.9</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rFonts w:hint="eastAsia"/>
                <w:color w:val="000000"/>
                <w:sz w:val="21"/>
                <w:szCs w:val="21"/>
                <w:lang w:val="en-US" w:eastAsia="zh-CN"/>
              </w:rPr>
              <w:t>2800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38</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苯并[a]蒽</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en-US" w:bidi="ar-SA"/>
              </w:rPr>
            </w:pPr>
            <w:r>
              <w:rPr>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2</w:t>
            </w:r>
            <w:r>
              <w:rPr>
                <w:rFonts w:hint="eastAsia"/>
                <w:color w:val="auto"/>
                <w:kern w:val="0"/>
                <w:sz w:val="21"/>
                <w:szCs w:val="21"/>
                <w:highlight w:val="none"/>
                <w:lang w:val="en-US" w:eastAsia="zh-CN" w:bidi="ar"/>
              </w:rPr>
              <w:t>0</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1,2-二氯丙烷</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1.9</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1.9</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1.9</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color w:val="000000"/>
                <w:sz w:val="21"/>
                <w:szCs w:val="21"/>
              </w:rPr>
              <w:t>5</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39</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 xml:space="preserve">苯并[a]芘 </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zh-CN" w:bidi="ar-SA"/>
              </w:rPr>
            </w:pPr>
            <w:r>
              <w:rPr>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2</w:t>
            </w:r>
            <w:r>
              <w:rPr>
                <w:rFonts w:hint="eastAsia"/>
                <w:color w:val="auto"/>
                <w:kern w:val="0"/>
                <w:sz w:val="21"/>
                <w:szCs w:val="21"/>
                <w:highlight w:val="none"/>
                <w:lang w:val="en-US" w:eastAsia="zh-CN" w:bidi="ar"/>
              </w:rPr>
              <w:t>1</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甲苯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&lt;2.0</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&lt;2.0</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&lt;2.0</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1200</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40</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苯并[b]荧蒽</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0.2</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0.2</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0.2</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zh-CN" w:bidi="ar-SA"/>
              </w:rPr>
            </w:pPr>
            <w:r>
              <w:rPr>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2</w:t>
            </w:r>
            <w:r>
              <w:rPr>
                <w:rFonts w:hint="eastAsia"/>
                <w:color w:val="auto"/>
                <w:kern w:val="0"/>
                <w:sz w:val="21"/>
                <w:szCs w:val="21"/>
                <w:highlight w:val="none"/>
                <w:lang w:val="en-US" w:eastAsia="zh-CN" w:bidi="ar"/>
              </w:rPr>
              <w:t>2</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1,1,2-三氯乙烷</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1.4</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1.4</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1.4</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rFonts w:hint="eastAsia"/>
                <w:color w:val="000000"/>
                <w:sz w:val="21"/>
                <w:szCs w:val="21"/>
                <w:lang w:val="en-US" w:eastAsia="zh-CN"/>
              </w:rPr>
              <w:t>2800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4</w:t>
            </w:r>
            <w:r>
              <w:rPr>
                <w:rFonts w:hint="eastAsia" w:cs="Times New Roman"/>
                <w:color w:val="auto"/>
                <w:kern w:val="0"/>
                <w:sz w:val="21"/>
                <w:szCs w:val="21"/>
                <w:highlight w:val="none"/>
                <w:lang w:val="en-US" w:eastAsia="zh-CN" w:bidi="ar"/>
              </w:rPr>
              <w:t>1</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kern w:val="2"/>
                <w:sz w:val="21"/>
                <w:szCs w:val="21"/>
                <w:lang w:val="en-US" w:eastAsia="en-US" w:bidi="ar-SA"/>
              </w:rPr>
            </w:pPr>
            <w:r>
              <w:rPr>
                <w:rFonts w:hint="default" w:ascii="Times New Roman" w:hAnsi="Times New Roman" w:eastAsia="宋体" w:cs="Times New Roman"/>
                <w:b w:val="0"/>
                <w:bCs/>
                <w:color w:val="000000"/>
                <w:sz w:val="21"/>
                <w:szCs w:val="21"/>
                <w:lang w:val="en-US" w:eastAsia="zh-CN"/>
              </w:rPr>
              <w:t>苯并[k]荧蒽</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en-US" w:bidi="ar-SA"/>
              </w:rPr>
            </w:pPr>
            <w:r>
              <w:rPr>
                <w:color w:val="000000"/>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2</w:t>
            </w:r>
            <w:r>
              <w:rPr>
                <w:rFonts w:hint="eastAsia"/>
                <w:color w:val="auto"/>
                <w:kern w:val="0"/>
                <w:sz w:val="21"/>
                <w:szCs w:val="21"/>
                <w:highlight w:val="none"/>
                <w:lang w:val="en-US" w:eastAsia="zh-CN" w:bidi="ar"/>
              </w:rPr>
              <w:t>3</w:t>
            </w:r>
          </w:p>
        </w:tc>
        <w:tc>
          <w:tcPr>
            <w:tcW w:w="5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四氯乙烯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0.8</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0.8</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0.8</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color w:val="000000"/>
                <w:sz w:val="21"/>
                <w:szCs w:val="21"/>
              </w:rPr>
              <w:t>53</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4</w:t>
            </w:r>
            <w:r>
              <w:rPr>
                <w:rFonts w:hint="eastAsia" w:cs="Times New Roman"/>
                <w:color w:val="auto"/>
                <w:kern w:val="0"/>
                <w:sz w:val="21"/>
                <w:szCs w:val="21"/>
                <w:highlight w:val="none"/>
                <w:lang w:val="en-US" w:eastAsia="zh-CN" w:bidi="ar"/>
              </w:rPr>
              <w:t>2</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1"/>
                <w:lang w:val="en-US" w:eastAsia="en-US" w:bidi="ar-SA"/>
              </w:rPr>
            </w:pPr>
            <w:r>
              <w:rPr>
                <w:rFonts w:hint="default" w:ascii="Times New Roman" w:hAnsi="Times New Roman" w:eastAsia="宋体" w:cs="Times New Roman"/>
                <w:b w:val="0"/>
                <w:bCs/>
                <w:color w:val="000000"/>
                <w:sz w:val="21"/>
                <w:szCs w:val="21"/>
                <w:lang w:val="en-US" w:eastAsia="zh-CN"/>
              </w:rPr>
              <w:t>䓛</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en-US" w:bidi="ar-SA"/>
              </w:rPr>
            </w:pPr>
            <w:r>
              <w:rPr>
                <w:color w:val="000000"/>
                <w:sz w:val="21"/>
                <w:szCs w:val="21"/>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2</w:t>
            </w:r>
            <w:r>
              <w:rPr>
                <w:rFonts w:hint="eastAsia"/>
                <w:color w:val="auto"/>
                <w:kern w:val="0"/>
                <w:sz w:val="21"/>
                <w:szCs w:val="21"/>
                <w:highlight w:val="none"/>
                <w:lang w:val="en-US" w:eastAsia="zh-CN" w:bidi="ar"/>
              </w:rPr>
              <w:t>4</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eastAsia="zh-CN"/>
              </w:rPr>
              <w:t>氯苯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1.1</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1.1</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270</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4</w:t>
            </w:r>
            <w:r>
              <w:rPr>
                <w:rFonts w:hint="eastAsia" w:cs="Times New Roman"/>
                <w:color w:val="auto"/>
                <w:kern w:val="0"/>
                <w:sz w:val="21"/>
                <w:szCs w:val="21"/>
                <w:highlight w:val="none"/>
                <w:lang w:val="en-US" w:eastAsia="zh-CN" w:bidi="ar"/>
              </w:rPr>
              <w:t>3</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1"/>
                <w:lang w:val="en-US" w:eastAsia="en-US" w:bidi="ar-SA"/>
              </w:rPr>
            </w:pPr>
            <w:r>
              <w:rPr>
                <w:rFonts w:hint="default" w:ascii="Times New Roman" w:hAnsi="Times New Roman" w:eastAsia="宋体" w:cs="Times New Roman"/>
                <w:b w:val="0"/>
                <w:bCs/>
                <w:color w:val="000000"/>
                <w:sz w:val="21"/>
                <w:szCs w:val="21"/>
                <w:lang w:val="en-US" w:eastAsia="zh-CN"/>
              </w:rPr>
              <w:t>二苯并[a,h]蒽</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en-US" w:bidi="ar-SA"/>
              </w:rPr>
            </w:pPr>
            <w:r>
              <w:rPr>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2</w:t>
            </w:r>
            <w:r>
              <w:rPr>
                <w:rFonts w:hint="eastAsia"/>
                <w:color w:val="auto"/>
                <w:kern w:val="0"/>
                <w:sz w:val="21"/>
                <w:szCs w:val="21"/>
                <w:highlight w:val="none"/>
                <w:lang w:val="en-US" w:eastAsia="zh-CN" w:bidi="ar"/>
              </w:rPr>
              <w:t>5</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en-US" w:bidi="ar-SA"/>
              </w:rPr>
            </w:pPr>
            <w:r>
              <w:rPr>
                <w:rFonts w:hint="default" w:ascii="Times New Roman" w:hAnsi="Times New Roman" w:eastAsia="宋体" w:cs="Times New Roman"/>
                <w:b w:val="0"/>
                <w:bCs w:val="0"/>
                <w:color w:val="000000"/>
                <w:sz w:val="21"/>
                <w:szCs w:val="21"/>
                <w:lang w:val="en-US" w:eastAsia="zh-CN"/>
              </w:rPr>
              <w:t>1,1,1,2-四氯乙烷</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en-US"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1.0</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en-US" w:bidi="ar-SA"/>
              </w:rPr>
            </w:pPr>
            <w:r>
              <w:rPr>
                <w:color w:val="000000"/>
                <w:sz w:val="21"/>
                <w:szCs w:val="21"/>
              </w:rPr>
              <w:t>10</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ascii="Times New Roman" w:hAnsi="Times New Roman" w:eastAsia="宋体" w:cs="Times New Roman"/>
                <w:color w:val="auto"/>
                <w:kern w:val="0"/>
                <w:sz w:val="21"/>
                <w:szCs w:val="21"/>
                <w:highlight w:val="none"/>
                <w:lang w:bidi="ar"/>
              </w:rPr>
              <w:t>4</w:t>
            </w:r>
            <w:r>
              <w:rPr>
                <w:rFonts w:hint="eastAsia" w:cs="Times New Roman"/>
                <w:color w:val="auto"/>
                <w:kern w:val="0"/>
                <w:sz w:val="21"/>
                <w:szCs w:val="21"/>
                <w:highlight w:val="none"/>
                <w:lang w:val="en-US" w:eastAsia="zh-CN" w:bidi="ar"/>
              </w:rPr>
              <w:t>4</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1"/>
                <w:lang w:val="en-US" w:eastAsia="en-US" w:bidi="ar-SA"/>
              </w:rPr>
            </w:pPr>
            <w:r>
              <w:rPr>
                <w:rFonts w:hint="default" w:ascii="Times New Roman" w:hAnsi="Times New Roman" w:eastAsia="宋体" w:cs="Times New Roman"/>
                <w:b w:val="0"/>
                <w:bCs/>
                <w:color w:val="000000"/>
                <w:sz w:val="21"/>
                <w:szCs w:val="21"/>
                <w:lang w:val="en-US" w:eastAsia="zh-CN"/>
              </w:rPr>
              <w:t>茚并[1,2,3-cd]芘</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en-US" w:bidi="ar-SA"/>
              </w:rPr>
            </w:pPr>
            <w:r>
              <w:rPr>
                <w:rFonts w:hint="eastAsia" w:ascii="Times New Roman" w:hAnsi="Times New Roman" w:eastAsia="宋体" w:cs="Times New Roman"/>
                <w:color w:val="auto"/>
                <w:sz w:val="21"/>
                <w:szCs w:val="21"/>
                <w:lang w:val="en-US" w:eastAsia="zh-CN"/>
              </w:rPr>
              <w:t>&lt;0.1</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&lt;0.1</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&lt;0.1</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Theme="minorEastAsia" w:cstheme="minorBidi"/>
                <w:color w:val="000000"/>
                <w:kern w:val="2"/>
                <w:sz w:val="21"/>
                <w:szCs w:val="21"/>
                <w:lang w:val="en-US" w:eastAsia="en-US" w:bidi="ar-SA"/>
              </w:rPr>
            </w:pPr>
            <w:r>
              <w:rPr>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color w:val="auto"/>
                <w:kern w:val="0"/>
                <w:sz w:val="21"/>
                <w:szCs w:val="21"/>
                <w:highlight w:val="none"/>
                <w:lang w:bidi="ar"/>
              </w:rPr>
              <w:t>2</w:t>
            </w:r>
            <w:r>
              <w:rPr>
                <w:rFonts w:hint="eastAsia"/>
                <w:color w:val="auto"/>
                <w:kern w:val="0"/>
                <w:sz w:val="21"/>
                <w:szCs w:val="21"/>
                <w:highlight w:val="none"/>
                <w:lang w:val="en-US" w:eastAsia="zh-CN" w:bidi="ar"/>
              </w:rPr>
              <w:t>6</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eastAsia="zh-CN"/>
              </w:rPr>
              <w:t>乙苯</w:t>
            </w:r>
          </w:p>
        </w:tc>
        <w:tc>
          <w:tcPr>
            <w:tcW w:w="28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1.2</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1.2</w:t>
            </w:r>
          </w:p>
        </w:tc>
        <w:tc>
          <w:tcPr>
            <w:tcW w:w="278"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&lt;</w:t>
            </w:r>
            <w:r>
              <w:rPr>
                <w:rFonts w:hint="default" w:ascii="Times New Roman" w:hAnsi="Times New Roman" w:eastAsia="宋体" w:cs="Times New Roman"/>
                <w:color w:val="000000"/>
                <w:sz w:val="21"/>
                <w:szCs w:val="21"/>
                <w:lang w:val="en-US" w:eastAsia="zh-CN"/>
              </w:rPr>
              <w:t>1.2</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color w:val="000000"/>
                <w:sz w:val="21"/>
                <w:szCs w:val="21"/>
              </w:rPr>
              <w:t>28</w:t>
            </w:r>
            <w:r>
              <w:rPr>
                <w:rFonts w:hint="eastAsia"/>
                <w:color w:val="000000"/>
                <w:sz w:val="21"/>
                <w:szCs w:val="21"/>
                <w:lang w:val="en-US" w:eastAsia="zh-CN"/>
              </w:rPr>
              <w:t>000</w:t>
            </w:r>
          </w:p>
        </w:tc>
        <w:tc>
          <w:tcPr>
            <w:tcW w:w="2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45</w:t>
            </w:r>
          </w:p>
        </w:tc>
        <w:tc>
          <w:tcPr>
            <w:tcW w:w="507"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萘</w:t>
            </w:r>
          </w:p>
        </w:tc>
        <w:tc>
          <w:tcPr>
            <w:tcW w:w="343"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09</w:t>
            </w:r>
          </w:p>
        </w:tc>
        <w:tc>
          <w:tcPr>
            <w:tcW w:w="206"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09</w:t>
            </w:r>
          </w:p>
        </w:tc>
        <w:tc>
          <w:tcPr>
            <w:tcW w:w="555"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&lt;</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09</w:t>
            </w:r>
          </w:p>
        </w:tc>
        <w:tc>
          <w:tcPr>
            <w:tcW w:w="771" w:type="pc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Theme="minorEastAsia" w:cstheme="minorBidi"/>
                <w:color w:val="000000"/>
                <w:kern w:val="2"/>
                <w:sz w:val="21"/>
                <w:szCs w:val="21"/>
                <w:lang w:val="en-US" w:eastAsia="zh-CN" w:bidi="ar-SA"/>
              </w:rPr>
            </w:pPr>
            <w:r>
              <w:rPr>
                <w:color w:val="000000"/>
                <w:sz w:val="21"/>
                <w:szCs w:val="21"/>
              </w:rPr>
              <w:t>70</w:t>
            </w:r>
          </w:p>
        </w:tc>
      </w:tr>
    </w:tbl>
    <w:p>
      <w:pPr>
        <w:pStyle w:val="14"/>
        <w:spacing w:line="360" w:lineRule="auto"/>
        <w:ind w:left="0" w:firstLine="480" w:firstLineChars="200"/>
        <w:jc w:val="both"/>
      </w:pPr>
      <w:r>
        <w:rPr>
          <w:rFonts w:hint="default" w:ascii="Times New Roman" w:hAnsi="Times New Roman" w:eastAsia="宋体" w:cs="Times New Roman"/>
          <w:color w:val="auto"/>
          <w:sz w:val="24"/>
          <w:szCs w:val="24"/>
          <w:highlight w:val="none"/>
        </w:rPr>
        <w:t>监测结果显示：T-1、T-2</w:t>
      </w:r>
      <w:r>
        <w:rPr>
          <w:rFonts w:hint="default" w:ascii="Times New Roman" w:hAnsi="Times New Roman" w:eastAsia="宋体" w:cs="Times New Roman"/>
          <w:color w:val="auto"/>
          <w:sz w:val="24"/>
          <w:szCs w:val="24"/>
          <w:highlight w:val="none"/>
          <w:lang w:val="zh-TW"/>
        </w:rPr>
        <w:t>及</w:t>
      </w:r>
      <w:r>
        <w:rPr>
          <w:rFonts w:hint="default" w:ascii="Times New Roman" w:hAnsi="Times New Roman" w:eastAsia="宋体" w:cs="Times New Roman"/>
          <w:color w:val="auto"/>
          <w:sz w:val="24"/>
          <w:szCs w:val="24"/>
          <w:highlight w:val="none"/>
        </w:rPr>
        <w:t>T-3各监测点的各项监测因子均满足</w:t>
      </w:r>
      <w:r>
        <w:rPr>
          <w:rFonts w:hint="default" w:ascii="Times New Roman" w:hAnsi="Times New Roman" w:eastAsia="宋体" w:cs="Times New Roman"/>
          <w:color w:val="auto"/>
          <w:sz w:val="24"/>
          <w:szCs w:val="24"/>
          <w:highlight w:val="none"/>
          <w:lang w:val="zh-TW"/>
        </w:rPr>
        <w:t>《土壤环境质量 建设用地土壤污染风险管控标准（试行）》（GB36600-2018）中的第二类用地风险筛选值</w:t>
      </w:r>
      <w:r>
        <w:rPr>
          <w:rFonts w:hint="default" w:ascii="Times New Roman" w:hAnsi="Times New Roman" w:eastAsia="宋体" w:cs="Times New Roman"/>
          <w:color w:val="auto"/>
          <w:sz w:val="24"/>
          <w:szCs w:val="24"/>
          <w:highlight w:val="none"/>
        </w:rPr>
        <w:t>限值要求。</w:t>
      </w:r>
    </w:p>
    <w:p>
      <w:pPr>
        <w:pStyle w:val="6"/>
        <w:numPr>
          <w:ilvl w:val="2"/>
          <w:numId w:val="17"/>
        </w:numPr>
        <w:tabs>
          <w:tab w:val="left" w:pos="1241"/>
        </w:tabs>
        <w:spacing w:line="360" w:lineRule="auto"/>
        <w:ind w:left="0" w:firstLine="562" w:firstLineChars="200"/>
        <w:jc w:val="both"/>
      </w:pPr>
      <w:bookmarkStart w:id="160" w:name="4.2.5_生态环境现状调查与评价"/>
      <w:bookmarkEnd w:id="160"/>
      <w:r>
        <w:t>生态环境现状调查与评价</w:t>
      </w:r>
    </w:p>
    <w:p>
      <w:pPr>
        <w:spacing w:line="360" w:lineRule="auto"/>
        <w:ind w:firstLine="480" w:firstLineChars="200"/>
        <w:jc w:val="both"/>
        <w:outlineLvl w:val="3"/>
        <w:rPr>
          <w:rFonts w:ascii="Times New Roman" w:hAnsi="Times New Roman" w:cs="Times New Roman"/>
          <w:color w:val="000000"/>
          <w:sz w:val="24"/>
        </w:rPr>
      </w:pPr>
      <w:bookmarkStart w:id="161" w:name="4.2.5.1_生态功能区划"/>
      <w:bookmarkEnd w:id="161"/>
      <w:r>
        <w:rPr>
          <w:rFonts w:ascii="Times New Roman" w:hAnsi="Times New Roman" w:cs="Times New Roman"/>
          <w:color w:val="000000"/>
          <w:sz w:val="24"/>
        </w:rPr>
        <w:t>4.</w:t>
      </w:r>
      <w:r>
        <w:rPr>
          <w:rFonts w:hint="eastAsia" w:ascii="Times New Roman" w:hAnsi="Times New Roman" w:cs="Times New Roman"/>
          <w:color w:val="000000"/>
          <w:sz w:val="24"/>
          <w:lang w:val="en-US"/>
        </w:rPr>
        <w:t>2</w:t>
      </w:r>
      <w:r>
        <w:rPr>
          <w:rFonts w:ascii="Times New Roman" w:hAnsi="Times New Roman" w:cs="Times New Roman"/>
          <w:color w:val="000000"/>
          <w:sz w:val="24"/>
        </w:rPr>
        <w:t>.</w:t>
      </w:r>
      <w:r>
        <w:rPr>
          <w:rFonts w:hint="eastAsia" w:cs="Times New Roman"/>
          <w:color w:val="000000"/>
          <w:sz w:val="24"/>
          <w:lang w:val="en-US" w:eastAsia="zh-CN"/>
        </w:rPr>
        <w:t>6</w:t>
      </w:r>
      <w:r>
        <w:rPr>
          <w:rFonts w:ascii="Times New Roman" w:hAnsi="Times New Roman" w:cs="Times New Roman"/>
          <w:color w:val="000000"/>
          <w:sz w:val="24"/>
        </w:rPr>
        <w:t>.1生态功能区划</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宋体" w:hAnsi="宋体" w:eastAsia="宋体" w:cs="宋体"/>
          <w:spacing w:val="0"/>
          <w:position w:val="0"/>
          <w:sz w:val="24"/>
          <w:szCs w:val="24"/>
        </w:rPr>
      </w:pPr>
      <w:r>
        <w:rPr>
          <w:rFonts w:ascii="宋体" w:hAnsi="宋体" w:eastAsia="宋体" w:cs="宋体"/>
          <w:spacing w:val="0"/>
          <w:position w:val="0"/>
          <w:sz w:val="24"/>
          <w:szCs w:val="24"/>
        </w:rPr>
        <w:t>本项目行政区划隶属塔城地区额敏县，根据《新疆生态功能区划》（</w:t>
      </w:r>
      <w:r>
        <w:rPr>
          <w:rFonts w:ascii="Times New Roman" w:hAnsi="Times New Roman" w:eastAsia="Times New Roman" w:cs="Times New Roman"/>
          <w:spacing w:val="0"/>
          <w:position w:val="0"/>
          <w:sz w:val="24"/>
          <w:szCs w:val="24"/>
        </w:rPr>
        <w:t>2005</w:t>
      </w:r>
      <w:r>
        <w:rPr>
          <w:rFonts w:ascii="宋体" w:hAnsi="宋体" w:eastAsia="宋体" w:cs="宋体"/>
          <w:spacing w:val="0"/>
          <w:position w:val="0"/>
          <w:sz w:val="24"/>
          <w:szCs w:val="24"/>
        </w:rPr>
        <w:t>版），项目区属于阿尔泰</w:t>
      </w:r>
      <w:r>
        <w:rPr>
          <w:rFonts w:ascii="Times New Roman" w:hAnsi="Times New Roman" w:eastAsia="Times New Roman" w:cs="Times New Roman"/>
          <w:spacing w:val="0"/>
          <w:position w:val="0"/>
          <w:sz w:val="24"/>
          <w:szCs w:val="24"/>
        </w:rPr>
        <w:t>-</w:t>
      </w:r>
      <w:r>
        <w:rPr>
          <w:rFonts w:ascii="宋体" w:hAnsi="宋体" w:eastAsia="宋体" w:cs="宋体"/>
          <w:spacing w:val="0"/>
          <w:position w:val="0"/>
          <w:sz w:val="24"/>
          <w:szCs w:val="24"/>
        </w:rPr>
        <w:t>准噶尔西部山地温凉森林、草原生态区，准噶尔西部山地草原牧业及盆地绿洲农业生态亚区，塔城盆地绿洲农业生态功能区，该生态功能区包括塔城市、额敏县、裕民县三个县市，主要生态服务功能为农产品生产，区域保护的重点为基本农田和土壤环境质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宋体" w:hAnsi="宋体" w:eastAsia="宋体" w:cs="宋体"/>
          <w:spacing w:val="0"/>
          <w:position w:val="0"/>
          <w:sz w:val="24"/>
          <w:szCs w:val="24"/>
        </w:rPr>
      </w:pPr>
      <w:r>
        <w:rPr>
          <w:rFonts w:ascii="宋体" w:hAnsi="宋体" w:eastAsia="宋体" w:cs="宋体"/>
          <w:spacing w:val="0"/>
          <w:position w:val="0"/>
          <w:sz w:val="24"/>
          <w:szCs w:val="24"/>
        </w:rPr>
        <w:t>项目所在区域地势平坦，土地利用类型为工业用地，景观类型以农业景观、城市工业生态系统景观为主，处于</w:t>
      </w:r>
      <w:r>
        <w:rPr>
          <w:rFonts w:hint="default" w:ascii="Times New Roman" w:hAnsi="Times New Roman" w:eastAsia="宋体" w:cs="Times New Roman"/>
          <w:spacing w:val="0"/>
          <w:position w:val="0"/>
          <w:sz w:val="24"/>
          <w:szCs w:val="24"/>
          <w:lang w:val="en-US" w:eastAsia="zh-CN"/>
        </w:rPr>
        <w:t>11.</w:t>
      </w:r>
      <w:r>
        <w:rPr>
          <w:rFonts w:ascii="宋体" w:hAnsi="宋体" w:eastAsia="宋体" w:cs="宋体"/>
          <w:spacing w:val="0"/>
          <w:position w:val="0"/>
          <w:sz w:val="24"/>
          <w:szCs w:val="24"/>
        </w:rPr>
        <w:t>塔城盆地绿洲农业生态功能区，项目区生态功能区划见表</w:t>
      </w:r>
      <w:r>
        <w:rPr>
          <w:rFonts w:ascii="Times New Roman" w:hAnsi="Times New Roman" w:eastAsia="Times New Roman" w:cs="Times New Roman"/>
          <w:spacing w:val="0"/>
          <w:position w:val="0"/>
          <w:sz w:val="24"/>
          <w:szCs w:val="24"/>
        </w:rPr>
        <w:t xml:space="preserve">4.2- </w:t>
      </w:r>
      <w:r>
        <w:rPr>
          <w:rFonts w:hint="eastAsia" w:ascii="Times New Roman" w:hAnsi="Times New Roman" w:eastAsia="宋体" w:cs="Times New Roman"/>
          <w:spacing w:val="0"/>
          <w:position w:val="0"/>
          <w:sz w:val="24"/>
          <w:szCs w:val="24"/>
          <w:lang w:val="en-US" w:eastAsia="zh-CN"/>
        </w:rPr>
        <w:t>9</w:t>
      </w:r>
      <w:r>
        <w:rPr>
          <w:rFonts w:ascii="宋体" w:hAnsi="宋体" w:eastAsia="宋体" w:cs="宋体"/>
          <w:spacing w:val="0"/>
          <w:position w:val="0"/>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宋体" w:hAnsi="宋体" w:eastAsia="宋体" w:cs="宋体"/>
          <w:b/>
          <w:bCs/>
          <w:sz w:val="21"/>
          <w:szCs w:val="21"/>
        </w:rPr>
      </w:pPr>
      <w:r>
        <w:rPr>
          <w:rFonts w:ascii="宋体" w:hAnsi="宋体" w:eastAsia="宋体" w:cs="宋体"/>
          <w:b/>
          <w:bCs/>
          <w:spacing w:val="4"/>
          <w:sz w:val="21"/>
          <w:szCs w:val="21"/>
        </w:rPr>
        <w:t>表</w:t>
      </w:r>
      <w:r>
        <w:rPr>
          <w:rFonts w:ascii="Times New Roman" w:hAnsi="Times New Roman" w:eastAsia="Times New Roman" w:cs="Times New Roman"/>
          <w:b/>
          <w:bCs/>
          <w:spacing w:val="4"/>
          <w:sz w:val="21"/>
          <w:szCs w:val="21"/>
        </w:rPr>
        <w:t>4.2-</w:t>
      </w:r>
      <w:r>
        <w:rPr>
          <w:rFonts w:hint="eastAsia" w:ascii="Times New Roman" w:hAnsi="Times New Roman" w:eastAsia="宋体" w:cs="Times New Roman"/>
          <w:b/>
          <w:bCs/>
          <w:spacing w:val="4"/>
          <w:sz w:val="21"/>
          <w:szCs w:val="21"/>
          <w:lang w:val="en-US" w:eastAsia="zh-CN"/>
        </w:rPr>
        <w:t>9</w:t>
      </w:r>
      <w:r>
        <w:rPr>
          <w:rFonts w:ascii="Times New Roman" w:hAnsi="Times New Roman" w:eastAsia="Times New Roman" w:cs="Times New Roman"/>
          <w:b/>
          <w:bCs/>
          <w:spacing w:val="4"/>
          <w:sz w:val="21"/>
          <w:szCs w:val="21"/>
        </w:rPr>
        <w:t xml:space="preserve">                            </w:t>
      </w:r>
      <w:r>
        <w:rPr>
          <w:rFonts w:ascii="宋体" w:hAnsi="宋体" w:eastAsia="宋体" w:cs="宋体"/>
          <w:b/>
          <w:bCs/>
          <w:spacing w:val="4"/>
          <w:sz w:val="21"/>
          <w:szCs w:val="21"/>
        </w:rPr>
        <w:t>项目区生态功能区划</w:t>
      </w:r>
    </w:p>
    <w:tbl>
      <w:tblPr>
        <w:tblStyle w:val="40"/>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7"/>
        <w:gridCol w:w="1754"/>
        <w:gridCol w:w="53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397" w:type="dxa"/>
            <w:vMerge w:val="restart"/>
            <w:tcBorders>
              <w:bottom w:val="nil"/>
            </w:tcBorders>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生态功能分</w:t>
            </w:r>
          </w:p>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区单元生态</w:t>
            </w:r>
          </w:p>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区</w:t>
            </w:r>
          </w:p>
        </w:tc>
        <w:tc>
          <w:tcPr>
            <w:tcW w:w="175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生态功能</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阿尔泰</w:t>
            </w:r>
            <w:r>
              <w:rPr>
                <w:rFonts w:ascii="Times New Roman" w:hAnsi="Times New Roman" w:eastAsia="Times New Roman" w:cs="Times New Roman"/>
                <w:spacing w:val="0"/>
                <w:sz w:val="21"/>
                <w:szCs w:val="21"/>
              </w:rPr>
              <w:t>-</w:t>
            </w:r>
            <w:r>
              <w:rPr>
                <w:spacing w:val="0"/>
                <w:sz w:val="21"/>
                <w:szCs w:val="21"/>
              </w:rPr>
              <w:t>准噶尔西部山地温凉森林、草原生态区（</w:t>
            </w:r>
            <w:r>
              <w:rPr>
                <w:rFonts w:ascii="Times New Roman" w:hAnsi="Times New Roman" w:eastAsia="Times New Roman" w:cs="Times New Roman"/>
                <w:spacing w:val="0"/>
                <w:sz w:val="21"/>
                <w:szCs w:val="21"/>
              </w:rPr>
              <w:t>I</w:t>
            </w:r>
            <w:r>
              <w:rPr>
                <w:spacing w:val="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97" w:type="dxa"/>
            <w:vMerge w:val="continue"/>
            <w:tcBorders>
              <w:top w:val="nil"/>
              <w:bottom w:val="nil"/>
            </w:tcBorders>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sz w:val="21"/>
                <w:szCs w:val="21"/>
              </w:rPr>
            </w:pPr>
          </w:p>
        </w:tc>
        <w:tc>
          <w:tcPr>
            <w:tcW w:w="175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分区单元</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准噶尔西部山地草原牧业及盆地绿洲农业生态亚区（</w:t>
            </w:r>
            <w:r>
              <w:rPr>
                <w:rFonts w:ascii="Times New Roman" w:hAnsi="Times New Roman" w:eastAsia="Times New Roman" w:cs="Times New Roman"/>
                <w:spacing w:val="0"/>
                <w:sz w:val="21"/>
                <w:szCs w:val="21"/>
              </w:rPr>
              <w:t>I3</w:t>
            </w:r>
            <w:r>
              <w:rPr>
                <w:spacing w:val="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97" w:type="dxa"/>
            <w:vMerge w:val="continue"/>
            <w:tcBorders>
              <w:top w:val="nil"/>
            </w:tcBorders>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Arial"/>
                <w:spacing w:val="0"/>
                <w:sz w:val="21"/>
                <w:szCs w:val="21"/>
              </w:rPr>
            </w:pPr>
          </w:p>
        </w:tc>
        <w:tc>
          <w:tcPr>
            <w:tcW w:w="1754"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生态区</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塔城盆地绿洲农业生态功能区(</w:t>
            </w:r>
            <w:r>
              <w:rPr>
                <w:rFonts w:hint="eastAsia" w:ascii="Times New Roman" w:hAnsi="Times New Roman" w:cs="Times New Roman"/>
                <w:spacing w:val="0"/>
                <w:sz w:val="21"/>
                <w:szCs w:val="21"/>
                <w:lang w:val="en-US" w:eastAsia="zh-CN"/>
              </w:rPr>
              <w:t>11</w:t>
            </w:r>
            <w:r>
              <w:rPr>
                <w:spacing w:val="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151" w:type="dxa"/>
            <w:gridSpan w:val="2"/>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主要生态服务功能</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主要生态服务功能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151" w:type="dxa"/>
            <w:gridSpan w:val="2"/>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农产品生产、人居环境</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农产品生产、人居环境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151" w:type="dxa"/>
            <w:gridSpan w:val="2"/>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主要生态环境问题</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主要生态环境问题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151" w:type="dxa"/>
            <w:gridSpan w:val="2"/>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土壤有机质下降、土壤侵蚀、农 田土壤环境质量下降</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土壤有机质下降、土壤侵蚀、农田土壤环境质量下降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151" w:type="dxa"/>
            <w:gridSpan w:val="2"/>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生态敏感因子敏感程度</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生态敏感因子敏感程度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3151" w:type="dxa"/>
            <w:gridSpan w:val="2"/>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生物多样性及其生境中度敏感， 土地沙漠化中度敏感</w:t>
            </w:r>
          </w:p>
        </w:tc>
        <w:tc>
          <w:tcPr>
            <w:tcW w:w="537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spacing w:val="0"/>
                <w:sz w:val="21"/>
                <w:szCs w:val="21"/>
              </w:rPr>
            </w:pPr>
            <w:r>
              <w:rPr>
                <w:spacing w:val="0"/>
                <w:sz w:val="21"/>
                <w:szCs w:val="21"/>
              </w:rPr>
              <w:t>生物多样性及其生境中度敏感，土地沙漠化中度敏感</w:t>
            </w:r>
          </w:p>
        </w:tc>
      </w:tr>
    </w:tbl>
    <w:p>
      <w:pPr>
        <w:spacing w:line="360" w:lineRule="auto"/>
        <w:ind w:firstLine="480" w:firstLineChars="200"/>
        <w:jc w:val="both"/>
        <w:outlineLvl w:val="3"/>
        <w:rPr>
          <w:rFonts w:ascii="Times New Roman" w:hAnsi="Times New Roman" w:cs="Times New Roman"/>
          <w:color w:val="000000" w:themeColor="text1"/>
          <w:sz w:val="24"/>
        </w:rPr>
      </w:pPr>
      <w:r>
        <w:rPr>
          <w:rFonts w:ascii="Times New Roman" w:hAnsi="Times New Roman" w:cs="Times New Roman"/>
          <w:color w:val="000000" w:themeColor="text1"/>
          <w:sz w:val="24"/>
        </w:rPr>
        <w:t>4.</w:t>
      </w:r>
      <w:r>
        <w:rPr>
          <w:rFonts w:hint="eastAsia" w:ascii="Times New Roman" w:hAnsi="Times New Roman" w:cs="Times New Roman"/>
          <w:color w:val="000000" w:themeColor="text1"/>
          <w:sz w:val="24"/>
          <w:lang w:val="en-US"/>
        </w:rPr>
        <w:t>2</w:t>
      </w:r>
      <w:r>
        <w:rPr>
          <w:rFonts w:ascii="Times New Roman" w:hAnsi="Times New Roman" w:cs="Times New Roman"/>
          <w:color w:val="000000" w:themeColor="text1"/>
          <w:sz w:val="24"/>
        </w:rPr>
        <w:t>.</w:t>
      </w:r>
      <w:r>
        <w:rPr>
          <w:rFonts w:hint="eastAsia" w:cs="Times New Roman"/>
          <w:color w:val="000000" w:themeColor="text1"/>
          <w:sz w:val="24"/>
          <w:lang w:val="en-US" w:eastAsia="zh-CN"/>
        </w:rPr>
        <w:t>6</w:t>
      </w:r>
      <w:r>
        <w:rPr>
          <w:rFonts w:ascii="Times New Roman" w:hAnsi="Times New Roman" w:cs="Times New Roman"/>
          <w:color w:val="000000" w:themeColor="text1"/>
          <w:sz w:val="24"/>
        </w:rPr>
        <w:t>.2土</w:t>
      </w:r>
      <w:r>
        <w:rPr>
          <w:rFonts w:hint="eastAsia" w:ascii="Times New Roman" w:hAnsi="Times New Roman" w:cs="Times New Roman"/>
          <w:color w:val="000000" w:themeColor="text1"/>
          <w:sz w:val="24"/>
        </w:rPr>
        <w:t>地利用类型</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textAlignment w:val="auto"/>
        <w:rPr>
          <w:rFonts w:ascii="Times New Roman" w:hAnsi="Times New Roman" w:cs="Times New Roman"/>
          <w:color w:val="000000" w:themeColor="text1"/>
          <w:spacing w:val="0"/>
          <w:position w:val="0"/>
          <w:sz w:val="24"/>
          <w:lang w:val="en-US"/>
        </w:rPr>
      </w:pPr>
      <w:r>
        <w:rPr>
          <w:rFonts w:ascii="宋体" w:hAnsi="宋体" w:eastAsia="宋体" w:cs="宋体"/>
          <w:spacing w:val="0"/>
          <w:position w:val="0"/>
          <w:sz w:val="24"/>
          <w:szCs w:val="24"/>
        </w:rPr>
        <w:t>根据附图</w:t>
      </w:r>
      <w:r>
        <w:rPr>
          <w:rFonts w:ascii="Times New Roman" w:hAnsi="Times New Roman" w:eastAsia="Times New Roman" w:cs="Times New Roman"/>
          <w:spacing w:val="0"/>
          <w:position w:val="0"/>
          <w:sz w:val="24"/>
          <w:szCs w:val="24"/>
        </w:rPr>
        <w:t>4</w:t>
      </w:r>
      <w:r>
        <w:rPr>
          <w:rFonts w:hint="eastAsia" w:ascii="Times New Roman" w:hAnsi="Times New Roman" w:eastAsia="宋体" w:cs="Times New Roman"/>
          <w:spacing w:val="0"/>
          <w:position w:val="0"/>
          <w:sz w:val="24"/>
          <w:szCs w:val="24"/>
          <w:lang w:val="en-US" w:eastAsia="zh-CN"/>
        </w:rPr>
        <w:t>.2-3</w:t>
      </w:r>
      <w:r>
        <w:rPr>
          <w:rFonts w:ascii="宋体" w:hAnsi="宋体" w:eastAsia="宋体" w:cs="宋体"/>
          <w:spacing w:val="0"/>
          <w:position w:val="0"/>
          <w:sz w:val="24"/>
          <w:szCs w:val="24"/>
        </w:rPr>
        <w:t>土地利用现状图以及现状调查可知，本项目评价区域内的土地利用类型主要为其他草地、有林地。</w:t>
      </w:r>
    </w:p>
    <w:p>
      <w:pPr>
        <w:spacing w:line="360" w:lineRule="auto"/>
        <w:ind w:firstLine="480" w:firstLineChars="200"/>
        <w:jc w:val="both"/>
        <w:outlineLvl w:val="3"/>
        <w:rPr>
          <w:rFonts w:ascii="Times New Roman" w:hAnsi="Times New Roman" w:cs="Times New Roman"/>
          <w:color w:val="000000" w:themeColor="text1"/>
          <w:sz w:val="24"/>
        </w:rPr>
      </w:pPr>
      <w:r>
        <w:rPr>
          <w:rFonts w:ascii="Times New Roman" w:hAnsi="Times New Roman" w:cs="Times New Roman"/>
          <w:color w:val="000000" w:themeColor="text1"/>
          <w:sz w:val="24"/>
        </w:rPr>
        <w:t>4.</w:t>
      </w:r>
      <w:r>
        <w:rPr>
          <w:rFonts w:hint="eastAsia" w:ascii="Times New Roman" w:hAnsi="Times New Roman" w:cs="Times New Roman"/>
          <w:color w:val="000000" w:themeColor="text1"/>
          <w:sz w:val="24"/>
          <w:lang w:val="en-US"/>
        </w:rPr>
        <w:t>2</w:t>
      </w:r>
      <w:r>
        <w:rPr>
          <w:rFonts w:ascii="Times New Roman" w:hAnsi="Times New Roman" w:cs="Times New Roman"/>
          <w:color w:val="000000" w:themeColor="text1"/>
          <w:sz w:val="24"/>
        </w:rPr>
        <w:t>.</w:t>
      </w:r>
      <w:r>
        <w:rPr>
          <w:rFonts w:hint="eastAsia" w:cs="Times New Roman"/>
          <w:color w:val="000000" w:themeColor="text1"/>
          <w:sz w:val="24"/>
          <w:lang w:val="en-US" w:eastAsia="zh-CN"/>
        </w:rPr>
        <w:t>6</w:t>
      </w:r>
      <w:r>
        <w:rPr>
          <w:rFonts w:ascii="Times New Roman" w:hAnsi="Times New Roman" w:cs="Times New Roman"/>
          <w:color w:val="000000" w:themeColor="text1"/>
          <w:sz w:val="24"/>
        </w:rPr>
        <w:t>.3</w:t>
      </w:r>
      <w:r>
        <w:rPr>
          <w:rFonts w:ascii="Times New Roman" w:hAnsi="Times New Roman" w:cs="Times New Roman"/>
          <w:color w:val="000000" w:themeColor="text1"/>
          <w:sz w:val="24"/>
          <w:szCs w:val="24"/>
        </w:rPr>
        <w:t>植被现状调查及评价</w:t>
      </w:r>
    </w:p>
    <w:p>
      <w:pPr>
        <w:spacing w:line="360" w:lineRule="auto"/>
        <w:ind w:firstLine="480" w:firstLineChars="200"/>
        <w:jc w:val="both"/>
        <w:rPr>
          <w:rFonts w:ascii="Times New Roman" w:hAnsi="Times New Roman" w:cs="Times New Roman"/>
          <w:color w:val="000000"/>
          <w:sz w:val="24"/>
          <w:szCs w:val="24"/>
        </w:rPr>
      </w:pPr>
      <w:r>
        <w:rPr>
          <w:rFonts w:ascii="Times New Roman" w:hAnsi="Times New Roman" w:cs="Times New Roman"/>
          <w:color w:val="000000" w:themeColor="text1"/>
          <w:kern w:val="28"/>
          <w:sz w:val="24"/>
        </w:rPr>
        <w:t>项目区内植被较不发育，植被</w:t>
      </w:r>
      <w:r>
        <w:rPr>
          <w:rFonts w:ascii="Times New Roman" w:hAnsi="Times New Roman" w:cs="Times New Roman"/>
          <w:kern w:val="28"/>
          <w:sz w:val="24"/>
        </w:rPr>
        <w:t>稀疏，覆盖率低，植被种类单一，没有国家及自治区级珍稀濒危保护植物分布</w:t>
      </w:r>
      <w:r>
        <w:rPr>
          <w:rFonts w:ascii="Times New Roman" w:hAnsi="Times New Roman" w:cs="Times New Roman"/>
          <w:kern w:val="28"/>
          <w:sz w:val="24"/>
          <w:szCs w:val="24"/>
        </w:rPr>
        <w:t>，</w:t>
      </w:r>
      <w:r>
        <w:rPr>
          <w:color w:val="000000"/>
          <w:sz w:val="24"/>
          <w:szCs w:val="24"/>
        </w:rPr>
        <w:t>以白皮锦鸡儿、羊茅、博烙塔娟蒿等具灌木丛生禾草组为主，植被种类成分较单一，盖度</w:t>
      </w:r>
      <w:r>
        <w:rPr>
          <w:rFonts w:hint="eastAsia"/>
          <w:color w:val="000000"/>
          <w:sz w:val="24"/>
          <w:szCs w:val="24"/>
        </w:rPr>
        <w:t>＜10</w:t>
      </w:r>
      <w:r>
        <w:rPr>
          <w:color w:val="000000"/>
          <w:sz w:val="24"/>
          <w:szCs w:val="24"/>
        </w:rPr>
        <w:t>%</w:t>
      </w:r>
      <w:r>
        <w:rPr>
          <w:rFonts w:hint="eastAsia"/>
          <w:color w:val="000000"/>
          <w:sz w:val="24"/>
          <w:szCs w:val="24"/>
        </w:rPr>
        <w:t>。</w:t>
      </w:r>
      <w:r>
        <w:rPr>
          <w:rFonts w:ascii="Times New Roman" w:hAnsi="Times New Roman" w:cs="Times New Roman"/>
          <w:kern w:val="28"/>
          <w:sz w:val="24"/>
          <w:szCs w:val="24"/>
        </w:rPr>
        <w:t>项目区植被</w:t>
      </w:r>
      <w:r>
        <w:rPr>
          <w:rFonts w:ascii="Times New Roman" w:hAnsi="Times New Roman" w:cs="Times New Roman"/>
          <w:kern w:val="28"/>
          <w:sz w:val="24"/>
        </w:rPr>
        <w:t>类型分布示意图见图</w:t>
      </w:r>
      <w:r>
        <w:rPr>
          <w:rFonts w:ascii="Times New Roman" w:hAnsi="Times New Roman" w:cs="Times New Roman"/>
          <w:kern w:val="28"/>
          <w:sz w:val="24"/>
          <w:lang w:val="en-US"/>
        </w:rPr>
        <w:t>4.</w:t>
      </w:r>
      <w:r>
        <w:rPr>
          <w:rFonts w:hint="eastAsia" w:ascii="Times New Roman" w:hAnsi="Times New Roman" w:cs="Times New Roman"/>
          <w:kern w:val="28"/>
          <w:sz w:val="24"/>
          <w:lang w:val="en-US"/>
        </w:rPr>
        <w:t>2</w:t>
      </w:r>
      <w:r>
        <w:rPr>
          <w:rFonts w:ascii="Times New Roman" w:hAnsi="Times New Roman" w:cs="Times New Roman"/>
          <w:kern w:val="28"/>
          <w:sz w:val="24"/>
          <w:lang w:val="en-US"/>
        </w:rPr>
        <w:t>-4</w:t>
      </w:r>
      <w:r>
        <w:rPr>
          <w:rFonts w:ascii="Times New Roman" w:hAnsi="Times New Roman" w:cs="Times New Roman"/>
          <w:kern w:val="28"/>
          <w:sz w:val="24"/>
        </w:rPr>
        <w:t>。</w:t>
      </w:r>
    </w:p>
    <w:p>
      <w:pPr>
        <w:spacing w:line="360" w:lineRule="auto"/>
        <w:ind w:firstLine="480" w:firstLineChars="200"/>
        <w:jc w:val="both"/>
        <w:outlineLvl w:val="3"/>
        <w:rPr>
          <w:rFonts w:ascii="Times New Roman" w:hAnsi="Times New Roman" w:cs="Times New Roman"/>
          <w:color w:val="000000"/>
          <w:sz w:val="24"/>
          <w:szCs w:val="24"/>
        </w:rPr>
      </w:pPr>
      <w:r>
        <w:rPr>
          <w:rFonts w:ascii="Times New Roman" w:hAnsi="Times New Roman" w:cs="Times New Roman"/>
          <w:color w:val="000000"/>
          <w:sz w:val="24"/>
        </w:rPr>
        <w:t>4.</w:t>
      </w:r>
      <w:r>
        <w:rPr>
          <w:rFonts w:hint="eastAsia" w:ascii="Times New Roman" w:hAnsi="Times New Roman" w:cs="Times New Roman"/>
          <w:color w:val="000000"/>
          <w:sz w:val="24"/>
          <w:lang w:val="en-US"/>
        </w:rPr>
        <w:t>2</w:t>
      </w:r>
      <w:r>
        <w:rPr>
          <w:rFonts w:ascii="Times New Roman" w:hAnsi="Times New Roman" w:cs="Times New Roman"/>
          <w:color w:val="000000"/>
          <w:sz w:val="24"/>
        </w:rPr>
        <w:t>.</w:t>
      </w:r>
      <w:r>
        <w:rPr>
          <w:rFonts w:hint="eastAsia" w:cs="Times New Roman"/>
          <w:color w:val="000000"/>
          <w:sz w:val="24"/>
          <w:lang w:val="en-US" w:eastAsia="zh-CN"/>
        </w:rPr>
        <w:t>6</w:t>
      </w:r>
      <w:r>
        <w:rPr>
          <w:rFonts w:ascii="Times New Roman" w:hAnsi="Times New Roman" w:cs="Times New Roman"/>
          <w:color w:val="000000"/>
          <w:sz w:val="24"/>
        </w:rPr>
        <w:t>.4</w:t>
      </w:r>
      <w:r>
        <w:rPr>
          <w:rFonts w:ascii="Times New Roman" w:hAnsi="Times New Roman" w:cs="Times New Roman"/>
          <w:color w:val="000000"/>
          <w:sz w:val="24"/>
          <w:szCs w:val="24"/>
        </w:rPr>
        <w:t>野生动物现状调查及评价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Times New Roman" w:cs="Times New Roman"/>
          <w:color w:val="000000"/>
        </w:rPr>
      </w:pPr>
      <w:r>
        <w:rPr>
          <w:rFonts w:ascii="宋体" w:hAnsi="宋体" w:eastAsia="宋体" w:cs="宋体"/>
          <w:spacing w:val="-3"/>
          <w:sz w:val="24"/>
          <w:szCs w:val="24"/>
        </w:rPr>
        <w:t>据《中国动物地理》动物地理区划标准，拟建项目区域动物区系</w:t>
      </w:r>
      <w:r>
        <w:rPr>
          <w:rFonts w:ascii="宋体" w:hAnsi="宋体" w:eastAsia="宋体" w:cs="宋体"/>
          <w:spacing w:val="-4"/>
          <w:sz w:val="24"/>
          <w:szCs w:val="24"/>
        </w:rPr>
        <w:t>属蒙新区的</w:t>
      </w:r>
      <w:r>
        <w:rPr>
          <w:rFonts w:ascii="宋体" w:hAnsi="宋体" w:eastAsia="宋体" w:cs="宋体"/>
          <w:spacing w:val="-3"/>
          <w:sz w:val="24"/>
          <w:szCs w:val="24"/>
        </w:rPr>
        <w:t>西部荒漠亚区中的准噶尔盆地小区，属于荒漠草原区动物区系组成较简单，野生动物种类及分布均较少，通过对项目区及周边区域动物的实地调查和有关资料的查询，该区域内的野生动物主要有鸟类、兽类、爬行动物，据实地踏勘和调查了解，受人类活动的影响，工程区和施工范围内没有大型野生动物和保护级野生动</w:t>
      </w:r>
      <w:r>
        <w:rPr>
          <w:rFonts w:ascii="宋体" w:hAnsi="宋体" w:eastAsia="宋体" w:cs="宋体"/>
          <w:spacing w:val="-1"/>
          <w:sz w:val="24"/>
          <w:szCs w:val="24"/>
        </w:rPr>
        <w:t>物活动的痕迹，评价区无国家和自治区重点保护野生动植物</w:t>
      </w:r>
      <w:r>
        <w:rPr>
          <w:rFonts w:ascii="Times New Roman" w:cs="Times New Roman"/>
          <w:color w:val="000000"/>
        </w:rPr>
        <w:t>。</w:t>
      </w:r>
    </w:p>
    <w:p>
      <w:pPr>
        <w:keepNext w:val="0"/>
        <w:keepLines w:val="0"/>
        <w:pageBreakBefore w:val="0"/>
        <w:widowControl w:val="0"/>
        <w:kinsoku/>
        <w:wordWrap/>
        <w:overflowPunct/>
        <w:topLinePunct w:val="0"/>
        <w:autoSpaceDE w:val="0"/>
        <w:autoSpaceDN w:val="0"/>
        <w:bidi w:val="0"/>
        <w:adjustRightInd w:val="0"/>
        <w:snapToGrid w:val="0"/>
        <w:ind w:left="0" w:leftChars="0" w:firstLine="480" w:firstLineChars="200"/>
        <w:textAlignment w:val="auto"/>
        <w:outlineLvl w:val="9"/>
        <w:rPr>
          <w:rFonts w:hint="eastAsia"/>
          <w:color w:val="auto"/>
          <w:highlight w:val="none"/>
        </w:rPr>
      </w:pPr>
      <w:r>
        <w:rPr>
          <w:rFonts w:hint="eastAsia"/>
          <w:color w:val="auto"/>
          <w:highlight w:val="none"/>
          <w:lang w:val="en-US" w:eastAsia="zh-CN"/>
        </w:rPr>
        <w:t>4.2.6.5</w:t>
      </w:r>
      <w:r>
        <w:rPr>
          <w:rFonts w:hint="eastAsia"/>
          <w:color w:val="auto"/>
          <w:highlight w:val="none"/>
        </w:rPr>
        <w:t>沙化现状调查</w:t>
      </w:r>
    </w:p>
    <w:p>
      <w:pPr>
        <w:keepNext w:val="0"/>
        <w:keepLines w:val="0"/>
        <w:pageBreakBefore w:val="0"/>
        <w:widowControl w:val="0"/>
        <w:kinsoku/>
        <w:wordWrap/>
        <w:overflowPunct/>
        <w:topLinePunct w:val="0"/>
        <w:autoSpaceDE w:val="0"/>
        <w:autoSpaceDN w:val="0"/>
        <w:bidi w:val="0"/>
        <w:adjustRightInd w:val="0"/>
        <w:snapToGrid w:val="0"/>
        <w:ind w:firstLine="480" w:firstLineChars="200"/>
        <w:textAlignment w:val="auto"/>
        <w:rPr>
          <w:rFonts w:hint="eastAsia"/>
          <w:color w:val="auto"/>
          <w:highlight w:val="none"/>
        </w:rPr>
      </w:pPr>
      <w:r>
        <w:rPr>
          <w:rFonts w:hint="eastAsia"/>
          <w:color w:val="auto"/>
          <w:highlight w:val="none"/>
        </w:rPr>
        <w:t>根据《新疆维吾尔自治区第五次沙化土地监测报告》，本项目所在区域为非沙化土地。新疆第五次沙化监测沙化土地分布图，见图 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2</w:t>
      </w:r>
      <w:r>
        <w:rPr>
          <w:rFonts w:hint="eastAsia"/>
          <w:color w:val="auto"/>
          <w:highlight w:val="none"/>
        </w:rPr>
        <w:t>。</w:t>
      </w:r>
    </w:p>
    <w:p>
      <w:pPr>
        <w:bidi w:val="0"/>
        <w:ind w:left="0" w:leftChars="0" w:firstLine="0" w:firstLineChars="0"/>
        <w:rPr>
          <w:color w:val="auto"/>
          <w:highlight w:val="none"/>
        </w:rPr>
      </w:pPr>
      <w:r>
        <w:rPr>
          <w:sz w:val="24"/>
        </w:rPr>
        <w:pict>
          <v:group id="_x0000_s1228" o:spid="_x0000_s1228" o:spt="203" style="position:absolute;left:0pt;margin-left:208.35pt;margin-top:37.6pt;height:43.8pt;width:91.9pt;z-index:251661312;mso-width-relative:page;mso-height-relative:page;" coordorigin="6703,1255887" coordsize="1838,876">
            <o:lock v:ext="edit" aspectratio="f"/>
            <v:shape id="_x0000_s1226" o:spid="_x0000_s1226" o:spt="62" type="#_x0000_t62" style="position:absolute;left:7447;top:1255887;height:482;width:1095;" fillcolor="#FF0000" filled="t" stroked="t" coordsize="21600,21600" adj="-11578,35178">
              <v:path/>
              <v:fill on="t" color2="#FFFFFF" focussize="0,0"/>
              <v:stroke color="#000000" joinstyle="miter"/>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本项目</w:t>
                    </w:r>
                  </w:p>
                </w:txbxContent>
              </v:textbox>
            </v:shape>
            <v:shape id="_x0000_s1227" o:spid="_x0000_s1227" o:spt="12" type="#_x0000_t12" style="position:absolute;left:6703;top:1256569;height:195;width:195;" fillcolor="#FF0000" filled="t" stroked="t" coordsize="21600,21600">
              <v:path/>
              <v:fill on="t" color2="#FFFFFF" focussize="0,0"/>
              <v:stroke color="#000000" joinstyle="miter"/>
              <v:imagedata o:title=""/>
              <o:lock v:ext="edit" aspectratio="f"/>
            </v:shape>
          </v:group>
        </w:pict>
      </w:r>
      <w:r>
        <w:rPr>
          <w:color w:val="auto"/>
          <w:highlight w:val="none"/>
        </w:rPr>
        <w:drawing>
          <wp:inline distT="0" distB="0" distL="114300" distR="114300">
            <wp:extent cx="5607685" cy="4146550"/>
            <wp:effectExtent l="0" t="0" r="1206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53"/>
                    <a:stretch>
                      <a:fillRect/>
                    </a:stretch>
                  </pic:blipFill>
                  <pic:spPr>
                    <a:xfrm>
                      <a:off x="0" y="0"/>
                      <a:ext cx="5607685" cy="4146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center"/>
        <w:textAlignment w:val="auto"/>
        <w:rPr>
          <w:rFonts w:ascii="Times New Roman" w:cs="Times New Roman"/>
          <w:color w:val="000000"/>
        </w:rPr>
      </w:pPr>
      <w:r>
        <w:rPr>
          <w:rFonts w:hint="eastAsia"/>
          <w:b/>
          <w:bCs/>
          <w:color w:val="auto"/>
          <w:sz w:val="21"/>
          <w:szCs w:val="20"/>
          <w:highlight w:val="none"/>
          <w:lang w:eastAsia="zh-CN"/>
        </w:rPr>
        <w:t>图</w:t>
      </w:r>
      <w:r>
        <w:rPr>
          <w:rFonts w:hint="eastAsia"/>
          <w:b/>
          <w:bCs/>
          <w:color w:val="auto"/>
          <w:sz w:val="21"/>
          <w:szCs w:val="20"/>
          <w:highlight w:val="none"/>
          <w:lang w:val="en-US" w:eastAsia="zh-CN"/>
        </w:rPr>
        <w:t>4.2-2  本项目在新疆第五次沙化监测沙化土地分布图中位置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Times New Roman" w:cs="Times New Roman"/>
          <w:color w:val="000000"/>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Times New Roman" w:cs="Times New Roman"/>
          <w:color w:val="000000"/>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Times New Roman" w:cs="Times New Roman"/>
          <w:color w:val="000000"/>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Times New Roman" w:cs="Times New Roman"/>
          <w:color w:val="000000"/>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Times New Roman" w:cs="Times New Roman"/>
          <w:color w:val="000000"/>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Times New Roman" w:cs="Times New Roman"/>
          <w:color w:val="000000"/>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auto"/>
        <w:rPr>
          <w:rFonts w:ascii="Times New Roman" w:cs="Times New Roman"/>
          <w:color w:val="000000"/>
        </w:rPr>
      </w:pPr>
    </w:p>
    <w:p>
      <w:pPr>
        <w:spacing w:line="364" w:lineRule="auto"/>
        <w:sectPr>
          <w:footerReference r:id="rId19" w:type="default"/>
          <w:footerReference r:id="rId20" w:type="even"/>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pStyle w:val="4"/>
        <w:tabs>
          <w:tab w:val="left" w:pos="1444"/>
        </w:tabs>
        <w:spacing w:before="0" w:line="360" w:lineRule="auto"/>
        <w:ind w:right="0"/>
      </w:pPr>
      <w:bookmarkStart w:id="162" w:name="第五章__环境影响预测与评价"/>
      <w:bookmarkEnd w:id="162"/>
      <w:bookmarkStart w:id="163" w:name="_Toc26317"/>
      <w:bookmarkStart w:id="164" w:name="_Toc18276"/>
      <w:bookmarkStart w:id="165" w:name="_Toc22315"/>
      <w:r>
        <w:t>第五章</w:t>
      </w:r>
      <w:r>
        <w:rPr>
          <w:rFonts w:hint="eastAsia"/>
          <w:lang w:val="en-US"/>
        </w:rPr>
        <w:t xml:space="preserve">  </w:t>
      </w:r>
      <w:r>
        <w:t>环境影响预测与评价</w:t>
      </w:r>
      <w:bookmarkEnd w:id="163"/>
      <w:bookmarkEnd w:id="164"/>
      <w:bookmarkEnd w:id="165"/>
    </w:p>
    <w:p>
      <w:pPr>
        <w:pStyle w:val="5"/>
        <w:keepNext w:val="0"/>
        <w:keepLines w:val="0"/>
        <w:pageBreakBefore w:val="0"/>
        <w:widowControl w:val="0"/>
        <w:numPr>
          <w:ilvl w:val="1"/>
          <w:numId w:val="18"/>
        </w:numPr>
        <w:tabs>
          <w:tab w:val="left" w:pos="1100"/>
        </w:tabs>
        <w:kinsoku/>
        <w:wordWrap/>
        <w:overflowPunct/>
        <w:topLinePunct w:val="0"/>
        <w:autoSpaceDE w:val="0"/>
        <w:autoSpaceDN w:val="0"/>
        <w:bidi w:val="0"/>
        <w:adjustRightInd w:val="0"/>
        <w:snapToGrid w:val="0"/>
        <w:spacing w:line="360" w:lineRule="auto"/>
        <w:ind w:left="0"/>
        <w:jc w:val="both"/>
        <w:textAlignment w:val="auto"/>
      </w:pPr>
      <w:bookmarkStart w:id="166" w:name="5.1_施工期环境影响预测与评价"/>
      <w:bookmarkEnd w:id="166"/>
      <w:bookmarkStart w:id="167" w:name="_bookmark23"/>
      <w:bookmarkEnd w:id="167"/>
      <w:bookmarkStart w:id="168" w:name="_Toc13827"/>
      <w:bookmarkStart w:id="169" w:name="_Toc30309"/>
      <w:r>
        <w:t>施工期环境影响预测与评价</w:t>
      </w:r>
      <w:bookmarkEnd w:id="168"/>
      <w:bookmarkEnd w:id="169"/>
    </w:p>
    <w:p>
      <w:pPr>
        <w:pStyle w:val="6"/>
        <w:numPr>
          <w:ilvl w:val="2"/>
          <w:numId w:val="18"/>
        </w:numPr>
        <w:tabs>
          <w:tab w:val="left" w:pos="1241"/>
        </w:tabs>
        <w:spacing w:line="360" w:lineRule="auto"/>
        <w:jc w:val="both"/>
      </w:pPr>
      <w:bookmarkStart w:id="170" w:name="5.1.1_施工期污染源"/>
      <w:bookmarkEnd w:id="170"/>
      <w:r>
        <w:t>施工期污染源</w:t>
      </w:r>
    </w:p>
    <w:p>
      <w:pPr>
        <w:pStyle w:val="14"/>
        <w:spacing w:line="360" w:lineRule="auto"/>
        <w:ind w:left="0" w:firstLine="456" w:firstLineChars="200"/>
        <w:jc w:val="both"/>
      </w:pPr>
      <w:r>
        <w:rPr>
          <w:spacing w:val="-6"/>
        </w:rPr>
        <w:t>本项目施工内容包括土建施工和设备安装调试，施工期间产生的污染主要有</w:t>
      </w:r>
      <w:r>
        <w:t>废气、废水、固体废物、噪声等几方面。</w:t>
      </w:r>
    </w:p>
    <w:p>
      <w:pPr>
        <w:pStyle w:val="6"/>
        <w:numPr>
          <w:ilvl w:val="2"/>
          <w:numId w:val="18"/>
        </w:numPr>
        <w:tabs>
          <w:tab w:val="left" w:pos="1241"/>
        </w:tabs>
        <w:spacing w:line="360" w:lineRule="auto"/>
        <w:jc w:val="both"/>
      </w:pPr>
      <w:bookmarkStart w:id="171" w:name="5.1.2_施工期大气环境影响分析"/>
      <w:bookmarkEnd w:id="171"/>
      <w:r>
        <w:t>施工期大气环境影响分析</w:t>
      </w:r>
    </w:p>
    <w:p>
      <w:pPr>
        <w:widowControl/>
        <w:spacing w:line="360" w:lineRule="auto"/>
        <w:ind w:firstLine="480" w:firstLineChars="200"/>
        <w:textAlignment w:val="baseline"/>
        <w:rPr>
          <w:color w:val="auto"/>
          <w:sz w:val="24"/>
          <w:szCs w:val="24"/>
          <w:highlight w:val="none"/>
        </w:rPr>
      </w:pPr>
      <w:bookmarkStart w:id="172" w:name="5.1.2.1_施工扬尘"/>
      <w:bookmarkEnd w:id="172"/>
      <w:r>
        <w:rPr>
          <w:color w:val="auto"/>
          <w:sz w:val="24"/>
          <w:szCs w:val="24"/>
          <w:highlight w:val="none"/>
        </w:rPr>
        <w:t>本工程施工主要是锅炉工程的建设及配套除尘、脱硫、脱硝设施的建设影响。施工期产生的环境影响主要为施工噪声和施工场地的开挖、填埋，会产生少量的扬尘。扬尘主要来源于厂区土方挖掘及现场堆放及回填土的尘土；散放的建筑材料（如：水泥、沙子等）的扬尘；施工期车辆运输洒落尘土的一次扬尘污染和车辆运行时产生的二次扬尘均会对环境产生明显不利影响。由于拟建工程的工程量不是很大，施工周期较短，且施工期产生的影响随着施工的结束而结束，因此施工期对周边的产生影响属可接受范围之内。</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土方、材料堆场扬尘影响分析</w:t>
      </w:r>
    </w:p>
    <w:p>
      <w:pPr>
        <w:bidi w:val="0"/>
        <w:rPr>
          <w:color w:val="auto"/>
          <w:highlight w:val="none"/>
        </w:rPr>
      </w:pPr>
      <w:r>
        <w:rPr>
          <w:color w:val="auto"/>
          <w:highlight w:val="none"/>
        </w:rPr>
        <w:t>施工期扬尘的一个主要因素是露天堆场和裸露场地的风力扬尘。由于施工的需要，一些建材需露天堆放；一些施工点表层土壤需人工开挖、堆放，在气候干燥又有风的情况下，会产生扬尘，其扬尘可按堆场起尘的经验公式计算：</w:t>
      </w:r>
    </w:p>
    <w:p>
      <w:pPr>
        <w:spacing w:line="360" w:lineRule="auto"/>
        <w:ind w:firstLine="480" w:firstLineChars="200"/>
        <w:jc w:val="center"/>
        <w:rPr>
          <w:color w:val="auto"/>
          <w:highlight w:val="none"/>
        </w:rPr>
      </w:pPr>
      <w:r>
        <w:rPr>
          <w:color w:val="auto"/>
          <w:highlight w:val="none"/>
        </w:rPr>
        <w:object>
          <v:shape id="_x0000_i1029" o:spt="75" type="#_x0000_t75" style="height:22pt;width:144pt;" o:ole="t" filled="f" o:preferrelative="t" stroked="f" coordsize="21600,21600">
            <v:path/>
            <v:fill on="f" focussize="0,0"/>
            <v:stroke on="f"/>
            <v:imagedata r:id="rId55" o:title=""/>
            <o:lock v:ext="edit" aspectratio="t"/>
            <w10:wrap type="none"/>
            <w10:anchorlock/>
          </v:shape>
          <o:OLEObject Type="Embed" ProgID="Equation.3" ShapeID="_x0000_i1029" DrawAspect="Content" ObjectID="_1468075729" r:id="rId54">
            <o:LockedField>false</o:LockedField>
          </o:OLEObject>
        </w:object>
      </w:r>
    </w:p>
    <w:p>
      <w:pPr>
        <w:pStyle w:val="71"/>
        <w:rPr>
          <w:rFonts w:ascii="Times New Roman" w:hAnsi="Times New Roman" w:cs="Times New Roman"/>
          <w:color w:val="auto"/>
          <w:highlight w:val="none"/>
        </w:rPr>
      </w:pPr>
      <w:r>
        <w:rPr>
          <w:rFonts w:ascii="Times New Roman" w:hAnsi="Times New Roman" w:cs="Times New Roman"/>
          <w:color w:val="auto"/>
          <w:highlight w:val="none"/>
        </w:rPr>
        <w:t>其中：</w:t>
      </w:r>
      <w:r>
        <w:rPr>
          <w:rFonts w:ascii="Times New Roman" w:hAnsi="Times New Roman" w:cs="Times New Roman"/>
          <w:i/>
          <w:color w:val="auto"/>
          <w:highlight w:val="none"/>
        </w:rPr>
        <w:t>Q</w:t>
      </w:r>
      <w:r>
        <w:rPr>
          <w:rFonts w:ascii="Times New Roman" w:hAnsi="Times New Roman" w:cs="Times New Roman"/>
          <w:color w:val="auto"/>
          <w:highlight w:val="none"/>
        </w:rPr>
        <w:t>——起尘量，kg/吨·年；</w:t>
      </w:r>
    </w:p>
    <w:p>
      <w:pPr>
        <w:spacing w:line="360" w:lineRule="auto"/>
        <w:ind w:firstLine="1200" w:firstLineChars="500"/>
        <w:rPr>
          <w:color w:val="auto"/>
          <w:highlight w:val="none"/>
        </w:rPr>
      </w:pPr>
      <w:r>
        <w:rPr>
          <w:i/>
          <w:color w:val="auto"/>
          <w:highlight w:val="none"/>
        </w:rPr>
        <w:t>V</w:t>
      </w:r>
      <w:r>
        <w:rPr>
          <w:i/>
          <w:color w:val="auto"/>
          <w:highlight w:val="none"/>
          <w:vertAlign w:val="subscript"/>
        </w:rPr>
        <w:t>50</w:t>
      </w:r>
      <w:r>
        <w:rPr>
          <w:color w:val="auto"/>
          <w:highlight w:val="none"/>
        </w:rPr>
        <w:t>——距地面50m处风速，m/s；</w:t>
      </w:r>
    </w:p>
    <w:p>
      <w:pPr>
        <w:spacing w:line="360" w:lineRule="auto"/>
        <w:ind w:firstLine="1200" w:firstLineChars="500"/>
        <w:rPr>
          <w:color w:val="auto"/>
          <w:highlight w:val="none"/>
        </w:rPr>
      </w:pPr>
      <w:r>
        <w:rPr>
          <w:i/>
          <w:color w:val="auto"/>
          <w:highlight w:val="none"/>
        </w:rPr>
        <w:t>V</w:t>
      </w:r>
      <w:r>
        <w:rPr>
          <w:i/>
          <w:color w:val="auto"/>
          <w:highlight w:val="none"/>
          <w:vertAlign w:val="subscript"/>
        </w:rPr>
        <w:t>0</w:t>
      </w:r>
      <w:r>
        <w:rPr>
          <w:color w:val="auto"/>
          <w:highlight w:val="none"/>
        </w:rPr>
        <w:t>——起尘风速，m/s；</w:t>
      </w:r>
    </w:p>
    <w:p>
      <w:pPr>
        <w:spacing w:line="360" w:lineRule="auto"/>
        <w:ind w:firstLine="1200" w:firstLineChars="500"/>
        <w:rPr>
          <w:color w:val="auto"/>
          <w:highlight w:val="none"/>
        </w:rPr>
      </w:pPr>
      <w:r>
        <w:rPr>
          <w:i/>
          <w:color w:val="auto"/>
          <w:highlight w:val="none"/>
        </w:rPr>
        <w:t>W</w:t>
      </w:r>
      <w:r>
        <w:rPr>
          <w:color w:val="auto"/>
          <w:highlight w:val="none"/>
        </w:rPr>
        <w:t>——尘粒的含水率，%。</w:t>
      </w:r>
    </w:p>
    <w:p>
      <w:pPr>
        <w:bidi w:val="0"/>
        <w:rPr>
          <w:rFonts w:ascii="Times New Roman" w:hAnsi="Times New Roman" w:cs="Times New Roman"/>
          <w:color w:val="auto"/>
          <w:highlight w:val="none"/>
        </w:rPr>
      </w:pPr>
      <w:r>
        <w:rPr>
          <w:rFonts w:ascii="Times New Roman" w:hAnsi="Times New Roman" w:cs="Times New Roman"/>
          <w:i/>
          <w:color w:val="auto"/>
          <w:highlight w:val="none"/>
        </w:rPr>
        <w:t>V</w:t>
      </w:r>
      <w:r>
        <w:rPr>
          <w:rFonts w:ascii="Times New Roman" w:hAnsi="Times New Roman" w:cs="Times New Roman"/>
          <w:i/>
          <w:color w:val="auto"/>
          <w:highlight w:val="none"/>
          <w:vertAlign w:val="subscript"/>
        </w:rPr>
        <w:t>0</w:t>
      </w:r>
      <w:r>
        <w:rPr>
          <w:rFonts w:ascii="Times New Roman" w:hAnsi="Times New Roman" w:cs="Times New Roman"/>
          <w:color w:val="auto"/>
          <w:highlight w:val="none"/>
        </w:rPr>
        <w:t>与粒径和含水率有关，因此，减少露天堆放和保证一定的含水率及减少裸露地面是减少风力起尘的有效手段。尘粒在空气中的传播扩散情况与风速等气象条件有关，也与尘粒本身的沉降速度有关。不同粒径的尘粒的沉降速度见表5.1-1。由表可知，尘粒的沉降速度随粒径的增大而迅速增大。当粒径为250μm时，沉降速度为1.005m/s，因此可以认为当尘粒大于250μm时，主要影响范围在扬尘点下风向近距离范围内，而真正对外环境产生影响的是一些微小尘粒。</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2" w:firstLineChars="200"/>
        <w:jc w:val="center"/>
        <w:textAlignment w:val="auto"/>
        <w:rPr>
          <w:b/>
          <w:color w:val="auto"/>
          <w:sz w:val="21"/>
          <w:szCs w:val="18"/>
          <w:highlight w:val="none"/>
        </w:rPr>
      </w:pPr>
      <w:r>
        <w:rPr>
          <w:b/>
          <w:color w:val="auto"/>
          <w:sz w:val="21"/>
          <w:szCs w:val="18"/>
          <w:highlight w:val="none"/>
        </w:rPr>
        <w:t>表5.1-1   不同粒径尘粒的沉降速度</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915"/>
        <w:gridCol w:w="915"/>
        <w:gridCol w:w="914"/>
        <w:gridCol w:w="914"/>
        <w:gridCol w:w="914"/>
        <w:gridCol w:w="914"/>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5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粒径，μm</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60</w:t>
            </w:r>
          </w:p>
        </w:tc>
        <w:tc>
          <w:tcPr>
            <w:tcW w:w="938"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5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沉降速度，m/s</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0.003</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0.012</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0.027</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0.048</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0.075</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0.108</w:t>
            </w:r>
          </w:p>
        </w:tc>
        <w:tc>
          <w:tcPr>
            <w:tcW w:w="938"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5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粒径，μm</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250</w:t>
            </w:r>
          </w:p>
        </w:tc>
        <w:tc>
          <w:tcPr>
            <w:tcW w:w="938"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5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沉降速度，m/s</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0.158</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0.170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0.182</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0.239</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0.804</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1.005</w:t>
            </w:r>
          </w:p>
        </w:tc>
        <w:tc>
          <w:tcPr>
            <w:tcW w:w="938"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5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粒径，μm</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450</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550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650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750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850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950</w:t>
            </w:r>
          </w:p>
        </w:tc>
        <w:tc>
          <w:tcPr>
            <w:tcW w:w="938"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15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沉降速度，m/s</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2.211</w:t>
            </w:r>
          </w:p>
        </w:tc>
        <w:tc>
          <w:tcPr>
            <w:tcW w:w="91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2.614</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3.016</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3.418</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3.820</w:t>
            </w:r>
          </w:p>
        </w:tc>
        <w:tc>
          <w:tcPr>
            <w:tcW w:w="91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4.222</w:t>
            </w:r>
          </w:p>
        </w:tc>
        <w:tc>
          <w:tcPr>
            <w:tcW w:w="938"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4.624</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施工车辆扬尘影响分析</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据有关文献资料介绍，车辆行驶产生的扬尘占总扬尘的60%</w:t>
      </w:r>
      <w:r>
        <w:rPr>
          <w:rFonts w:hint="eastAsia" w:ascii="Times New Roman" w:hAnsi="Times New Roman" w:cs="Times New Roman"/>
          <w:color w:val="auto"/>
          <w:highlight w:val="none"/>
          <w:lang w:eastAsia="zh-CN"/>
        </w:rPr>
        <w:t>以上</w:t>
      </w:r>
      <w:r>
        <w:rPr>
          <w:rFonts w:ascii="Times New Roman" w:hAnsi="Times New Roman" w:cs="Times New Roman"/>
          <w:color w:val="auto"/>
          <w:highlight w:val="none"/>
        </w:rPr>
        <w:t>。车辆行驶产生的扬尘，在完全干燥情况下，可按下列经验公式计算：</w:t>
      </w:r>
    </w:p>
    <w:p>
      <w:pPr>
        <w:spacing w:line="360" w:lineRule="auto"/>
        <w:jc w:val="center"/>
        <w:rPr>
          <w:color w:val="auto"/>
          <w:highlight w:val="none"/>
        </w:rPr>
      </w:pPr>
      <w:r>
        <w:rPr>
          <w:color w:val="auto"/>
          <w:highlight w:val="none"/>
        </w:rPr>
        <w:object>
          <v:shape id="_x0000_i1030" o:spt="75" type="#_x0000_t75" style="height:22pt;width:212pt;" o:ole="t" filled="f" o:preferrelative="t" stroked="f" coordsize="21600,21600">
            <v:path/>
            <v:fill on="f" focussize="0,0"/>
            <v:stroke on="f"/>
            <v:imagedata r:id="rId57" o:title=""/>
            <o:lock v:ext="edit" aspectratio="t"/>
            <w10:wrap type="none"/>
            <w10:anchorlock/>
          </v:shape>
          <o:OLEObject Type="Embed" ProgID="Equation.3" ShapeID="_x0000_i1030" DrawAspect="Content" ObjectID="_1468075730" r:id="rId56">
            <o:LockedField>false</o:LockedField>
          </o:OLEObject>
        </w:object>
      </w:r>
    </w:p>
    <w:p>
      <w:pPr>
        <w:pStyle w:val="71"/>
        <w:rPr>
          <w:rFonts w:ascii="Times New Roman" w:hAnsi="Times New Roman" w:cs="Times New Roman"/>
          <w:color w:val="auto"/>
          <w:highlight w:val="none"/>
        </w:rPr>
      </w:pPr>
      <w:r>
        <w:rPr>
          <w:rFonts w:ascii="Times New Roman" w:hAnsi="Times New Roman" w:cs="Times New Roman"/>
          <w:color w:val="auto"/>
          <w:highlight w:val="none"/>
        </w:rPr>
        <w:t>式中：</w:t>
      </w:r>
      <w:r>
        <w:rPr>
          <w:rFonts w:ascii="Times New Roman" w:hAnsi="Times New Roman" w:cs="Times New Roman"/>
          <w:i/>
          <w:color w:val="auto"/>
          <w:highlight w:val="none"/>
        </w:rPr>
        <w:t>Q</w:t>
      </w:r>
      <w:r>
        <w:rPr>
          <w:rFonts w:ascii="Times New Roman" w:hAnsi="Times New Roman" w:cs="Times New Roman"/>
          <w:color w:val="auto"/>
          <w:highlight w:val="none"/>
        </w:rPr>
        <w:t>——汽车行驶的扬尘，kg/km·辆；</w:t>
      </w:r>
    </w:p>
    <w:p>
      <w:pPr>
        <w:spacing w:line="360" w:lineRule="auto"/>
        <w:ind w:firstLine="1200" w:firstLineChars="500"/>
        <w:rPr>
          <w:color w:val="auto"/>
          <w:highlight w:val="none"/>
        </w:rPr>
      </w:pPr>
      <w:r>
        <w:rPr>
          <w:i/>
          <w:color w:val="auto"/>
          <w:highlight w:val="none"/>
        </w:rPr>
        <w:t>V</w:t>
      </w:r>
      <w:r>
        <w:rPr>
          <w:color w:val="auto"/>
          <w:highlight w:val="none"/>
        </w:rPr>
        <w:t>——汽车速度，km/hr；</w:t>
      </w:r>
    </w:p>
    <w:p>
      <w:pPr>
        <w:spacing w:line="360" w:lineRule="auto"/>
        <w:ind w:firstLine="1200" w:firstLineChars="500"/>
        <w:rPr>
          <w:color w:val="auto"/>
          <w:highlight w:val="none"/>
        </w:rPr>
      </w:pPr>
      <w:r>
        <w:rPr>
          <w:i/>
          <w:color w:val="auto"/>
          <w:highlight w:val="none"/>
        </w:rPr>
        <w:t>W</w:t>
      </w:r>
      <w:r>
        <w:rPr>
          <w:color w:val="auto"/>
          <w:highlight w:val="none"/>
        </w:rPr>
        <w:t>——汽车载重量，吨；</w:t>
      </w:r>
    </w:p>
    <w:p>
      <w:pPr>
        <w:spacing w:line="360" w:lineRule="auto"/>
        <w:ind w:firstLine="1200" w:firstLineChars="500"/>
        <w:rPr>
          <w:color w:val="auto"/>
          <w:highlight w:val="none"/>
        </w:rPr>
      </w:pPr>
      <w:r>
        <w:rPr>
          <w:i/>
          <w:color w:val="auto"/>
          <w:highlight w:val="none"/>
        </w:rPr>
        <w:t>P</w:t>
      </w:r>
      <w:r>
        <w:rPr>
          <w:color w:val="auto"/>
          <w:highlight w:val="none"/>
        </w:rPr>
        <w:t>——道路表面粉尘量，kg/m</w:t>
      </w:r>
      <w:r>
        <w:rPr>
          <w:color w:val="auto"/>
          <w:highlight w:val="none"/>
          <w:vertAlign w:val="superscript"/>
        </w:rPr>
        <w:t>2</w:t>
      </w:r>
      <w:r>
        <w:rPr>
          <w:color w:val="auto"/>
          <w:highlight w:val="none"/>
        </w:rPr>
        <w:t>。</w:t>
      </w:r>
    </w:p>
    <w:p>
      <w:pPr>
        <w:bidi w:val="0"/>
        <w:rPr>
          <w:color w:val="auto"/>
          <w:highlight w:val="none"/>
        </w:rPr>
      </w:pPr>
      <w:r>
        <w:rPr>
          <w:color w:val="auto"/>
          <w:highlight w:val="none"/>
        </w:rPr>
        <w:t>表5.1-2为一辆10吨卡车，通过一段长度为1km的路面时，不同路面清洁程度，不同行驶速度情况下的扬尘量。</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2" w:firstLineChars="200"/>
        <w:jc w:val="center"/>
        <w:textAlignment w:val="auto"/>
        <w:rPr>
          <w:rFonts w:ascii="Times New Roman" w:hAnsi="Times New Roman" w:eastAsia="宋体" w:cs="Times New Roman"/>
          <w:b/>
          <w:color w:val="auto"/>
          <w:sz w:val="21"/>
          <w:szCs w:val="18"/>
          <w:highlight w:val="none"/>
        </w:rPr>
      </w:pPr>
      <w:r>
        <w:rPr>
          <w:rFonts w:ascii="Times New Roman" w:hAnsi="Times New Roman" w:eastAsia="宋体" w:cs="Times New Roman"/>
          <w:b/>
          <w:color w:val="auto"/>
          <w:sz w:val="21"/>
          <w:szCs w:val="18"/>
          <w:highlight w:val="none"/>
        </w:rPr>
        <w:t>表5.1-2   在不同车速和地面清洁程度的汽车扬尘     单位：kg/辆·km</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174"/>
        <w:gridCol w:w="1174"/>
        <w:gridCol w:w="1174"/>
        <w:gridCol w:w="1174"/>
        <w:gridCol w:w="1085"/>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483" w:type="dxa"/>
            <w:noWrap w:val="0"/>
            <w:vAlign w:val="center"/>
          </w:tcPr>
          <w:p>
            <w:pPr>
              <w:pStyle w:val="72"/>
              <w:spacing w:line="32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P</w:t>
            </w:r>
          </w:p>
          <w:p>
            <w:pPr>
              <w:pStyle w:val="72"/>
              <w:spacing w:line="32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车速</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w:t>
            </w:r>
          </w:p>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(kg/m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w:t>
            </w:r>
          </w:p>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(kg/m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0.3</w:t>
            </w:r>
          </w:p>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(kg/m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0.4</w:t>
            </w:r>
          </w:p>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(kg/m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w:t>
            </w:r>
          </w:p>
        </w:tc>
        <w:tc>
          <w:tcPr>
            <w:tcW w:w="108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0.5</w:t>
            </w:r>
          </w:p>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(kg/m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w:t>
            </w:r>
          </w:p>
        </w:tc>
        <w:tc>
          <w:tcPr>
            <w:tcW w:w="119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(kg/m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8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5(km/hr)</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0.051056</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0.085865</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0.116382</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0.144408</w:t>
            </w:r>
          </w:p>
        </w:tc>
        <w:tc>
          <w:tcPr>
            <w:tcW w:w="108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0.170715</w:t>
            </w:r>
          </w:p>
        </w:tc>
        <w:tc>
          <w:tcPr>
            <w:tcW w:w="119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8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10(km/hr)</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0.102112</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0.171731</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0.232764</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0.288815</w:t>
            </w:r>
          </w:p>
        </w:tc>
        <w:tc>
          <w:tcPr>
            <w:tcW w:w="108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0.341431</w:t>
            </w:r>
          </w:p>
        </w:tc>
        <w:tc>
          <w:tcPr>
            <w:tcW w:w="119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0.574216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8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15(km/hr)</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0.153167</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0.257596</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0.349146</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0.433223</w:t>
            </w:r>
          </w:p>
        </w:tc>
        <w:tc>
          <w:tcPr>
            <w:tcW w:w="108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0.512146</w:t>
            </w:r>
          </w:p>
        </w:tc>
        <w:tc>
          <w:tcPr>
            <w:tcW w:w="119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0.861323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8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25(km/hr)</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0.255279</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0.429326</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0.58191</w:t>
            </w:r>
          </w:p>
        </w:tc>
        <w:tc>
          <w:tcPr>
            <w:tcW w:w="1174"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0.722038</w:t>
            </w:r>
          </w:p>
        </w:tc>
        <w:tc>
          <w:tcPr>
            <w:tcW w:w="1085"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0.853577</w:t>
            </w:r>
          </w:p>
        </w:tc>
        <w:tc>
          <w:tcPr>
            <w:tcW w:w="1193" w:type="dxa"/>
            <w:noWrap w:val="0"/>
            <w:vAlign w:val="center"/>
          </w:tcPr>
          <w:p>
            <w:pPr>
              <w:pStyle w:val="8"/>
              <w:spacing w:line="320" w:lineRule="exac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1.435539</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color w:val="auto"/>
          <w:highlight w:val="none"/>
        </w:rPr>
        <w:t>由此可见，在同样路面清洁程度条件下，车速越快，扬尘量越大；而在同样车速情况下，路面越脏，则扬尘量越大。因此限速行驶及保持路面的清洁是减少汽车扬尘的有效手段，建议工程施工期对道路保持每日不低于四次的洒水降尘频率。</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土方阶段机械施工扬尘影响分析</w:t>
      </w:r>
    </w:p>
    <w:p>
      <w:pPr>
        <w:bidi w:val="0"/>
        <w:rPr>
          <w:color w:val="auto"/>
          <w:highlight w:val="none"/>
        </w:rPr>
      </w:pPr>
      <w:r>
        <w:rPr>
          <w:color w:val="auto"/>
          <w:highlight w:val="none"/>
        </w:rPr>
        <w:t>在施工期建设过程中，对基础进行开挖、平整，不可避免地对环境空气产生一些不良影响，扬尘主要产生在以下环节：</w:t>
      </w:r>
    </w:p>
    <w:p>
      <w:pPr>
        <w:bidi w:val="0"/>
        <w:rPr>
          <w:color w:val="auto"/>
          <w:highlight w:val="none"/>
        </w:rPr>
      </w:pPr>
      <w:r>
        <w:rPr>
          <w:rFonts w:hint="eastAsia"/>
          <w:color w:val="auto"/>
          <w:highlight w:val="none"/>
          <w:lang w:eastAsia="zh-CN"/>
        </w:rPr>
        <w:t>①</w:t>
      </w:r>
      <w:r>
        <w:rPr>
          <w:color w:val="auto"/>
          <w:highlight w:val="none"/>
        </w:rPr>
        <w:t>施工机械挖土时的扬尘；</w:t>
      </w:r>
    </w:p>
    <w:p>
      <w:pPr>
        <w:bidi w:val="0"/>
        <w:rPr>
          <w:color w:val="auto"/>
          <w:highlight w:val="none"/>
        </w:rPr>
      </w:pPr>
      <w:r>
        <w:rPr>
          <w:rFonts w:hint="eastAsia"/>
          <w:color w:val="auto"/>
          <w:highlight w:val="none"/>
          <w:lang w:eastAsia="zh-CN"/>
        </w:rPr>
        <w:t>②</w:t>
      </w:r>
      <w:r>
        <w:rPr>
          <w:color w:val="auto"/>
          <w:highlight w:val="none"/>
        </w:rPr>
        <w:t>施工废土堆放时的土堆扬尘土；</w:t>
      </w:r>
    </w:p>
    <w:p>
      <w:pPr>
        <w:bidi w:val="0"/>
        <w:rPr>
          <w:color w:val="auto"/>
          <w:highlight w:val="none"/>
        </w:rPr>
      </w:pPr>
      <w:r>
        <w:rPr>
          <w:rFonts w:hint="eastAsia"/>
          <w:color w:val="auto"/>
          <w:highlight w:val="none"/>
          <w:lang w:eastAsia="zh-CN"/>
        </w:rPr>
        <w:t>③</w:t>
      </w:r>
      <w:r>
        <w:rPr>
          <w:color w:val="auto"/>
          <w:highlight w:val="none"/>
        </w:rPr>
        <w:t>运输过程中的扬尘；</w:t>
      </w:r>
    </w:p>
    <w:p>
      <w:pPr>
        <w:bidi w:val="0"/>
        <w:rPr>
          <w:color w:val="auto"/>
          <w:highlight w:val="none"/>
        </w:rPr>
      </w:pPr>
      <w:r>
        <w:rPr>
          <w:rFonts w:hint="eastAsia"/>
          <w:color w:val="auto"/>
          <w:highlight w:val="none"/>
          <w:lang w:eastAsia="zh-CN"/>
        </w:rPr>
        <w:t>④</w:t>
      </w:r>
      <w:r>
        <w:rPr>
          <w:color w:val="auto"/>
          <w:highlight w:val="none"/>
        </w:rPr>
        <w:t>场地扬尘等。</w:t>
      </w:r>
    </w:p>
    <w:p>
      <w:pPr>
        <w:bidi w:val="0"/>
        <w:rPr>
          <w:rFonts w:ascii="Times New Roman" w:hAnsi="Times New Roman" w:cs="Times New Roman"/>
          <w:color w:val="auto"/>
          <w:highlight w:val="none"/>
        </w:rPr>
      </w:pPr>
      <w:r>
        <w:rPr>
          <w:color w:val="auto"/>
          <w:highlight w:val="none"/>
        </w:rPr>
        <w:t>本项目采用综合分析和重点计算的方法。其中施工方式和施工现场的自然条件的影响最大。根据国内外的有关研究资料，施工扬尘的起尘量挖土机等在工作时的起尘量与挖坑深度、挖土机抓斗与地面的相对高度、风速、土壤的颗粒度、土壤含水量等有关。国内外的研究结果和类比研究表明，在起动风速以上，影响起尘量的主要因素表达式为：</w:t>
      </w:r>
    </w:p>
    <w:p>
      <w:pPr>
        <w:spacing w:line="360" w:lineRule="auto"/>
        <w:ind w:firstLine="480" w:firstLineChars="200"/>
        <w:jc w:val="center"/>
        <w:rPr>
          <w:i/>
          <w:color w:val="auto"/>
          <w:sz w:val="24"/>
          <w:szCs w:val="24"/>
          <w:highlight w:val="none"/>
        </w:rPr>
      </w:pPr>
      <w:r>
        <w:rPr>
          <w:iCs/>
          <w:color w:val="auto"/>
          <w:sz w:val="24"/>
          <w:szCs w:val="24"/>
          <w:highlight w:val="none"/>
        </w:rPr>
        <w:t>Qp=f（U，W，H，PI……）</w:t>
      </w:r>
    </w:p>
    <w:p>
      <w:pPr>
        <w:bidi w:val="0"/>
        <w:rPr>
          <w:color w:val="auto"/>
          <w:highlight w:val="none"/>
        </w:rPr>
      </w:pPr>
      <w:r>
        <w:rPr>
          <w:color w:val="auto"/>
          <w:highlight w:val="none"/>
        </w:rPr>
        <w:t>Qp：起尘量；</w:t>
      </w:r>
    </w:p>
    <w:p>
      <w:pPr>
        <w:bidi w:val="0"/>
        <w:rPr>
          <w:color w:val="auto"/>
          <w:highlight w:val="none"/>
        </w:rPr>
      </w:pPr>
      <w:r>
        <w:rPr>
          <w:color w:val="auto"/>
          <w:highlight w:val="none"/>
        </w:rPr>
        <w:t>f（U，W，H……）：函数形式；</w:t>
      </w:r>
    </w:p>
    <w:p>
      <w:pPr>
        <w:bidi w:val="0"/>
        <w:rPr>
          <w:color w:val="auto"/>
          <w:highlight w:val="none"/>
        </w:rPr>
      </w:pPr>
      <w:r>
        <w:rPr>
          <w:color w:val="auto"/>
          <w:highlight w:val="none"/>
        </w:rPr>
        <w:t>U：风速；</w:t>
      </w:r>
    </w:p>
    <w:p>
      <w:pPr>
        <w:bidi w:val="0"/>
        <w:rPr>
          <w:color w:val="auto"/>
          <w:highlight w:val="none"/>
        </w:rPr>
      </w:pPr>
      <w:r>
        <w:rPr>
          <w:color w:val="auto"/>
          <w:highlight w:val="none"/>
        </w:rPr>
        <w:t>W：土壤中的含水率；</w:t>
      </w:r>
    </w:p>
    <w:p>
      <w:pPr>
        <w:bidi w:val="0"/>
        <w:rPr>
          <w:color w:val="auto"/>
          <w:highlight w:val="none"/>
        </w:rPr>
      </w:pPr>
      <w:r>
        <w:rPr>
          <w:color w:val="auto"/>
          <w:highlight w:val="none"/>
        </w:rPr>
        <w:t>PI：粒径分散度；</w:t>
      </w:r>
    </w:p>
    <w:p>
      <w:pPr>
        <w:bidi w:val="0"/>
        <w:rPr>
          <w:color w:val="auto"/>
          <w:highlight w:val="none"/>
        </w:rPr>
      </w:pPr>
      <w:r>
        <w:rPr>
          <w:color w:val="auto"/>
          <w:highlight w:val="none"/>
        </w:rPr>
        <w:t>H：相对高度。</w:t>
      </w:r>
    </w:p>
    <w:p>
      <w:pPr>
        <w:bidi w:val="0"/>
        <w:rPr>
          <w:color w:val="auto"/>
          <w:highlight w:val="none"/>
        </w:rPr>
      </w:pPr>
      <w:r>
        <w:rPr>
          <w:color w:val="auto"/>
          <w:highlight w:val="none"/>
        </w:rPr>
        <w:t>实际计算中，一般作适当简化，起尘量公式如下：</w:t>
      </w:r>
    </w:p>
    <w:p>
      <w:pPr>
        <w:bidi w:val="0"/>
        <w:jc w:val="center"/>
        <w:rPr>
          <w:color w:val="auto"/>
          <w:highlight w:val="none"/>
        </w:rPr>
      </w:pPr>
      <w:r>
        <w:rPr>
          <w:color w:val="auto"/>
          <w:highlight w:val="none"/>
        </w:rPr>
        <w:t>QP=M×K</w:t>
      </w:r>
    </w:p>
    <w:p>
      <w:pPr>
        <w:bidi w:val="0"/>
        <w:rPr>
          <w:color w:val="auto"/>
          <w:highlight w:val="none"/>
        </w:rPr>
      </w:pPr>
      <w:r>
        <w:rPr>
          <w:color w:val="auto"/>
          <w:highlight w:val="none"/>
        </w:rPr>
        <w:t>QP：起尘量；</w:t>
      </w:r>
    </w:p>
    <w:p>
      <w:pPr>
        <w:bidi w:val="0"/>
        <w:rPr>
          <w:color w:val="auto"/>
          <w:highlight w:val="none"/>
        </w:rPr>
      </w:pPr>
      <w:r>
        <w:rPr>
          <w:color w:val="auto"/>
          <w:highlight w:val="none"/>
        </w:rPr>
        <w:t>M：抓斗总土量；</w:t>
      </w:r>
    </w:p>
    <w:p>
      <w:pPr>
        <w:bidi w:val="0"/>
        <w:rPr>
          <w:color w:val="auto"/>
          <w:highlight w:val="none"/>
        </w:rPr>
      </w:pPr>
      <w:r>
        <w:rPr>
          <w:color w:val="auto"/>
          <w:highlight w:val="none"/>
        </w:rPr>
        <w:t>K：经验系数，起尘率，不考虑防护措施；</w:t>
      </w:r>
    </w:p>
    <w:p>
      <w:pPr>
        <w:bidi w:val="0"/>
        <w:rPr>
          <w:color w:val="auto"/>
          <w:highlight w:val="none"/>
        </w:rPr>
      </w:pPr>
      <w:r>
        <w:rPr>
          <w:color w:val="auto"/>
          <w:highlight w:val="none"/>
        </w:rPr>
        <w:t>本项目施工期扬尘量按开挖装卸量的0.5%及0.25%来计算，分别代表没有采取防护措施和防护措施一般工况。</w:t>
      </w:r>
    </w:p>
    <w:p>
      <w:pPr>
        <w:bidi w:val="0"/>
        <w:rPr>
          <w:rFonts w:ascii="Times New Roman" w:hAnsi="Times New Roman" w:cs="Times New Roman"/>
          <w:color w:val="auto"/>
          <w:highlight w:val="none"/>
        </w:rPr>
      </w:pPr>
      <w:r>
        <w:rPr>
          <w:color w:val="auto"/>
          <w:highlight w:val="none"/>
        </w:rPr>
        <w:t>考虑到大颗粒在大气中很快沉降到地面，重点预测粒径在100微米以下的颗粒物的影响。根据施工的类比调查和起尘量的推算，按挖土量的0.5%、0.25%两个级别计算扬尘量，采用倾斜烟羽模型，按不同风速计算施工扬尘对下方向的TSP浓度贡献及距施工点的距离。0.25%表示施工防止扬尘污染的措施一般，0.5表示施工基本未采取防止扬尘污染措施。施工区的扬尘落地浓度贡献随距离变化见下表5.1-3、表5.1-4。</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eastAsia="黑体"/>
          <w:b/>
          <w:bCs/>
          <w:color w:val="auto"/>
          <w:sz w:val="21"/>
          <w:szCs w:val="18"/>
          <w:highlight w:val="none"/>
        </w:rPr>
      </w:pPr>
      <w:r>
        <w:rPr>
          <w:b/>
          <w:color w:val="auto"/>
          <w:sz w:val="21"/>
          <w:szCs w:val="18"/>
          <w:highlight w:val="none"/>
        </w:rPr>
        <w:t>表5.1-3  起尘量为挖土量0.25%时的扬尘浓度     单位</w:t>
      </w:r>
      <w:r>
        <w:rPr>
          <w:b/>
          <w:bCs/>
          <w:color w:val="auto"/>
          <w:sz w:val="21"/>
          <w:szCs w:val="18"/>
          <w:highlight w:val="none"/>
        </w:rPr>
        <w:t>：mg/m</w:t>
      </w:r>
      <w:r>
        <w:rPr>
          <w:b/>
          <w:bCs/>
          <w:color w:val="auto"/>
          <w:sz w:val="21"/>
          <w:szCs w:val="18"/>
          <w:highlight w:val="none"/>
          <w:vertAlign w:val="superscript"/>
        </w:rPr>
        <w:t>3</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638"/>
        <w:gridCol w:w="636"/>
        <w:gridCol w:w="636"/>
        <w:gridCol w:w="641"/>
        <w:gridCol w:w="638"/>
        <w:gridCol w:w="638"/>
        <w:gridCol w:w="638"/>
        <w:gridCol w:w="638"/>
        <w:gridCol w:w="639"/>
        <w:gridCol w:w="639"/>
        <w:gridCol w:w="639"/>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68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距离</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（m）</w:t>
            </w:r>
          </w:p>
        </w:tc>
        <w:tc>
          <w:tcPr>
            <w:tcW w:w="255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风速（1.8m/s）</w:t>
            </w:r>
          </w:p>
        </w:tc>
        <w:tc>
          <w:tcPr>
            <w:tcW w:w="255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风速（3.0m/s）</w:t>
            </w:r>
          </w:p>
        </w:tc>
        <w:tc>
          <w:tcPr>
            <w:tcW w:w="25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风速（4.0m/s）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jc w:val="center"/>
        </w:trPr>
        <w:tc>
          <w:tcPr>
            <w:tcW w:w="68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A-B</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C</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D</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E-F</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A-B</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C</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D</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E-F</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A-B</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C</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D</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50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0.93</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1.90</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2.70</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5.48</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0.56</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1.14</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1.61</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3.26</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0.42</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0.85</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1.20</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100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0.29</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0.63</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0.95</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2.12</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0.17</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0.38</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0.57</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1.27</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0.13</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0.28</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0.43</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150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0.14</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0.32</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0.50</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1.16</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0.70</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0.14</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0.22</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200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0.31</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0.75</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0.12</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0.45</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0.14</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250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0.13</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0.21</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0.53</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0.13</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0.32</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0.10</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300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0.16</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0.24</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350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0.12</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0.31</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400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0.10</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0.25</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0.15</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450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0.21</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0.12</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500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0.18</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0.11</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550</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0.15</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r>
    </w:tbl>
    <w:p>
      <w:pPr>
        <w:spacing w:line="560" w:lineRule="exact"/>
        <w:jc w:val="center"/>
        <w:rPr>
          <w:rFonts w:eastAsia="黑体"/>
          <w:b/>
          <w:bCs/>
          <w:color w:val="auto"/>
          <w:sz w:val="21"/>
          <w:szCs w:val="21"/>
          <w:highlight w:val="none"/>
        </w:rPr>
      </w:pPr>
      <w:r>
        <w:rPr>
          <w:b/>
          <w:color w:val="auto"/>
          <w:sz w:val="21"/>
          <w:szCs w:val="18"/>
          <w:highlight w:val="none"/>
        </w:rPr>
        <w:t>表5.1-4    起尘量为挖土量0.5%时的扬尘浓度     单位：</w:t>
      </w:r>
      <w:r>
        <w:rPr>
          <w:b/>
          <w:bCs/>
          <w:color w:val="auto"/>
          <w:sz w:val="21"/>
          <w:szCs w:val="18"/>
          <w:highlight w:val="none"/>
        </w:rPr>
        <w:t>mg/m</w:t>
      </w:r>
      <w:r>
        <w:rPr>
          <w:b/>
          <w:bCs/>
          <w:color w:val="auto"/>
          <w:sz w:val="21"/>
          <w:szCs w:val="18"/>
          <w:highlight w:val="none"/>
          <w:vertAlign w:val="superscript"/>
        </w:rPr>
        <w:t>3</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621"/>
        <w:gridCol w:w="618"/>
        <w:gridCol w:w="618"/>
        <w:gridCol w:w="659"/>
        <w:gridCol w:w="618"/>
        <w:gridCol w:w="618"/>
        <w:gridCol w:w="618"/>
        <w:gridCol w:w="620"/>
        <w:gridCol w:w="618"/>
        <w:gridCol w:w="618"/>
        <w:gridCol w:w="70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距离</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（m）</w:t>
            </w:r>
          </w:p>
        </w:tc>
        <w:tc>
          <w:tcPr>
            <w:tcW w:w="2516"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风速（1.8m/s）</w:t>
            </w:r>
          </w:p>
        </w:tc>
        <w:tc>
          <w:tcPr>
            <w:tcW w:w="247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风速（3.0m/s）</w:t>
            </w:r>
          </w:p>
        </w:tc>
        <w:tc>
          <w:tcPr>
            <w:tcW w:w="261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风速（4.0m/s）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A-B</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C</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D</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E-F</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A-B</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C</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D</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E-F</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A-B</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C</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D</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50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1.87</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3.18</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5.39</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10.97</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1.12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1.70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3.21</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6.51</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0.84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2.27</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2.40</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100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0.58</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1.26</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1.90</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4.24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0.35</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0.57</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1.14</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2.54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0.26</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0.75</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0.85</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150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0.28</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0.63</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0.99</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2.33</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0.17</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0.29</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0.60</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1.40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0.16</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0.38</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0.45</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200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0.17</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0.39</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0.62</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1.50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0.17</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0.37</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0.90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0.23</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0.28</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250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0.11</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0.26</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0.43</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1.06</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0.26</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0.64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0.16</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300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0.32</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0.80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0.48</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0.84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0.11</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0.14</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350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0.24</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0.62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0.15</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0.37</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0.11</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400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0.11</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0.50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0.12</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450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0.09</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0.16</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0.42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0.10</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0.25</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500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0.13</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0.35</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0.08</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0.21</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550</w:t>
            </w:r>
          </w:p>
        </w:tc>
        <w:tc>
          <w:tcPr>
            <w:tcW w:w="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0.06</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0.11</w:t>
            </w:r>
          </w:p>
        </w:tc>
        <w:tc>
          <w:tcPr>
            <w:tcW w:w="6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0.30</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0.02</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0.03</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0.07</w:t>
            </w:r>
          </w:p>
        </w:tc>
        <w:tc>
          <w:tcPr>
            <w:tcW w:w="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0.18</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0.01</w:t>
            </w:r>
          </w:p>
        </w:tc>
        <w:tc>
          <w:tcPr>
            <w:tcW w:w="6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0.04</w:t>
            </w:r>
          </w:p>
        </w:tc>
        <w:tc>
          <w:tcPr>
            <w:tcW w:w="7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0.05</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0.14</w:t>
            </w:r>
          </w:p>
        </w:tc>
      </w:tr>
    </w:tbl>
    <w:p>
      <w:pPr>
        <w:pStyle w:val="71"/>
        <w:keepNext w:val="0"/>
        <w:keepLines w:val="0"/>
        <w:pageBreakBefore w:val="0"/>
        <w:widowControl/>
        <w:kinsoku/>
        <w:wordWrap/>
        <w:overflowPunct/>
        <w:topLinePunct w:val="0"/>
        <w:autoSpaceDE/>
        <w:autoSpaceDN/>
        <w:bidi w:val="0"/>
        <w:adjustRightInd w:val="0"/>
        <w:snapToGrid w:val="0"/>
        <w:spacing w:before="157" w:beforeLines="50"/>
        <w:jc w:val="both"/>
        <w:textAlignment w:val="auto"/>
        <w:rPr>
          <w:rFonts w:ascii="Times New Roman" w:hAnsi="Times New Roman" w:cs="Times New Roman"/>
          <w:color w:val="auto"/>
          <w:highlight w:val="none"/>
        </w:rPr>
      </w:pPr>
      <w:r>
        <w:rPr>
          <w:rFonts w:ascii="Times New Roman" w:hAnsi="Times New Roman" w:cs="Times New Roman"/>
          <w:color w:val="auto"/>
          <w:highlight w:val="none"/>
        </w:rPr>
        <w:t>由此可以看出，起尘量为挖土量的0.25%，各不利风速及稳定度下影响距离为250</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350m；起尘量为挖土量的0.5%，影响距离为450</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550m。</w:t>
      </w:r>
    </w:p>
    <w:p>
      <w:pPr>
        <w:bidi w:val="0"/>
        <w:rPr>
          <w:color w:val="auto"/>
          <w:highlight w:val="none"/>
        </w:rPr>
      </w:pPr>
      <w:r>
        <w:rPr>
          <w:color w:val="auto"/>
          <w:highlight w:val="none"/>
        </w:rPr>
        <w:t>建筑施工阶段产生的扬尘将可能使该地区和下风向一定范围内空气中总悬浮颗粒物浓度增大，超过环境空气质量指标（GB3095-1996）中的二级标准，特别是天气干燥、风速较大时影响更为严重。因此应采取一系列有效措施。例如工地上配置滞尘防护网，定期对扬尘作业面喷洒水等，最大程度地减少扬尘对周围空气环境质量的影响。</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施工机械和运输车辆</w:t>
      </w:r>
      <w:r>
        <w:rPr>
          <w:rFonts w:hint="eastAsia" w:ascii="Times New Roman" w:hAnsi="Times New Roman" w:cs="Times New Roman"/>
          <w:color w:val="auto"/>
          <w:highlight w:val="none"/>
          <w:lang w:eastAsia="zh-CN"/>
        </w:rPr>
        <w:t>基本</w:t>
      </w:r>
      <w:r>
        <w:rPr>
          <w:rFonts w:ascii="Times New Roman" w:hAnsi="Times New Roman" w:cs="Times New Roman"/>
          <w:color w:val="auto"/>
          <w:highlight w:val="none"/>
        </w:rPr>
        <w:t>以燃油为主，燃烧尾气中含有CO、THC、NOx等大气污染物以及一些有毒有害气体，但由于源强不大，且具有流动性和间歇性的特点，只要注意在施工期间</w:t>
      </w:r>
      <w:r>
        <w:rPr>
          <w:rFonts w:hint="eastAsia" w:ascii="Times New Roman" w:hAnsi="Times New Roman" w:cs="Times New Roman"/>
          <w:color w:val="auto"/>
          <w:highlight w:val="none"/>
        </w:rPr>
        <w:t>做好</w:t>
      </w:r>
      <w:r>
        <w:rPr>
          <w:rFonts w:ascii="Times New Roman" w:hAnsi="Times New Roman" w:cs="Times New Roman"/>
          <w:color w:val="auto"/>
          <w:highlight w:val="none"/>
        </w:rPr>
        <w:t>相应的环保措施，随着施工结束，此类影响可随之消失，不会对该区域大气环境质量产生持久性危害。</w:t>
      </w:r>
    </w:p>
    <w:p>
      <w:pPr>
        <w:pStyle w:val="63"/>
        <w:spacing w:line="360" w:lineRule="auto"/>
        <w:rPr>
          <w:rFonts w:hint="eastAsia" w:cs="Times New Roman"/>
          <w:color w:val="0000FF"/>
          <w:highlight w:val="none"/>
          <w:lang w:eastAsia="zh-CN"/>
        </w:rPr>
      </w:pPr>
      <w:r>
        <w:rPr>
          <w:rFonts w:hint="eastAsia" w:cs="Times New Roman"/>
          <w:color w:val="0000FF"/>
          <w:highlight w:val="none"/>
          <w:lang w:eastAsia="zh-CN"/>
        </w:rPr>
        <w:t>（</w:t>
      </w:r>
      <w:r>
        <w:rPr>
          <w:rFonts w:hint="eastAsia" w:cs="Times New Roman"/>
          <w:color w:val="0000FF"/>
          <w:highlight w:val="none"/>
          <w:lang w:val="en-US" w:eastAsia="zh-CN"/>
        </w:rPr>
        <w:t>4</w:t>
      </w:r>
      <w:r>
        <w:rPr>
          <w:rFonts w:hint="eastAsia" w:cs="Times New Roman"/>
          <w:color w:val="0000FF"/>
          <w:highlight w:val="none"/>
          <w:lang w:eastAsia="zh-CN"/>
        </w:rPr>
        <w:t>）拆除工程扬尘影响分析</w:t>
      </w:r>
    </w:p>
    <w:p>
      <w:pPr>
        <w:pStyle w:val="63"/>
        <w:spacing w:line="360" w:lineRule="auto"/>
        <w:rPr>
          <w:color w:val="0000FF"/>
          <w:highlight w:val="none"/>
        </w:rPr>
      </w:pPr>
      <w:r>
        <w:rPr>
          <w:rFonts w:hint="eastAsia"/>
          <w:color w:val="0000FF"/>
          <w:highlight w:val="none"/>
          <w:lang w:eastAsia="zh-CN"/>
        </w:rPr>
        <w:t>现有锅炉房拆除、</w:t>
      </w:r>
      <w:r>
        <w:rPr>
          <w:color w:val="0000FF"/>
          <w:highlight w:val="none"/>
        </w:rPr>
        <w:t>施工渣土</w:t>
      </w:r>
      <w:r>
        <w:rPr>
          <w:rFonts w:hint="eastAsia"/>
          <w:color w:val="0000FF"/>
          <w:highlight w:val="none"/>
          <w:lang w:eastAsia="zh-CN"/>
        </w:rPr>
        <w:t>转运</w:t>
      </w:r>
      <w:r>
        <w:rPr>
          <w:color w:val="0000FF"/>
          <w:highlight w:val="none"/>
        </w:rPr>
        <w:t>、进出车辆带</w:t>
      </w:r>
      <w:r>
        <w:rPr>
          <w:rFonts w:hint="eastAsia"/>
          <w:color w:val="0000FF"/>
          <w:highlight w:val="none"/>
        </w:rPr>
        <w:t>泥沙</w:t>
      </w:r>
      <w:r>
        <w:rPr>
          <w:color w:val="0000FF"/>
          <w:highlight w:val="none"/>
        </w:rPr>
        <w:t>量、</w:t>
      </w:r>
      <w:r>
        <w:rPr>
          <w:rFonts w:hint="eastAsia"/>
          <w:color w:val="0000FF"/>
          <w:highlight w:val="none"/>
        </w:rPr>
        <w:t>建筑</w:t>
      </w:r>
      <w:r>
        <w:rPr>
          <w:rFonts w:hint="eastAsia"/>
          <w:color w:val="0000FF"/>
          <w:highlight w:val="none"/>
          <w:lang w:eastAsia="zh-CN"/>
        </w:rPr>
        <w:t>废料</w:t>
      </w:r>
      <w:r>
        <w:rPr>
          <w:rFonts w:hint="eastAsia"/>
          <w:color w:val="0000FF"/>
          <w:highlight w:val="none"/>
        </w:rPr>
        <w:t>运输、装卸等均可能产生扬尘</w:t>
      </w:r>
      <w:r>
        <w:rPr>
          <w:rFonts w:hint="eastAsia"/>
          <w:color w:val="0000FF"/>
          <w:highlight w:val="none"/>
          <w:lang w:eastAsia="zh-CN"/>
        </w:rPr>
        <w:t>，主要由于外力而产生的尘粒再悬浮而造成。由于拆除工程量较小，这部分扬尘产生量较小，主要与施工方式、施工管理等有关，</w:t>
      </w:r>
      <w:r>
        <w:rPr>
          <w:rFonts w:hint="eastAsia"/>
          <w:color w:val="0000FF"/>
          <w:highlight w:val="none"/>
        </w:rPr>
        <w:t>要求建设单位施工期间应严格遵守《防治城市扬尘污染技术规范》（</w:t>
      </w:r>
      <w:r>
        <w:rPr>
          <w:color w:val="0000FF"/>
          <w:highlight w:val="none"/>
        </w:rPr>
        <w:t>HJ/T393-2007</w:t>
      </w:r>
      <w:r>
        <w:rPr>
          <w:rFonts w:hint="eastAsia"/>
          <w:color w:val="0000FF"/>
          <w:highlight w:val="none"/>
        </w:rPr>
        <w:t>）的要求</w:t>
      </w:r>
      <w:r>
        <w:rPr>
          <w:rFonts w:hint="eastAsia"/>
          <w:color w:val="0000FF"/>
          <w:highlight w:val="none"/>
          <w:lang w:eastAsia="zh-CN"/>
        </w:rPr>
        <w:t>，减少拆除工程施工过程产生的扬尘</w:t>
      </w:r>
      <w:r>
        <w:rPr>
          <w:rFonts w:hint="eastAsia"/>
          <w:color w:val="0000FF"/>
          <w:highlight w:val="none"/>
        </w:rPr>
        <w:t>。</w:t>
      </w:r>
    </w:p>
    <w:p>
      <w:pPr>
        <w:pStyle w:val="14"/>
        <w:adjustRightInd w:val="0"/>
        <w:snapToGrid w:val="0"/>
        <w:spacing w:line="360" w:lineRule="auto"/>
        <w:ind w:left="0" w:firstLine="480" w:firstLineChars="200"/>
        <w:jc w:val="both"/>
      </w:pPr>
      <w:r>
        <w:rPr>
          <w:rFonts w:ascii="Times New Roman" w:hAnsi="Times New Roman" w:cs="Times New Roman"/>
          <w:color w:val="auto"/>
          <w:highlight w:val="none"/>
        </w:rPr>
        <w:t>尽管项目在建设阶段会对评价区城及其周围空气质量造成一定影响，但这种影响是局部的，短期的，项目建设完成之后影响就会消失，因此，施工扬尘对本项目环境保护目标影响较小。</w:t>
      </w:r>
    </w:p>
    <w:p>
      <w:pPr>
        <w:pStyle w:val="6"/>
        <w:numPr>
          <w:ilvl w:val="2"/>
          <w:numId w:val="18"/>
        </w:numPr>
        <w:tabs>
          <w:tab w:val="left" w:pos="1241"/>
        </w:tabs>
        <w:adjustRightInd w:val="0"/>
        <w:snapToGrid w:val="0"/>
        <w:spacing w:line="360" w:lineRule="auto"/>
        <w:ind w:left="0" w:firstLine="562" w:firstLineChars="200"/>
        <w:jc w:val="both"/>
      </w:pPr>
      <w:bookmarkStart w:id="173" w:name="5.1.3_施工期水环境影响分析"/>
      <w:bookmarkEnd w:id="173"/>
      <w:r>
        <w:t>施工期水环境影响分析</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施工期废水主要是建筑施工废水，另外还有部分建筑工人的生活污水。</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建筑施工废水主要</w:t>
      </w:r>
      <w:r>
        <w:rPr>
          <w:rFonts w:hint="eastAsia" w:ascii="Times New Roman" w:hAnsi="Times New Roman" w:cs="Times New Roman"/>
          <w:color w:val="auto"/>
          <w:highlight w:val="none"/>
        </w:rPr>
        <w:t>来自</w:t>
      </w:r>
      <w:r>
        <w:rPr>
          <w:rFonts w:ascii="Times New Roman" w:hAnsi="Times New Roman" w:cs="Times New Roman"/>
          <w:color w:val="auto"/>
          <w:highlight w:val="none"/>
        </w:rPr>
        <w:t>施工过程中混凝土输送机、养护等施工工序，多为无机废水，除悬浮物含量较高外，不含</w:t>
      </w:r>
      <w:r>
        <w:rPr>
          <w:rFonts w:hint="eastAsia" w:ascii="Times New Roman" w:hAnsi="Times New Roman" w:cs="Times New Roman"/>
          <w:color w:val="auto"/>
          <w:highlight w:val="none"/>
        </w:rPr>
        <w:t>其他</w:t>
      </w:r>
      <w:r>
        <w:rPr>
          <w:rFonts w:ascii="Times New Roman" w:hAnsi="Times New Roman" w:cs="Times New Roman"/>
          <w:color w:val="auto"/>
          <w:highlight w:val="none"/>
        </w:rPr>
        <w:t>有害物质。建筑施工废水排放量不大，并且大部分自然蒸发。因此，施工期产生的废水对周围环境影响较小。</w:t>
      </w:r>
    </w:p>
    <w:p>
      <w:pPr>
        <w:pStyle w:val="71"/>
        <w:ind w:firstLine="482"/>
        <w:jc w:val="both"/>
        <w:rPr>
          <w:rFonts w:hint="eastAsia" w:ascii="Times New Roman" w:hAnsi="Times New Roman" w:cs="Times New Roman"/>
          <w:color w:val="auto"/>
          <w:highlight w:val="none"/>
        </w:rPr>
      </w:pPr>
      <w:r>
        <w:rPr>
          <w:rFonts w:ascii="Times New Roman" w:hAnsi="Times New Roman" w:cs="Times New Roman"/>
          <w:color w:val="auto"/>
          <w:highlight w:val="none"/>
        </w:rPr>
        <w:t>施工人员的生活污水</w:t>
      </w:r>
      <w:r>
        <w:rPr>
          <w:rFonts w:hint="eastAsia" w:ascii="Times New Roman" w:hAnsi="Times New Roman" w:cs="Times New Roman"/>
          <w:color w:val="auto"/>
          <w:highlight w:val="none"/>
        </w:rPr>
        <w:t>排入市政污水管网。</w:t>
      </w:r>
    </w:p>
    <w:p>
      <w:pPr>
        <w:pStyle w:val="71"/>
        <w:ind w:firstLine="482"/>
        <w:jc w:val="both"/>
        <w:rPr>
          <w:rFonts w:ascii="Times New Roman" w:hAnsi="Times New Roman" w:cs="Times New Roman"/>
          <w:b/>
          <w:bCs/>
          <w:color w:val="auto"/>
          <w:highlight w:val="none"/>
        </w:rPr>
      </w:pPr>
      <w:r>
        <w:rPr>
          <w:rFonts w:ascii="Times New Roman" w:hAnsi="Times New Roman" w:cs="Times New Roman"/>
          <w:b/>
          <w:bCs/>
          <w:color w:val="auto"/>
          <w:highlight w:val="none"/>
        </w:rPr>
        <w:t>施工废水防治措施</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施工期由于施工人员多，生活用水量较大，为了防止建筑施工对周围地下水体产生污染，建设单位应与施工单位密切配合，采取以下措施：</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定期清洁建筑施工机械表面不必要的润滑油及其</w:t>
      </w:r>
      <w:r>
        <w:rPr>
          <w:rFonts w:hint="eastAsia" w:ascii="Times New Roman" w:hAnsi="Times New Roman" w:cs="Times New Roman"/>
          <w:color w:val="auto"/>
          <w:highlight w:val="none"/>
        </w:rPr>
        <w:t>他</w:t>
      </w:r>
      <w:r>
        <w:rPr>
          <w:rFonts w:ascii="Times New Roman" w:hAnsi="Times New Roman" w:cs="Times New Roman"/>
          <w:color w:val="auto"/>
          <w:highlight w:val="none"/>
        </w:rPr>
        <w:t>废油，对废油应妥善处置；</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加强施工机械设备的维修保养，避免在施工过程中燃料油的跑、冒、滴、漏；</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不得随意在施工区域内冲洗汽车，对施工机械进行检修和清洗时必须定点，检修和清洗场地必须经水泥硬化；</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根据拟建项目规模，预计施工人数高峰时在</w:t>
      </w:r>
      <w:r>
        <w:rPr>
          <w:rFonts w:hint="eastAsia" w:ascii="Times New Roman" w:hAnsi="Times New Roman" w:cs="Times New Roman"/>
          <w:color w:val="auto"/>
          <w:highlight w:val="none"/>
        </w:rPr>
        <w:t>3</w:t>
      </w:r>
      <w:r>
        <w:rPr>
          <w:rFonts w:ascii="Times New Roman" w:hAnsi="Times New Roman" w:cs="Times New Roman"/>
          <w:color w:val="auto"/>
          <w:highlight w:val="none"/>
        </w:rPr>
        <w:t>0人左右，生活用水按50L/人·d计，日产生活污水约</w:t>
      </w:r>
      <w:r>
        <w:rPr>
          <w:rFonts w:hint="eastAsia" w:ascii="Times New Roman" w:hAnsi="Times New Roman" w:cs="Times New Roman"/>
          <w:color w:val="auto"/>
          <w:highlight w:val="none"/>
        </w:rPr>
        <w:t>1.5</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/d</w:t>
      </w:r>
      <w:r>
        <w:rPr>
          <w:rFonts w:hint="eastAsia" w:ascii="Times New Roman" w:hAnsi="Times New Roman" w:cs="Times New Roman"/>
          <w:color w:val="auto"/>
          <w:highlight w:val="none"/>
        </w:rPr>
        <w:t>，全部排入下水管网，由污水处理厂处置</w:t>
      </w:r>
      <w:r>
        <w:rPr>
          <w:rFonts w:ascii="Times New Roman" w:hAnsi="Times New Roman" w:cs="Times New Roman"/>
          <w:color w:val="auto"/>
          <w:highlight w:val="none"/>
        </w:rPr>
        <w:t>不会对周边环境</w:t>
      </w:r>
      <w:r>
        <w:rPr>
          <w:rFonts w:hint="eastAsia" w:ascii="Times New Roman" w:hAnsi="Times New Roman" w:cs="Times New Roman"/>
          <w:color w:val="auto"/>
          <w:highlight w:val="none"/>
        </w:rPr>
        <w:t>产生</w:t>
      </w:r>
      <w:r>
        <w:rPr>
          <w:rFonts w:ascii="Times New Roman" w:hAnsi="Times New Roman" w:cs="Times New Roman"/>
          <w:color w:val="auto"/>
          <w:highlight w:val="none"/>
        </w:rPr>
        <w:t>影响。</w:t>
      </w:r>
    </w:p>
    <w:p>
      <w:pPr>
        <w:pStyle w:val="14"/>
        <w:adjustRightInd w:val="0"/>
        <w:snapToGrid w:val="0"/>
        <w:spacing w:line="360" w:lineRule="auto"/>
        <w:ind w:left="0" w:firstLine="480" w:firstLineChars="200"/>
        <w:jc w:val="both"/>
      </w:pPr>
      <w:r>
        <w:rPr>
          <w:rFonts w:ascii="Times New Roman" w:hAnsi="Times New Roman" w:cs="Times New Roman"/>
          <w:color w:val="auto"/>
          <w:highlight w:val="none"/>
        </w:rPr>
        <w:t>此外，施工期砂石料堆放、土石方工程及雨天引起的水土流失，包括雨污水，打桩泥浆水及场地积水，这些污水悬浮物浓度较高，要求在施工工地周围设置排水明沟，场地径流经收集沉淀后再予以排放。</w:t>
      </w:r>
    </w:p>
    <w:p>
      <w:pPr>
        <w:pStyle w:val="6"/>
        <w:numPr>
          <w:ilvl w:val="2"/>
          <w:numId w:val="18"/>
        </w:numPr>
        <w:tabs>
          <w:tab w:val="left" w:pos="1241"/>
        </w:tabs>
        <w:adjustRightInd w:val="0"/>
        <w:snapToGrid w:val="0"/>
        <w:spacing w:line="360" w:lineRule="auto"/>
        <w:ind w:left="0" w:firstLine="562" w:firstLineChars="200"/>
        <w:jc w:val="both"/>
      </w:pPr>
      <w:bookmarkStart w:id="174" w:name="5.1.4_施工期声环境影响分析"/>
      <w:bookmarkEnd w:id="174"/>
      <w:r>
        <w:t>施工期声环境影响分析</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项目厂址施工期间，施工噪声源主要有挖掘机，推土机，装载机，切割机和混凝土搅拌机等设备噪声，声级为85—100dB(A)。</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主要考虑噪声值较大的机械设备的噪声随距离衰减情况。在考虑本工程噪声源对环境影响的同时，仅考虑点声源到不同距离处经距离衰减后的噪声，计算出声源对附近敏感点的贡献值，并对声源的贡献值进行分析。噪声值计算模式为：</w:t>
      </w:r>
    </w:p>
    <w:p>
      <w:pPr>
        <w:spacing w:line="360" w:lineRule="auto"/>
        <w:ind w:firstLine="480" w:firstLineChars="200"/>
        <w:jc w:val="center"/>
        <w:rPr>
          <w:i/>
          <w:color w:val="auto"/>
          <w:highlight w:val="none"/>
        </w:rPr>
      </w:pPr>
      <w:r>
        <w:rPr>
          <w:i/>
          <w:color w:val="auto"/>
          <w:highlight w:val="none"/>
        </w:rPr>
        <w:t>LA（r）=LAref（ro）-(Adiv+Abar+Aatm+Aexc)</w:t>
      </w:r>
    </w:p>
    <w:p>
      <w:pPr>
        <w:pStyle w:val="71"/>
        <w:rPr>
          <w:rFonts w:ascii="Times New Roman" w:hAnsi="Times New Roman" w:cs="Times New Roman"/>
          <w:color w:val="auto"/>
          <w:highlight w:val="none"/>
        </w:rPr>
      </w:pPr>
      <w:r>
        <w:rPr>
          <w:rFonts w:ascii="Times New Roman" w:hAnsi="Times New Roman" w:cs="Times New Roman"/>
          <w:color w:val="auto"/>
          <w:highlight w:val="none"/>
        </w:rPr>
        <w:t>式中：</w:t>
      </w:r>
      <w:r>
        <w:rPr>
          <w:rFonts w:ascii="Times New Roman" w:hAnsi="Times New Roman" w:cs="Times New Roman"/>
          <w:i/>
          <w:color w:val="auto"/>
          <w:highlight w:val="none"/>
        </w:rPr>
        <w:t>LA（r）</w:t>
      </w:r>
      <w:r>
        <w:rPr>
          <w:rFonts w:ascii="Times New Roman" w:hAnsi="Times New Roman" w:cs="Times New Roman"/>
          <w:color w:val="auto"/>
          <w:highlight w:val="none"/>
        </w:rPr>
        <w:t>——距声源r处的A声级，dB（A）；</w:t>
      </w:r>
    </w:p>
    <w:p>
      <w:pPr>
        <w:spacing w:line="360" w:lineRule="auto"/>
        <w:ind w:firstLine="1200" w:firstLineChars="500"/>
        <w:rPr>
          <w:color w:val="auto"/>
          <w:highlight w:val="none"/>
        </w:rPr>
      </w:pPr>
      <w:r>
        <w:rPr>
          <w:i/>
          <w:color w:val="auto"/>
          <w:highlight w:val="none"/>
        </w:rPr>
        <w:t>LAref（ro）</w:t>
      </w:r>
      <w:r>
        <w:rPr>
          <w:color w:val="auto"/>
          <w:highlight w:val="none"/>
        </w:rPr>
        <w:t>——参考位置ro处的A声级，dB（A）；</w:t>
      </w:r>
    </w:p>
    <w:p>
      <w:pPr>
        <w:spacing w:line="360" w:lineRule="auto"/>
        <w:ind w:firstLine="1200" w:firstLineChars="500"/>
        <w:rPr>
          <w:color w:val="auto"/>
          <w:highlight w:val="none"/>
        </w:rPr>
      </w:pPr>
      <w:r>
        <w:rPr>
          <w:i/>
          <w:color w:val="auto"/>
          <w:highlight w:val="none"/>
        </w:rPr>
        <w:t>Adiv</w:t>
      </w:r>
      <w:r>
        <w:rPr>
          <w:color w:val="auto"/>
          <w:highlight w:val="none"/>
        </w:rPr>
        <w:t>——声波几何发散引起的A声级衰减量dB（A），</w:t>
      </w:r>
    </w:p>
    <w:p>
      <w:pPr>
        <w:spacing w:line="360" w:lineRule="auto"/>
        <w:ind w:firstLine="1200" w:firstLineChars="500"/>
        <w:rPr>
          <w:i/>
          <w:color w:val="auto"/>
          <w:highlight w:val="none"/>
        </w:rPr>
      </w:pPr>
      <w:r>
        <w:rPr>
          <w:i/>
          <w:color w:val="auto"/>
          <w:highlight w:val="none"/>
        </w:rPr>
        <w:t>Adiv=20lg（r/ro）</w:t>
      </w:r>
    </w:p>
    <w:p>
      <w:pPr>
        <w:spacing w:line="360" w:lineRule="auto"/>
        <w:ind w:firstLine="1200" w:firstLineChars="500"/>
        <w:rPr>
          <w:color w:val="auto"/>
          <w:highlight w:val="none"/>
        </w:rPr>
      </w:pPr>
      <w:r>
        <w:rPr>
          <w:i/>
          <w:color w:val="auto"/>
          <w:highlight w:val="none"/>
        </w:rPr>
        <w:t>Abar</w:t>
      </w:r>
      <w:r>
        <w:rPr>
          <w:color w:val="auto"/>
          <w:highlight w:val="none"/>
        </w:rPr>
        <w:t>——遮挡物引起的A声级衰减量dB(A)，在此取值为0；</w:t>
      </w:r>
    </w:p>
    <w:p>
      <w:pPr>
        <w:spacing w:line="360" w:lineRule="auto"/>
        <w:ind w:firstLine="1200" w:firstLineChars="500"/>
        <w:rPr>
          <w:color w:val="auto"/>
          <w:highlight w:val="none"/>
        </w:rPr>
      </w:pPr>
      <w:r>
        <w:rPr>
          <w:i/>
          <w:color w:val="auto"/>
          <w:highlight w:val="none"/>
        </w:rPr>
        <w:t>Aatm</w:t>
      </w:r>
      <w:r>
        <w:rPr>
          <w:color w:val="auto"/>
          <w:highlight w:val="none"/>
        </w:rPr>
        <w:t>——空气吸收引起的A声级衰减量dB（A），</w:t>
      </w:r>
    </w:p>
    <w:p>
      <w:pPr>
        <w:spacing w:line="360" w:lineRule="auto"/>
        <w:ind w:firstLine="1200" w:firstLineChars="500"/>
        <w:rPr>
          <w:color w:val="auto"/>
          <w:highlight w:val="none"/>
        </w:rPr>
      </w:pPr>
      <w:r>
        <w:rPr>
          <w:i/>
          <w:color w:val="auto"/>
          <w:highlight w:val="none"/>
        </w:rPr>
        <w:t>Aatm=α(r/ro)/100</w:t>
      </w:r>
      <w:r>
        <w:rPr>
          <w:color w:val="auto"/>
          <w:highlight w:val="none"/>
        </w:rPr>
        <w:t>，查表取α为1.142；</w:t>
      </w:r>
    </w:p>
    <w:p>
      <w:pPr>
        <w:spacing w:line="360" w:lineRule="auto"/>
        <w:ind w:firstLine="1200" w:firstLineChars="500"/>
        <w:rPr>
          <w:color w:val="auto"/>
          <w:highlight w:val="none"/>
        </w:rPr>
      </w:pPr>
      <w:r>
        <w:rPr>
          <w:i/>
          <w:color w:val="auto"/>
          <w:highlight w:val="none"/>
        </w:rPr>
        <w:t>Aexc</w:t>
      </w:r>
      <w:r>
        <w:rPr>
          <w:color w:val="auto"/>
          <w:highlight w:val="none"/>
        </w:rPr>
        <w:t>——附加A声级衰减量dB（A），</w:t>
      </w:r>
      <w:r>
        <w:rPr>
          <w:i/>
          <w:color w:val="auto"/>
          <w:highlight w:val="none"/>
        </w:rPr>
        <w:t>Aexc=5lg(r/ro)</w:t>
      </w:r>
      <w:r>
        <w:rPr>
          <w:color w:val="auto"/>
          <w:highlight w:val="none"/>
        </w:rPr>
        <w:t>。</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施工场地噪声预测结果见表5.1-5。</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b/>
          <w:color w:val="auto"/>
          <w:szCs w:val="21"/>
          <w:highlight w:val="none"/>
        </w:rPr>
      </w:pPr>
      <w:r>
        <w:rPr>
          <w:b/>
          <w:color w:val="auto"/>
          <w:sz w:val="21"/>
          <w:szCs w:val="18"/>
          <w:highlight w:val="none"/>
        </w:rPr>
        <w:t>表5.1-5   距声源不同距离</w:t>
      </w:r>
      <w:r>
        <w:rPr>
          <w:rFonts w:hint="eastAsia"/>
          <w:b/>
          <w:color w:val="auto"/>
          <w:sz w:val="21"/>
          <w:szCs w:val="18"/>
          <w:highlight w:val="none"/>
          <w:lang w:eastAsia="zh-CN"/>
        </w:rPr>
        <w:t>处</w:t>
      </w:r>
      <w:r>
        <w:rPr>
          <w:b/>
          <w:color w:val="auto"/>
          <w:sz w:val="21"/>
          <w:szCs w:val="18"/>
          <w:highlight w:val="none"/>
        </w:rPr>
        <w:t>的噪声值dB（A）</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716"/>
        <w:gridCol w:w="718"/>
        <w:gridCol w:w="718"/>
        <w:gridCol w:w="718"/>
        <w:gridCol w:w="718"/>
        <w:gridCol w:w="721"/>
        <w:gridCol w:w="721"/>
        <w:gridCol w:w="721"/>
        <w:gridCol w:w="721"/>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5m</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20m</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40m</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50m</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100m</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150m</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200m</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300m</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95</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 xml:space="preserve">89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83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77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75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69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65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63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59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挖掘机</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 xml:space="preserve">84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78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72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70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64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60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58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54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振捣机</w:t>
            </w:r>
          </w:p>
        </w:tc>
        <w:tc>
          <w:tcPr>
            <w:tcW w:w="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94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88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82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80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74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70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68 </w:t>
            </w:r>
          </w:p>
        </w:tc>
        <w:tc>
          <w:tcPr>
            <w:tcW w:w="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64 </w:t>
            </w:r>
          </w:p>
        </w:tc>
        <w:tc>
          <w:tcPr>
            <w:tcW w:w="7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62 </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sz w:val="24"/>
        </w:rPr>
      </w:pPr>
      <w:r>
        <w:rPr>
          <w:color w:val="auto"/>
          <w:highlight w:val="none"/>
        </w:rPr>
        <w:t>从表中可看出，施工机械噪声较高，昼间噪声超过《建筑施工场界噪声限值》（GB12523-2011）的情况出现在距声源</w:t>
      </w:r>
      <w:r>
        <w:rPr>
          <w:rFonts w:hint="eastAsia"/>
          <w:color w:val="auto"/>
          <w:highlight w:val="none"/>
          <w:lang w:val="en-US" w:eastAsia="zh-CN"/>
        </w:rPr>
        <w:t>150</w:t>
      </w:r>
      <w:r>
        <w:rPr>
          <w:color w:val="auto"/>
          <w:highlight w:val="none"/>
        </w:rPr>
        <w:t>m范围内，夜间施工噪声超标情况</w:t>
      </w:r>
      <w:r>
        <w:rPr>
          <w:rFonts w:hint="eastAsia"/>
          <w:color w:val="auto"/>
          <w:highlight w:val="none"/>
          <w:lang w:eastAsia="zh-CN"/>
        </w:rPr>
        <w:t>超过</w:t>
      </w:r>
      <w:r>
        <w:rPr>
          <w:rFonts w:hint="eastAsia"/>
          <w:color w:val="auto"/>
          <w:highlight w:val="none"/>
          <w:lang w:val="en-US" w:eastAsia="zh-CN"/>
        </w:rPr>
        <w:t>4</w:t>
      </w:r>
      <w:r>
        <w:rPr>
          <w:color w:val="auto"/>
          <w:highlight w:val="none"/>
        </w:rPr>
        <w:t>00m范围内。施工噪声特别是夜间的施工噪声对环境的影响是较大的。</w:t>
      </w:r>
      <w:r>
        <w:rPr>
          <w:rFonts w:hint="eastAsia"/>
          <w:color w:val="auto"/>
          <w:highlight w:val="none"/>
        </w:rPr>
        <w:t>为</w:t>
      </w:r>
      <w:r>
        <w:rPr>
          <w:color w:val="auto"/>
          <w:highlight w:val="none"/>
        </w:rPr>
        <w:t>减少对周边</w:t>
      </w:r>
      <w:r>
        <w:rPr>
          <w:rFonts w:hint="eastAsia"/>
          <w:color w:val="auto"/>
          <w:highlight w:val="none"/>
        </w:rPr>
        <w:t>声环境</w:t>
      </w:r>
      <w:r>
        <w:rPr>
          <w:color w:val="auto"/>
          <w:highlight w:val="none"/>
        </w:rPr>
        <w:t>的影响</w:t>
      </w:r>
      <w:r>
        <w:rPr>
          <w:rFonts w:hint="eastAsia"/>
          <w:color w:val="auto"/>
          <w:highlight w:val="none"/>
        </w:rPr>
        <w:t>，</w:t>
      </w:r>
      <w:r>
        <w:rPr>
          <w:color w:val="auto"/>
          <w:highlight w:val="none"/>
        </w:rPr>
        <w:t>需在施工过程中严格规范施工人员的生产行为</w:t>
      </w:r>
      <w:r>
        <w:rPr>
          <w:rFonts w:hint="eastAsia"/>
          <w:color w:val="auto"/>
          <w:highlight w:val="none"/>
        </w:rPr>
        <w:t>，禁止夜间施工</w:t>
      </w:r>
      <w:r>
        <w:rPr>
          <w:color w:val="auto"/>
          <w:highlight w:val="none"/>
        </w:rPr>
        <w:t>。</w:t>
      </w:r>
    </w:p>
    <w:p>
      <w:pPr>
        <w:pStyle w:val="6"/>
        <w:numPr>
          <w:ilvl w:val="2"/>
          <w:numId w:val="18"/>
        </w:numPr>
        <w:tabs>
          <w:tab w:val="left" w:pos="1241"/>
        </w:tabs>
        <w:spacing w:line="360" w:lineRule="auto"/>
        <w:ind w:left="0" w:firstLine="562" w:firstLineChars="200"/>
        <w:jc w:val="both"/>
      </w:pPr>
      <w:bookmarkStart w:id="175" w:name="5.1.5_施工期固体废物影响分析"/>
      <w:bookmarkEnd w:id="175"/>
      <w:r>
        <w:t>施工期固体废物影响分析</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施工期间固体废弃物主要包括施工人员生活垃圾和施工期间产生的建筑垃圾等。</w:t>
      </w:r>
    </w:p>
    <w:p>
      <w:pPr>
        <w:pStyle w:val="71"/>
        <w:jc w:val="both"/>
        <w:rPr>
          <w:rFonts w:ascii="Times New Roman" w:hAnsi="Times New Roman" w:cs="Times New Roman"/>
          <w:color w:val="auto"/>
          <w:highlight w:val="none"/>
        </w:rPr>
      </w:pPr>
      <w:r>
        <w:rPr>
          <w:rFonts w:ascii="Times New Roman" w:hAnsi="Times New Roman" w:cs="Times New Roman"/>
          <w:color w:val="auto"/>
          <w:highlight w:val="none"/>
        </w:rPr>
        <w:t>施工人员平均每人排放生活垃圾约0.</w:t>
      </w:r>
      <w:r>
        <w:rPr>
          <w:rFonts w:hint="eastAsia" w:ascii="Times New Roman" w:hAnsi="Times New Roman" w:cs="Times New Roman"/>
          <w:color w:val="auto"/>
          <w:highlight w:val="none"/>
        </w:rPr>
        <w:t>5</w:t>
      </w:r>
      <w:r>
        <w:rPr>
          <w:rFonts w:ascii="Times New Roman" w:hAnsi="Times New Roman" w:cs="Times New Roman"/>
          <w:color w:val="auto"/>
          <w:highlight w:val="none"/>
        </w:rPr>
        <w:t>kg/d，施工期间，生活垃圾产生量最多约</w:t>
      </w:r>
      <w:r>
        <w:rPr>
          <w:rFonts w:hint="eastAsia" w:ascii="Times New Roman" w:hAnsi="Times New Roman" w:cs="Times New Roman"/>
          <w:color w:val="auto"/>
          <w:highlight w:val="none"/>
        </w:rPr>
        <w:t>15</w:t>
      </w:r>
      <w:r>
        <w:rPr>
          <w:rFonts w:ascii="Times New Roman" w:hAnsi="Times New Roman" w:cs="Times New Roman"/>
          <w:color w:val="auto"/>
          <w:highlight w:val="none"/>
        </w:rPr>
        <w:t>kg/d，这些生活垃圾经分类，统一收集后，定期运往当地环卫部门指定的垃圾场卫生填埋处理，不会对周围环境造成明显的影响。</w:t>
      </w:r>
    </w:p>
    <w:p>
      <w:pPr>
        <w:pStyle w:val="14"/>
        <w:spacing w:line="360" w:lineRule="auto"/>
        <w:ind w:left="0" w:firstLine="480" w:firstLineChars="200"/>
        <w:jc w:val="both"/>
        <w:rPr>
          <w:color w:val="0000FF"/>
        </w:rPr>
      </w:pPr>
      <w:r>
        <w:rPr>
          <w:rFonts w:ascii="Times New Roman" w:hAnsi="Times New Roman" w:cs="Times New Roman"/>
          <w:color w:val="0000FF"/>
          <w:highlight w:val="none"/>
        </w:rPr>
        <w:t>建筑垃圾主要包括施工过程地基处理和建材损耗、装修阶段产生的少量砂土石块</w:t>
      </w:r>
      <w:r>
        <w:rPr>
          <w:rFonts w:hint="eastAsia" w:cs="Times New Roman"/>
          <w:color w:val="0000FF"/>
          <w:highlight w:val="none"/>
          <w:lang w:eastAsia="zh-CN"/>
        </w:rPr>
        <w:t>，</w:t>
      </w:r>
      <w:r>
        <w:rPr>
          <w:rFonts w:hint="eastAsia" w:ascii="Times New Roman" w:hAnsi="Times New Roman" w:cs="Times New Roman"/>
          <w:color w:val="0000FF"/>
          <w:highlight w:val="none"/>
        </w:rPr>
        <w:t>原有设备拆除产生的废旧金属</w:t>
      </w:r>
      <w:r>
        <w:rPr>
          <w:rFonts w:ascii="Times New Roman" w:hAnsi="Times New Roman" w:cs="Times New Roman"/>
          <w:color w:val="0000FF"/>
          <w:highlight w:val="none"/>
        </w:rPr>
        <w:t>，</w:t>
      </w:r>
      <w:r>
        <w:rPr>
          <w:rFonts w:hint="eastAsia" w:ascii="Times New Roman" w:hAnsi="Times New Roman" w:cs="Times New Roman"/>
          <w:color w:val="0000FF"/>
          <w:highlight w:val="none"/>
        </w:rPr>
        <w:t>拆除设施的基础等建筑垃圾</w:t>
      </w:r>
      <w:r>
        <w:rPr>
          <w:rFonts w:hint="eastAsia" w:cs="Times New Roman"/>
          <w:color w:val="0000FF"/>
          <w:highlight w:val="none"/>
          <w:lang w:eastAsia="zh-CN"/>
        </w:rPr>
        <w:t>，主要包括</w:t>
      </w:r>
      <w:r>
        <w:rPr>
          <w:rFonts w:ascii="Times New Roman" w:hAnsi="Times New Roman" w:cs="Times New Roman"/>
          <w:color w:val="0000FF"/>
          <w:highlight w:val="none"/>
        </w:rPr>
        <w:t>水泥</w:t>
      </w:r>
      <w:r>
        <w:rPr>
          <w:rFonts w:hint="eastAsia" w:cs="Times New Roman"/>
          <w:color w:val="0000FF"/>
          <w:highlight w:val="none"/>
          <w:lang w:eastAsia="zh-CN"/>
        </w:rPr>
        <w:t>块</w:t>
      </w:r>
      <w:r>
        <w:rPr>
          <w:rFonts w:ascii="Times New Roman" w:hAnsi="Times New Roman" w:cs="Times New Roman"/>
          <w:color w:val="0000FF"/>
          <w:highlight w:val="none"/>
        </w:rPr>
        <w:t>、碎木料、锯木屑、废金属、钢筋、铁丝等。建筑垃圾在采取有</w:t>
      </w:r>
      <w:r>
        <w:rPr>
          <w:rFonts w:hint="eastAsia" w:ascii="Times New Roman" w:hAnsi="Times New Roman" w:cs="Times New Roman"/>
          <w:color w:val="0000FF"/>
          <w:highlight w:val="none"/>
        </w:rPr>
        <w:t>计划地堆放</w:t>
      </w:r>
      <w:r>
        <w:rPr>
          <w:rFonts w:ascii="Times New Roman" w:hAnsi="Times New Roman" w:cs="Times New Roman"/>
          <w:color w:val="0000FF"/>
          <w:highlight w:val="none"/>
        </w:rPr>
        <w:t>，按要求分类处置、综合回收利用后，</w:t>
      </w:r>
      <w:r>
        <w:rPr>
          <w:rFonts w:hint="eastAsia" w:cs="Times New Roman"/>
          <w:color w:val="0000FF"/>
          <w:highlight w:val="none"/>
          <w:lang w:eastAsia="zh-CN"/>
        </w:rPr>
        <w:t>不可回收利用的部分</w:t>
      </w:r>
      <w:r>
        <w:rPr>
          <w:rFonts w:hint="eastAsia" w:ascii="Times New Roman" w:hAnsi="Times New Roman" w:cs="Times New Roman"/>
          <w:color w:val="0000FF"/>
          <w:highlight w:val="none"/>
        </w:rPr>
        <w:t>送至当地建筑垃圾填埋场</w:t>
      </w:r>
      <w:r>
        <w:rPr>
          <w:rFonts w:hint="eastAsia" w:cs="Times New Roman"/>
          <w:color w:val="0000FF"/>
          <w:highlight w:val="none"/>
          <w:lang w:eastAsia="zh-CN"/>
        </w:rPr>
        <w:t>，</w:t>
      </w:r>
      <w:r>
        <w:rPr>
          <w:rFonts w:ascii="Times New Roman" w:hAnsi="Times New Roman" w:cs="Times New Roman"/>
          <w:color w:val="0000FF"/>
          <w:highlight w:val="none"/>
        </w:rPr>
        <w:t>对环境影响小。</w:t>
      </w:r>
    </w:p>
    <w:p>
      <w:pPr>
        <w:pStyle w:val="6"/>
        <w:numPr>
          <w:ilvl w:val="2"/>
          <w:numId w:val="18"/>
        </w:numPr>
        <w:tabs>
          <w:tab w:val="left" w:pos="1241"/>
        </w:tabs>
        <w:spacing w:line="360" w:lineRule="auto"/>
        <w:ind w:left="0" w:firstLine="562" w:firstLineChars="200"/>
        <w:jc w:val="both"/>
      </w:pPr>
      <w:bookmarkStart w:id="176" w:name="5.1.6_生态影响分析"/>
      <w:bookmarkEnd w:id="176"/>
      <w:r>
        <w:t>生态影响分析</w:t>
      </w:r>
    </w:p>
    <w:p>
      <w:pPr>
        <w:pStyle w:val="71"/>
        <w:rPr>
          <w:rFonts w:ascii="Times New Roman" w:hAnsi="Times New Roman" w:cs="Times New Roman"/>
          <w:color w:val="auto"/>
          <w:highlight w:val="none"/>
        </w:rPr>
      </w:pPr>
      <w:r>
        <w:rPr>
          <w:rFonts w:ascii="Times New Roman" w:hAnsi="Times New Roman" w:cs="Times New Roman"/>
          <w:color w:val="auto"/>
          <w:highlight w:val="none"/>
        </w:rPr>
        <w:t>施工期的生态环境影响主要表现为植被破坏和土壤侵蚀。</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植被破坏</w:t>
      </w:r>
    </w:p>
    <w:p>
      <w:pPr>
        <w:bidi w:val="0"/>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本项目位于</w:t>
      </w:r>
      <w:r>
        <w:rPr>
          <w:rFonts w:hint="eastAsia" w:cs="Times New Roman"/>
          <w:color w:val="auto"/>
          <w:highlight w:val="none"/>
          <w:lang w:val="en-US" w:eastAsia="zh-CN"/>
        </w:rPr>
        <w:t>额敏县桥南中粮路21号中粮糖业控股股份有限公司额敏糖业分公司厂区内，</w:t>
      </w:r>
      <w:r>
        <w:rPr>
          <w:rFonts w:ascii="Times New Roman" w:hAnsi="Times New Roman" w:cs="Times New Roman"/>
          <w:color w:val="auto"/>
          <w:highlight w:val="none"/>
        </w:rPr>
        <w:t>天然植被以少量草本植物为主覆盖率低。因此，项目建设破坏的植被资源量较小，而且无国家保护的</w:t>
      </w:r>
      <w:r>
        <w:rPr>
          <w:rFonts w:hint="eastAsia" w:ascii="Times New Roman" w:hAnsi="Times New Roman" w:cs="Times New Roman"/>
          <w:color w:val="auto"/>
          <w:highlight w:val="none"/>
        </w:rPr>
        <w:t>珍稀</w:t>
      </w:r>
      <w:r>
        <w:rPr>
          <w:rFonts w:ascii="Times New Roman" w:hAnsi="Times New Roman" w:cs="Times New Roman"/>
          <w:color w:val="auto"/>
          <w:highlight w:val="none"/>
        </w:rPr>
        <w:t>植物，对环境影响较小。</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土壤侵蚀影响</w:t>
      </w:r>
    </w:p>
    <w:p>
      <w:pPr>
        <w:pStyle w:val="14"/>
        <w:spacing w:line="360" w:lineRule="auto"/>
        <w:ind w:left="0"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伴随着工程建设中的土地平整、建筑挖填、材料堆放、弃土弃渣排放，施工机械通行、施工人员生活等一系列生产活动，难免损坏原地貌，原状土壤结构和植被，使地表抗侵蚀能力降低，原有水土保持功能减弱甚至丧失。</w:t>
      </w:r>
    </w:p>
    <w:p>
      <w:pPr>
        <w:pStyle w:val="5"/>
        <w:keepNext w:val="0"/>
        <w:keepLines w:val="0"/>
        <w:pageBreakBefore w:val="0"/>
        <w:widowControl w:val="0"/>
        <w:kinsoku/>
        <w:wordWrap/>
        <w:overflowPunct/>
        <w:topLinePunct w:val="0"/>
        <w:autoSpaceDE w:val="0"/>
        <w:autoSpaceDN w:val="0"/>
        <w:bidi w:val="0"/>
        <w:adjustRightInd w:val="0"/>
        <w:snapToGrid w:val="0"/>
        <w:spacing w:before="0" w:after="0" w:line="360" w:lineRule="auto"/>
        <w:ind w:firstLine="562" w:firstLineChars="200"/>
        <w:jc w:val="both"/>
        <w:textAlignment w:val="auto"/>
        <w:rPr>
          <w:rFonts w:hint="default" w:ascii="Times New Roman" w:hAnsi="Times New Roman" w:eastAsia="宋体" w:cs="Times New Roman"/>
          <w:bCs w:val="0"/>
          <w:color w:val="auto"/>
          <w:kern w:val="0"/>
          <w:sz w:val="28"/>
          <w:szCs w:val="24"/>
          <w:highlight w:val="none"/>
        </w:rPr>
      </w:pPr>
      <w:bookmarkStart w:id="177" w:name="_Toc22800"/>
      <w:bookmarkStart w:id="178" w:name="_Toc19689"/>
      <w:bookmarkStart w:id="179" w:name="_Toc9079"/>
      <w:bookmarkStart w:id="180" w:name="_Toc21342"/>
      <w:bookmarkStart w:id="181" w:name="_Toc11781"/>
      <w:bookmarkStart w:id="182" w:name="_Toc1791"/>
      <w:bookmarkStart w:id="183" w:name="_Toc22494"/>
      <w:bookmarkStart w:id="184" w:name="_Toc18003"/>
      <w:bookmarkStart w:id="185" w:name="_Toc21321"/>
      <w:bookmarkStart w:id="186" w:name="_Toc31371"/>
      <w:bookmarkStart w:id="187" w:name="_Toc5985"/>
      <w:bookmarkStart w:id="188" w:name="_Toc19822"/>
      <w:bookmarkStart w:id="189" w:name="_Toc2005"/>
      <w:bookmarkStart w:id="190" w:name="_Toc31207"/>
      <w:r>
        <w:rPr>
          <w:rFonts w:hint="eastAsia"/>
          <w:bCs w:val="0"/>
          <w:color w:val="auto"/>
          <w:kern w:val="0"/>
          <w:sz w:val="28"/>
          <w:szCs w:val="24"/>
          <w:highlight w:val="none"/>
          <w:lang w:val="en-US" w:eastAsia="zh-CN"/>
        </w:rPr>
        <w:t>5.2</w:t>
      </w:r>
      <w:r>
        <w:rPr>
          <w:rFonts w:hint="eastAsia" w:ascii="Times New Roman" w:hAnsi="Times New Roman" w:eastAsia="宋体"/>
          <w:bCs w:val="0"/>
          <w:color w:val="auto"/>
          <w:kern w:val="0"/>
          <w:sz w:val="28"/>
          <w:szCs w:val="24"/>
          <w:highlight w:val="none"/>
        </w:rPr>
        <w:t>大气环</w:t>
      </w:r>
      <w:r>
        <w:rPr>
          <w:rFonts w:hint="default" w:ascii="Times New Roman" w:hAnsi="Times New Roman" w:eastAsia="宋体" w:cs="Times New Roman"/>
          <w:bCs w:val="0"/>
          <w:color w:val="auto"/>
          <w:kern w:val="0"/>
          <w:sz w:val="28"/>
          <w:szCs w:val="24"/>
          <w:highlight w:val="none"/>
        </w:rPr>
        <w:t>境影响分析</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6"/>
        <w:keepNext w:val="0"/>
        <w:keepLines w:val="0"/>
        <w:pageBreakBefore w:val="0"/>
        <w:widowControl w:val="0"/>
        <w:kinsoku/>
        <w:wordWrap/>
        <w:overflowPunct/>
        <w:topLinePunct w:val="0"/>
        <w:autoSpaceDE w:val="0"/>
        <w:autoSpaceDN w:val="0"/>
        <w:bidi w:val="0"/>
        <w:adjustRightInd w:val="0"/>
        <w:snapToGrid w:val="0"/>
        <w:ind w:left="0" w:leftChars="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5.2.1</w:t>
      </w:r>
      <w:r>
        <w:rPr>
          <w:rFonts w:hint="default" w:ascii="Times New Roman" w:hAnsi="Times New Roman" w:cs="Times New Roman"/>
          <w:color w:val="auto"/>
          <w:highlight w:val="none"/>
        </w:rPr>
        <w:t>估算模式及参数</w:t>
      </w:r>
    </w:p>
    <w:p>
      <w:pPr>
        <w:pStyle w:val="7"/>
        <w:keepNext w:val="0"/>
        <w:keepLines w:val="0"/>
        <w:pageBreakBefore w:val="0"/>
        <w:widowControl w:val="0"/>
        <w:kinsoku/>
        <w:wordWrap/>
        <w:overflowPunct/>
        <w:topLinePunct w:val="0"/>
        <w:autoSpaceDE w:val="0"/>
        <w:autoSpaceDN w:val="0"/>
        <w:bidi w:val="0"/>
        <w:adjustRightInd w:val="0"/>
        <w:snapToGrid w:val="0"/>
        <w:ind w:firstLine="482" w:firstLineChars="200"/>
        <w:jc w:val="both"/>
        <w:textAlignment w:val="auto"/>
        <w:rPr>
          <w:rFonts w:hint="eastAsia"/>
          <w:color w:val="auto"/>
          <w:highlight w:val="none"/>
        </w:rPr>
      </w:pPr>
      <w:r>
        <w:rPr>
          <w:rFonts w:hint="default" w:ascii="Times New Roman" w:hAnsi="Times New Roman" w:cs="Times New Roman"/>
          <w:color w:val="auto"/>
          <w:highlight w:val="none"/>
          <w:lang w:val="en-US" w:eastAsia="zh-CN"/>
        </w:rPr>
        <w:t>5.2.1.1</w:t>
      </w:r>
      <w:r>
        <w:rPr>
          <w:rFonts w:hint="default" w:ascii="Times New Roman" w:hAnsi="Times New Roman" w:cs="Times New Roman"/>
          <w:color w:val="auto"/>
          <w:highlight w:val="none"/>
        </w:rPr>
        <w:t>气象资</w:t>
      </w:r>
      <w:r>
        <w:rPr>
          <w:rFonts w:hint="eastAsia"/>
          <w:color w:val="auto"/>
          <w:highlight w:val="none"/>
        </w:rPr>
        <w:t>料来源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69"/>
        <w:jc w:val="both"/>
        <w:textAlignment w:val="auto"/>
        <w:rPr>
          <w:rFonts w:cs="Times New Roman"/>
          <w:color w:val="auto"/>
          <w:highlight w:val="none"/>
        </w:rPr>
      </w:pPr>
      <w:r>
        <w:rPr>
          <w:rFonts w:ascii="宋体" w:hAnsi="宋体" w:eastAsia="宋体" w:cs="宋体"/>
          <w:spacing w:val="-3"/>
          <w:sz w:val="24"/>
          <w:szCs w:val="24"/>
        </w:rPr>
        <w:t>本项目核定的大气评价等级为二级，按《环境影</w:t>
      </w:r>
      <w:r>
        <w:rPr>
          <w:rFonts w:ascii="宋体" w:hAnsi="宋体" w:eastAsia="宋体" w:cs="宋体"/>
          <w:spacing w:val="-4"/>
          <w:sz w:val="24"/>
          <w:szCs w:val="24"/>
        </w:rPr>
        <w:t>响评价技术导则大气环境》</w:t>
      </w:r>
      <w:r>
        <w:rPr>
          <w:rFonts w:ascii="宋体" w:hAnsi="宋体" w:eastAsia="宋体" w:cs="宋体"/>
          <w:spacing w:val="-2"/>
          <w:sz w:val="24"/>
          <w:szCs w:val="24"/>
        </w:rPr>
        <w:t>（</w:t>
      </w:r>
      <w:r>
        <w:rPr>
          <w:rFonts w:ascii="Times New Roman" w:hAnsi="Times New Roman" w:eastAsia="Times New Roman" w:cs="Times New Roman"/>
          <w:spacing w:val="-2"/>
          <w:sz w:val="24"/>
          <w:szCs w:val="24"/>
        </w:rPr>
        <w:t>HJ 2.2-2018</w:t>
      </w:r>
      <w:r>
        <w:rPr>
          <w:rFonts w:ascii="宋体" w:hAnsi="宋体" w:eastAsia="宋体" w:cs="宋体"/>
          <w:spacing w:val="-2"/>
          <w:sz w:val="24"/>
          <w:szCs w:val="24"/>
        </w:rPr>
        <w:t>）要求只分析常规地面气象资</w:t>
      </w:r>
      <w:r>
        <w:rPr>
          <w:rFonts w:ascii="宋体" w:hAnsi="宋体" w:eastAsia="宋体" w:cs="宋体"/>
          <w:spacing w:val="-3"/>
          <w:sz w:val="24"/>
          <w:szCs w:val="24"/>
        </w:rPr>
        <w:t>料统计特征量，本工程位于塔城地区</w:t>
      </w:r>
      <w:r>
        <w:rPr>
          <w:rFonts w:ascii="宋体" w:hAnsi="宋体" w:eastAsia="宋体" w:cs="宋体"/>
          <w:sz w:val="24"/>
          <w:szCs w:val="24"/>
        </w:rPr>
        <w:t>额敏县，本次收集了额敏县常年的地面</w:t>
      </w:r>
      <w:r>
        <w:rPr>
          <w:rFonts w:ascii="宋体" w:hAnsi="宋体" w:eastAsia="宋体" w:cs="宋体"/>
          <w:spacing w:val="-1"/>
          <w:sz w:val="24"/>
          <w:szCs w:val="24"/>
        </w:rPr>
        <w:t>观测数据进行统计分析。</w:t>
      </w:r>
    </w:p>
    <w:p>
      <w:pPr>
        <w:pStyle w:val="7"/>
        <w:bidi w:val="0"/>
        <w:jc w:val="both"/>
        <w:rPr>
          <w:color w:val="auto"/>
          <w:highlight w:val="none"/>
        </w:rPr>
      </w:pPr>
      <w:r>
        <w:rPr>
          <w:rFonts w:hint="eastAsia"/>
          <w:color w:val="auto"/>
          <w:highlight w:val="none"/>
          <w:lang w:val="en-US" w:eastAsia="zh-CN"/>
        </w:rPr>
        <w:t>5.2.1.2</w:t>
      </w:r>
      <w:r>
        <w:rPr>
          <w:rFonts w:hint="eastAsia"/>
          <w:color w:val="auto"/>
          <w:highlight w:val="none"/>
        </w:rPr>
        <w:t>气候特征</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9"/>
        <w:textAlignment w:val="auto"/>
        <w:rPr>
          <w:rFonts w:ascii="宋体" w:hAnsi="宋体" w:eastAsia="宋体" w:cs="宋体"/>
          <w:sz w:val="24"/>
          <w:szCs w:val="24"/>
        </w:rPr>
      </w:pPr>
      <w:r>
        <w:rPr>
          <w:rFonts w:ascii="宋体" w:hAnsi="宋体" w:eastAsia="宋体" w:cs="宋体"/>
          <w:sz w:val="24"/>
          <w:szCs w:val="24"/>
        </w:rPr>
        <w:t>本项目地面气象观测资料采用额敏县气象观测</w:t>
      </w:r>
      <w:r>
        <w:rPr>
          <w:rFonts w:ascii="宋体" w:hAnsi="宋体" w:eastAsia="宋体" w:cs="宋体"/>
          <w:spacing w:val="-1"/>
          <w:sz w:val="24"/>
          <w:szCs w:val="24"/>
        </w:rPr>
        <w:t>站的资料，观测项目包括气</w:t>
      </w:r>
      <w:r>
        <w:rPr>
          <w:rFonts w:ascii="宋体" w:hAnsi="宋体" w:eastAsia="宋体" w:cs="宋体"/>
          <w:spacing w:val="-3"/>
          <w:sz w:val="24"/>
          <w:szCs w:val="24"/>
        </w:rPr>
        <w:t>温、气压、相对湿度、风速和风向、降水、日照等，符合导则关于地面气象观测资料调查的要求。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textAlignment w:val="auto"/>
        <w:rPr>
          <w:rFonts w:ascii="宋体" w:hAnsi="宋体" w:eastAsia="宋体" w:cs="宋体"/>
          <w:sz w:val="24"/>
          <w:szCs w:val="24"/>
        </w:rPr>
      </w:pPr>
      <w:r>
        <w:rPr>
          <w:rFonts w:ascii="宋体" w:hAnsi="宋体" w:eastAsia="宋体" w:cs="宋体"/>
          <w:sz w:val="24"/>
          <w:szCs w:val="24"/>
        </w:rPr>
        <w:t>调查收集额敏县气象站</w:t>
      </w:r>
      <w:r>
        <w:rPr>
          <w:rFonts w:ascii="Times New Roman" w:hAnsi="Times New Roman" w:eastAsia="Times New Roman" w:cs="Times New Roman"/>
          <w:sz w:val="24"/>
          <w:szCs w:val="24"/>
        </w:rPr>
        <w:t>2002</w:t>
      </w:r>
      <w:r>
        <w:rPr>
          <w:rFonts w:ascii="宋体" w:hAnsi="宋体" w:eastAsia="宋体" w:cs="宋体"/>
          <w:sz w:val="24"/>
          <w:szCs w:val="24"/>
        </w:rPr>
        <w:t>～</w:t>
      </w:r>
      <w:r>
        <w:rPr>
          <w:rFonts w:ascii="Times New Roman" w:hAnsi="Times New Roman" w:eastAsia="Times New Roman" w:cs="Times New Roman"/>
          <w:sz w:val="24"/>
          <w:szCs w:val="24"/>
        </w:rPr>
        <w:t>2021</w:t>
      </w:r>
      <w:r>
        <w:rPr>
          <w:rFonts w:ascii="宋体" w:hAnsi="宋体" w:eastAsia="宋体" w:cs="宋体"/>
          <w:sz w:val="24"/>
          <w:szCs w:val="24"/>
        </w:rPr>
        <w:t>年的主要</w:t>
      </w:r>
      <w:r>
        <w:rPr>
          <w:rFonts w:ascii="宋体" w:hAnsi="宋体" w:eastAsia="宋体" w:cs="宋体"/>
          <w:spacing w:val="-1"/>
          <w:sz w:val="24"/>
          <w:szCs w:val="24"/>
        </w:rPr>
        <w:t>气候统计资料，包括年平均风</w:t>
      </w:r>
      <w:r>
        <w:rPr>
          <w:rFonts w:ascii="宋体" w:hAnsi="宋体" w:eastAsia="宋体" w:cs="宋体"/>
          <w:spacing w:val="-3"/>
          <w:sz w:val="24"/>
          <w:szCs w:val="24"/>
        </w:rPr>
        <w:t>速，最大风速与月平均风速，年平均气温，极端气温与月平均气温，年平均相对湿度，年均降水量，降水量极值，日照，年平均气压，各方位风向频率及平均风</w:t>
      </w:r>
      <w:r>
        <w:rPr>
          <w:rFonts w:ascii="宋体" w:hAnsi="宋体" w:eastAsia="宋体" w:cs="宋体"/>
          <w:spacing w:val="-1"/>
          <w:sz w:val="24"/>
          <w:szCs w:val="24"/>
        </w:rPr>
        <w:t>速等，根据气象资料统计，主要气象资料如下：</w:t>
      </w:r>
    </w:p>
    <w:p>
      <w:pPr>
        <w:spacing w:before="179" w:line="221" w:lineRule="auto"/>
        <w:ind w:left="2319"/>
        <w:rPr>
          <w:rFonts w:ascii="宋体" w:hAnsi="宋体" w:eastAsia="宋体" w:cs="宋体"/>
          <w:b/>
          <w:bCs/>
          <w:sz w:val="21"/>
          <w:szCs w:val="21"/>
        </w:rPr>
      </w:pPr>
      <w:r>
        <w:rPr>
          <w:rFonts w:ascii="宋体" w:hAnsi="宋体" w:eastAsia="宋体" w:cs="宋体"/>
          <w:b/>
          <w:bCs/>
          <w:spacing w:val="5"/>
          <w:sz w:val="21"/>
          <w:szCs w:val="21"/>
        </w:rPr>
        <w:t>表</w:t>
      </w:r>
      <w:r>
        <w:rPr>
          <w:rFonts w:ascii="Times New Roman" w:hAnsi="Times New Roman" w:eastAsia="Times New Roman" w:cs="Times New Roman"/>
          <w:b/>
          <w:bCs/>
          <w:spacing w:val="5"/>
          <w:sz w:val="21"/>
          <w:szCs w:val="21"/>
        </w:rPr>
        <w:t xml:space="preserve">5.2-1                          </w:t>
      </w:r>
      <w:r>
        <w:rPr>
          <w:rFonts w:ascii="宋体" w:hAnsi="宋体" w:eastAsia="宋体" w:cs="宋体"/>
          <w:b/>
          <w:bCs/>
          <w:spacing w:val="4"/>
          <w:sz w:val="21"/>
          <w:szCs w:val="21"/>
        </w:rPr>
        <w:t>额敏县区域主要气象参数</w:t>
      </w:r>
    </w:p>
    <w:tbl>
      <w:tblPr>
        <w:tblStyle w:val="40"/>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8"/>
        <w:gridCol w:w="1925"/>
        <w:gridCol w:w="2286"/>
        <w:gridCol w:w="18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448"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7"/>
                <w:sz w:val="21"/>
                <w:szCs w:val="21"/>
              </w:rPr>
              <w:t>气象要素</w:t>
            </w:r>
          </w:p>
        </w:tc>
        <w:tc>
          <w:tcPr>
            <w:tcW w:w="1925"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3"/>
                <w:sz w:val="21"/>
                <w:szCs w:val="21"/>
              </w:rPr>
              <w:t>数据</w:t>
            </w:r>
          </w:p>
        </w:tc>
        <w:tc>
          <w:tcPr>
            <w:tcW w:w="228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7"/>
                <w:sz w:val="21"/>
                <w:szCs w:val="21"/>
              </w:rPr>
              <w:t>气象要素</w:t>
            </w:r>
          </w:p>
        </w:tc>
        <w:tc>
          <w:tcPr>
            <w:tcW w:w="1873"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3"/>
                <w:sz w:val="21"/>
                <w:szCs w:val="21"/>
              </w:rPr>
              <w:t>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448"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7"/>
                <w:sz w:val="21"/>
                <w:szCs w:val="21"/>
              </w:rPr>
              <w:t>平均气温</w:t>
            </w:r>
          </w:p>
        </w:tc>
        <w:tc>
          <w:tcPr>
            <w:tcW w:w="192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5.5℃</w:t>
            </w:r>
          </w:p>
        </w:tc>
        <w:tc>
          <w:tcPr>
            <w:tcW w:w="228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8"/>
                <w:sz w:val="21"/>
                <w:szCs w:val="21"/>
              </w:rPr>
              <w:t>年平均降水量</w:t>
            </w:r>
          </w:p>
        </w:tc>
        <w:tc>
          <w:tcPr>
            <w:tcW w:w="1873"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271.3</w:t>
            </w:r>
            <w:r>
              <w:rPr>
                <w:rFonts w:ascii="Times New Roman" w:hAnsi="Times New Roman" w:eastAsia="Times New Roman" w:cs="Times New Roman"/>
                <w:sz w:val="21"/>
                <w:szCs w:val="21"/>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448"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8"/>
                <w:sz w:val="21"/>
                <w:szCs w:val="21"/>
              </w:rPr>
              <w:t>历年极端最高气温</w:t>
            </w:r>
          </w:p>
        </w:tc>
        <w:tc>
          <w:tcPr>
            <w:tcW w:w="192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41.7℃</w:t>
            </w:r>
          </w:p>
        </w:tc>
        <w:tc>
          <w:tcPr>
            <w:tcW w:w="228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8"/>
                <w:sz w:val="21"/>
                <w:szCs w:val="21"/>
              </w:rPr>
              <w:t>年平均蒸发量</w:t>
            </w:r>
          </w:p>
        </w:tc>
        <w:tc>
          <w:tcPr>
            <w:tcW w:w="1873"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1794.6</w:t>
            </w:r>
            <w:r>
              <w:rPr>
                <w:rFonts w:ascii="Times New Roman" w:hAnsi="Times New Roman" w:eastAsia="Times New Roman" w:cs="Times New Roman"/>
                <w:sz w:val="21"/>
                <w:szCs w:val="21"/>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48"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8"/>
                <w:sz w:val="21"/>
                <w:szCs w:val="21"/>
              </w:rPr>
              <w:t>历年极端最低气温</w:t>
            </w:r>
          </w:p>
        </w:tc>
        <w:tc>
          <w:tcPr>
            <w:tcW w:w="192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-42.6℃</w:t>
            </w:r>
          </w:p>
        </w:tc>
        <w:tc>
          <w:tcPr>
            <w:tcW w:w="228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7"/>
                <w:sz w:val="21"/>
                <w:szCs w:val="21"/>
              </w:rPr>
              <w:t>最大冻土深度</w:t>
            </w:r>
          </w:p>
        </w:tc>
        <w:tc>
          <w:tcPr>
            <w:tcW w:w="1873"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117</w:t>
            </w:r>
            <w:r>
              <w:rPr>
                <w:rFonts w:ascii="Times New Roman" w:hAnsi="Times New Roman" w:eastAsia="Times New Roman" w:cs="Times New Roman"/>
                <w:sz w:val="21"/>
                <w:szCs w:val="21"/>
              </w:rPr>
              <w:t>cm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448"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7"/>
                <w:sz w:val="21"/>
                <w:szCs w:val="21"/>
              </w:rPr>
              <w:t>年平均风速</w:t>
            </w:r>
          </w:p>
        </w:tc>
        <w:tc>
          <w:tcPr>
            <w:tcW w:w="192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1.83m/s</w:t>
            </w:r>
          </w:p>
        </w:tc>
        <w:tc>
          <w:tcPr>
            <w:tcW w:w="228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7"/>
                <w:sz w:val="21"/>
                <w:szCs w:val="21"/>
              </w:rPr>
              <w:t>最大积雪厚度</w:t>
            </w:r>
          </w:p>
        </w:tc>
        <w:tc>
          <w:tcPr>
            <w:tcW w:w="1873"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62</w:t>
            </w:r>
            <w:r>
              <w:rPr>
                <w:rFonts w:ascii="Times New Roman" w:hAnsi="Times New Roman" w:eastAsia="Times New Roman" w:cs="Times New Roman"/>
                <w:sz w:val="21"/>
                <w:szCs w:val="21"/>
              </w:rPr>
              <w:t>cm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 w:hRule="atLeast"/>
        </w:trPr>
        <w:tc>
          <w:tcPr>
            <w:tcW w:w="2448"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7"/>
                <w:sz w:val="21"/>
                <w:szCs w:val="21"/>
              </w:rPr>
              <w:t>年主导风向</w:t>
            </w:r>
          </w:p>
        </w:tc>
        <w:tc>
          <w:tcPr>
            <w:tcW w:w="1925" w:type="dxa"/>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ENE</w:t>
            </w:r>
          </w:p>
        </w:tc>
        <w:tc>
          <w:tcPr>
            <w:tcW w:w="2286"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spacing w:val="8"/>
                <w:sz w:val="21"/>
                <w:szCs w:val="21"/>
              </w:rPr>
              <w:t>年均日照时间</w:t>
            </w:r>
          </w:p>
        </w:tc>
        <w:tc>
          <w:tcPr>
            <w:tcW w:w="1873" w:type="dxa"/>
            <w:vAlign w:val="top"/>
          </w:tcPr>
          <w:p>
            <w:pPr>
              <w:pStyle w:val="60"/>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sz w:val="21"/>
                <w:szCs w:val="21"/>
              </w:rPr>
            </w:pPr>
            <w:r>
              <w:rPr>
                <w:rFonts w:ascii="Times New Roman" w:hAnsi="Times New Roman" w:eastAsia="Times New Roman" w:cs="Times New Roman"/>
                <w:spacing w:val="3"/>
                <w:sz w:val="21"/>
                <w:szCs w:val="21"/>
              </w:rPr>
              <w:t>2833</w:t>
            </w:r>
            <w:r>
              <w:rPr>
                <w:rFonts w:ascii="Times New Roman" w:hAnsi="Times New Roman" w:eastAsia="Times New Roman" w:cs="Times New Roman"/>
                <w:spacing w:val="15"/>
                <w:sz w:val="21"/>
                <w:szCs w:val="21"/>
              </w:rPr>
              <w:t xml:space="preserve"> </w:t>
            </w:r>
            <w:r>
              <w:rPr>
                <w:spacing w:val="3"/>
                <w:sz w:val="21"/>
                <w:szCs w:val="21"/>
              </w:rPr>
              <w:t>小时</w:t>
            </w:r>
          </w:p>
        </w:tc>
      </w:tr>
    </w:tbl>
    <w:p>
      <w:pPr>
        <w:pStyle w:val="7"/>
        <w:bidi w:val="0"/>
        <w:jc w:val="both"/>
        <w:rPr>
          <w:color w:val="auto"/>
          <w:highlight w:val="none"/>
        </w:rPr>
      </w:pPr>
      <w:r>
        <w:rPr>
          <w:rFonts w:hint="eastAsia"/>
          <w:color w:val="auto"/>
          <w:highlight w:val="none"/>
          <w:lang w:val="en-US" w:eastAsia="zh-CN"/>
        </w:rPr>
        <w:t>5.2.1.3</w:t>
      </w:r>
      <w:r>
        <w:rPr>
          <w:color w:val="auto"/>
          <w:highlight w:val="none"/>
        </w:rPr>
        <w:t>估算模型参数</w:t>
      </w:r>
    </w:p>
    <w:p>
      <w:pPr>
        <w:pStyle w:val="74"/>
        <w:ind w:firstLine="480"/>
        <w:rPr>
          <w:color w:val="auto"/>
          <w:highlight w:val="none"/>
        </w:rPr>
      </w:pPr>
      <w:r>
        <w:rPr>
          <w:color w:val="auto"/>
          <w:highlight w:val="none"/>
        </w:rPr>
        <w:t>本项目所采用AERSCREEN估算模型相关参数见表</w:t>
      </w:r>
      <w:r>
        <w:rPr>
          <w:rFonts w:hint="eastAsia"/>
          <w:color w:val="auto"/>
          <w:highlight w:val="none"/>
        </w:rPr>
        <w:t>5.2-</w:t>
      </w:r>
      <w:r>
        <w:rPr>
          <w:rFonts w:hint="eastAsia"/>
          <w:color w:val="auto"/>
          <w:highlight w:val="none"/>
          <w:lang w:val="en-US" w:eastAsia="zh-CN"/>
        </w:rPr>
        <w:t>1</w:t>
      </w:r>
      <w:r>
        <w:rPr>
          <w:color w:val="auto"/>
          <w:highlight w:val="none"/>
        </w:rPr>
        <w:t>。</w:t>
      </w:r>
    </w:p>
    <w:p>
      <w:pPr>
        <w:pStyle w:val="75"/>
        <w:keepNext w:val="0"/>
        <w:keepLines w:val="0"/>
        <w:pageBreakBefore w:val="0"/>
        <w:widowControl w:val="0"/>
        <w:kinsoku/>
        <w:wordWrap/>
        <w:overflowPunct/>
        <w:topLinePunct w:val="0"/>
        <w:autoSpaceDE/>
        <w:autoSpaceDN/>
        <w:bidi w:val="0"/>
        <w:adjustRightInd w:val="0"/>
        <w:snapToGrid w:val="0"/>
        <w:spacing w:before="157" w:beforeLines="50" w:after="0" w:line="240" w:lineRule="auto"/>
        <w:ind w:firstLine="0" w:firstLineChars="0"/>
        <w:textAlignment w:val="auto"/>
        <w:rPr>
          <w:rFonts w:ascii="Times New Roman" w:hAnsi="Times New Roman" w:eastAsia="宋体" w:cs="Times New Roman"/>
          <w:b/>
          <w:color w:val="0000FF"/>
          <w:sz w:val="21"/>
          <w:szCs w:val="24"/>
          <w:highlight w:val="none"/>
        </w:rPr>
      </w:pPr>
      <w:r>
        <w:rPr>
          <w:rFonts w:ascii="Times New Roman" w:hAnsi="Times New Roman" w:eastAsia="宋体" w:cs="Times New Roman"/>
          <w:b/>
          <w:color w:val="0000FF"/>
          <w:sz w:val="21"/>
          <w:szCs w:val="24"/>
          <w:highlight w:val="none"/>
        </w:rPr>
        <w:t>表5</w:t>
      </w:r>
      <w:r>
        <w:rPr>
          <w:rFonts w:hint="eastAsia" w:ascii="Times New Roman" w:hAnsi="Times New Roman" w:eastAsia="宋体" w:cs="Times New Roman"/>
          <w:b/>
          <w:color w:val="0000FF"/>
          <w:sz w:val="21"/>
          <w:szCs w:val="24"/>
          <w:highlight w:val="none"/>
        </w:rPr>
        <w:t>.2-</w:t>
      </w:r>
      <w:r>
        <w:rPr>
          <w:rFonts w:hint="eastAsia" w:ascii="Times New Roman" w:hAnsi="Times New Roman" w:eastAsia="宋体" w:cs="Times New Roman"/>
          <w:b/>
          <w:color w:val="0000FF"/>
          <w:sz w:val="21"/>
          <w:szCs w:val="24"/>
          <w:highlight w:val="none"/>
          <w:lang w:val="en-US" w:eastAsia="zh-CN"/>
        </w:rPr>
        <w:t>1</w:t>
      </w:r>
      <w:r>
        <w:rPr>
          <w:rFonts w:hint="eastAsia" w:ascii="Times New Roman" w:hAnsi="Times New Roman" w:eastAsia="宋体" w:cs="Times New Roman"/>
          <w:b/>
          <w:color w:val="0000FF"/>
          <w:sz w:val="21"/>
          <w:szCs w:val="24"/>
          <w:highlight w:val="none"/>
        </w:rPr>
        <w:t xml:space="preserve">  </w:t>
      </w:r>
      <w:r>
        <w:rPr>
          <w:rFonts w:ascii="Times New Roman" w:hAnsi="Times New Roman" w:eastAsia="宋体" w:cs="Times New Roman"/>
          <w:b/>
          <w:color w:val="0000FF"/>
          <w:sz w:val="21"/>
          <w:szCs w:val="24"/>
          <w:highlight w:val="none"/>
        </w:rPr>
        <w:t xml:space="preserve">  估算模型参数表</w:t>
      </w:r>
    </w:p>
    <w:tbl>
      <w:tblPr>
        <w:tblStyle w:val="31"/>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398"/>
        <w:gridCol w:w="1498"/>
        <w:gridCol w:w="1491"/>
        <w:gridCol w:w="299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参数</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239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城市/农村选项</w:t>
            </w: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城市/农村</w:t>
            </w:r>
          </w:p>
        </w:tc>
        <w:tc>
          <w:tcPr>
            <w:tcW w:w="29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0000FF"/>
                <w:sz w:val="21"/>
                <w:szCs w:val="18"/>
                <w:highlight w:val="none"/>
                <w:lang w:eastAsia="zh-CN"/>
              </w:rPr>
            </w:pPr>
            <w:r>
              <w:rPr>
                <w:rFonts w:hint="eastAsia" w:cs="Times New Roman"/>
                <w:color w:val="0000FF"/>
                <w:sz w:val="21"/>
                <w:szCs w:val="18"/>
                <w:highlight w:val="none"/>
                <w:lang w:eastAsia="zh-CN"/>
              </w:rPr>
              <w:t>城市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人口数</w:t>
            </w:r>
            <w:r>
              <w:rPr>
                <w:rFonts w:hint="default" w:ascii="Times New Roman" w:hAnsi="Times New Roman" w:cs="Times New Roman"/>
                <w:color w:val="0000FF"/>
                <w:sz w:val="21"/>
                <w:szCs w:val="18"/>
                <w:highlight w:val="none"/>
              </w:rPr>
              <w:t>（</w:t>
            </w:r>
            <w:r>
              <w:rPr>
                <w:rFonts w:ascii="Times New Roman" w:hAnsi="Times New Roman" w:cs="Times New Roman"/>
                <w:color w:val="0000FF"/>
                <w:sz w:val="21"/>
                <w:szCs w:val="18"/>
                <w:highlight w:val="none"/>
              </w:rPr>
              <w:t>城市人口数</w:t>
            </w:r>
            <w:r>
              <w:rPr>
                <w:rFonts w:hint="default" w:ascii="Times New Roman" w:hAnsi="Times New Roman" w:cs="Times New Roman"/>
                <w:color w:val="0000FF"/>
                <w:sz w:val="21"/>
                <w:szCs w:val="18"/>
                <w:highlight w:val="none"/>
              </w:rPr>
              <w:t>）</w:t>
            </w:r>
          </w:p>
        </w:tc>
        <w:tc>
          <w:tcPr>
            <w:tcW w:w="29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hint="default" w:ascii="Times New Roman" w:hAnsi="Times New Roman" w:cs="Times New Roman"/>
                <w:color w:val="0000FF"/>
                <w:sz w:val="21"/>
                <w:szCs w:val="18"/>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最高环境温度</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0000FF"/>
                <w:sz w:val="21"/>
                <w:szCs w:val="18"/>
                <w:highlight w:val="none"/>
                <w:lang w:val="en-US" w:eastAsia="zh-CN"/>
              </w:rPr>
            </w:pPr>
            <w:r>
              <w:rPr>
                <w:rFonts w:hint="eastAsia" w:cs="Times New Roman"/>
                <w:color w:val="0000FF"/>
                <w:sz w:val="21"/>
                <w:szCs w:val="18"/>
                <w:highlight w:val="none"/>
                <w:lang w:val="en-US" w:eastAsia="zh-CN"/>
              </w:rPr>
              <w:t>41.7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最低环境温度</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0000FF"/>
                <w:sz w:val="21"/>
                <w:szCs w:val="18"/>
                <w:highlight w:val="none"/>
                <w:lang w:val="en-US" w:eastAsia="zh-CN"/>
              </w:rPr>
            </w:pPr>
            <w:r>
              <w:rPr>
                <w:rFonts w:hint="eastAsia" w:cs="Times New Roman"/>
                <w:color w:val="0000FF"/>
                <w:sz w:val="21"/>
                <w:szCs w:val="18"/>
                <w:highlight w:val="none"/>
                <w:lang w:val="en-US" w:eastAsia="zh-CN"/>
              </w:rPr>
              <w:t>-42.6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土地利用类型</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0000FF"/>
                <w:sz w:val="21"/>
                <w:szCs w:val="18"/>
                <w:highlight w:val="none"/>
                <w:lang w:eastAsia="zh-CN"/>
              </w:rPr>
            </w:pPr>
            <w:r>
              <w:rPr>
                <w:rFonts w:hint="eastAsia" w:cs="Times New Roman"/>
                <w:color w:val="0000FF"/>
                <w:sz w:val="21"/>
                <w:szCs w:val="18"/>
                <w:highlight w:val="none"/>
                <w:lang w:eastAsia="zh-CN"/>
              </w:rPr>
              <w:t>建设用地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38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区域湿度条件</w:t>
            </w:r>
          </w:p>
        </w:tc>
        <w:tc>
          <w:tcPr>
            <w:tcW w:w="448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干燥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239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是否考虑地形</w:t>
            </w: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考虑地形</w:t>
            </w:r>
          </w:p>
        </w:tc>
        <w:tc>
          <w:tcPr>
            <w:tcW w:w="29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地形数据分辨率</w:t>
            </w:r>
            <w:r>
              <w:rPr>
                <w:rFonts w:hint="eastAsia" w:cs="Times New Roman"/>
                <w:color w:val="0000FF"/>
                <w:sz w:val="21"/>
                <w:szCs w:val="18"/>
                <w:highlight w:val="none"/>
                <w:lang w:eastAsia="zh-CN"/>
              </w:rPr>
              <w:t>（</w:t>
            </w:r>
            <w:r>
              <w:rPr>
                <w:rFonts w:ascii="Times New Roman" w:hAnsi="Times New Roman" w:cs="Times New Roman"/>
                <w:color w:val="0000FF"/>
                <w:sz w:val="21"/>
                <w:szCs w:val="18"/>
                <w:highlight w:val="none"/>
              </w:rPr>
              <w:t>m</w:t>
            </w:r>
            <w:r>
              <w:rPr>
                <w:rFonts w:hint="eastAsia" w:cs="Times New Roman"/>
                <w:color w:val="0000FF"/>
                <w:sz w:val="21"/>
                <w:szCs w:val="18"/>
                <w:highlight w:val="none"/>
                <w:lang w:eastAsia="zh-CN"/>
              </w:rPr>
              <w:t>）</w:t>
            </w:r>
          </w:p>
        </w:tc>
        <w:tc>
          <w:tcPr>
            <w:tcW w:w="29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239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是否考虑岸线熏烟</w:t>
            </w: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考虑岸线熏烟</w:t>
            </w:r>
          </w:p>
        </w:tc>
        <w:tc>
          <w:tcPr>
            <w:tcW w:w="29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4" w:hRule="atLeast"/>
          <w:jc w:val="center"/>
        </w:trPr>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岸线距离/m</w:t>
            </w:r>
          </w:p>
        </w:tc>
        <w:tc>
          <w:tcPr>
            <w:tcW w:w="29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2" w:hRule="atLeast"/>
          <w:jc w:val="center"/>
        </w:trPr>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p>
        </w:tc>
        <w:tc>
          <w:tcPr>
            <w:tcW w:w="298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岸线方向/°</w:t>
            </w:r>
          </w:p>
        </w:tc>
        <w:tc>
          <w:tcPr>
            <w:tcW w:w="29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cs="Times New Roman"/>
                <w:color w:val="0000FF"/>
                <w:sz w:val="21"/>
                <w:szCs w:val="18"/>
                <w:highlight w:val="none"/>
              </w:rPr>
            </w:pPr>
            <w:r>
              <w:rPr>
                <w:rFonts w:ascii="Times New Roman" w:hAnsi="Times New Roman" w:cs="Times New Roman"/>
                <w:color w:val="0000FF"/>
                <w:sz w:val="21"/>
                <w:szCs w:val="18"/>
                <w:highlight w:val="none"/>
              </w:rPr>
              <w:t>/</w:t>
            </w:r>
          </w:p>
        </w:tc>
      </w:tr>
    </w:tbl>
    <w:p>
      <w:pPr>
        <w:pStyle w:val="6"/>
        <w:keepNext/>
        <w:keepLines/>
        <w:pageBreakBefore w:val="0"/>
        <w:widowControl w:val="0"/>
        <w:kinsoku/>
        <w:wordWrap/>
        <w:overflowPunct/>
        <w:topLinePunct w:val="0"/>
        <w:autoSpaceDE/>
        <w:autoSpaceDN/>
        <w:bidi w:val="0"/>
        <w:adjustRightInd w:val="0"/>
        <w:snapToGrid w:val="0"/>
        <w:ind w:left="0" w:leftChars="0" w:firstLine="562" w:firstLineChars="200"/>
        <w:textAlignment w:val="auto"/>
        <w:rPr>
          <w:color w:val="auto"/>
          <w:highlight w:val="none"/>
        </w:rPr>
      </w:pPr>
      <w:r>
        <w:rPr>
          <w:rFonts w:hint="default" w:ascii="Times New Roman" w:hAnsi="Times New Roman" w:cs="Times New Roman"/>
          <w:color w:val="auto"/>
          <w:highlight w:val="none"/>
          <w:lang w:val="en-US" w:eastAsia="zh-CN"/>
        </w:rPr>
        <w:t>5.2.2</w:t>
      </w:r>
      <w:r>
        <w:rPr>
          <w:rFonts w:hint="default" w:ascii="Times New Roman" w:hAnsi="Times New Roman" w:cs="Times New Roman"/>
          <w:color w:val="auto"/>
          <w:highlight w:val="none"/>
        </w:rPr>
        <w:t>大气</w:t>
      </w:r>
      <w:r>
        <w:rPr>
          <w:rFonts w:hint="eastAsia"/>
          <w:color w:val="auto"/>
          <w:highlight w:val="none"/>
        </w:rPr>
        <w:t>环境影响预测</w:t>
      </w:r>
    </w:p>
    <w:p>
      <w:pPr>
        <w:spacing w:line="360" w:lineRule="auto"/>
        <w:ind w:firstLine="504"/>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本项目废气主要为锅炉烟气、储煤</w:t>
      </w:r>
      <w:r>
        <w:rPr>
          <w:rFonts w:hint="eastAsia" w:ascii="宋体" w:hAnsi="宋体" w:cs="宋体"/>
          <w:color w:val="auto"/>
          <w:kern w:val="0"/>
          <w:sz w:val="24"/>
          <w:szCs w:val="24"/>
          <w:highlight w:val="none"/>
          <w:lang w:eastAsia="zh-CN"/>
        </w:rPr>
        <w:t>场</w:t>
      </w:r>
      <w:r>
        <w:rPr>
          <w:rFonts w:hint="eastAsia" w:ascii="宋体" w:hAnsi="宋体" w:cs="宋体"/>
          <w:color w:val="auto"/>
          <w:kern w:val="0"/>
          <w:sz w:val="24"/>
          <w:szCs w:val="24"/>
          <w:highlight w:val="none"/>
        </w:rPr>
        <w:t>粉尘</w:t>
      </w:r>
      <w:r>
        <w:rPr>
          <w:rFonts w:hint="eastAsia" w:ascii="宋体" w:hAnsi="宋体" w:cs="宋体"/>
          <w:color w:val="auto"/>
          <w:kern w:val="0"/>
          <w:sz w:val="24"/>
          <w:szCs w:val="24"/>
          <w:highlight w:val="none"/>
          <w:lang w:eastAsia="zh-CN"/>
        </w:rPr>
        <w:t>、渣场</w:t>
      </w:r>
      <w:r>
        <w:rPr>
          <w:rFonts w:hint="eastAsia" w:ascii="宋体" w:hAnsi="宋体" w:cs="宋体"/>
          <w:color w:val="auto"/>
          <w:kern w:val="0"/>
          <w:sz w:val="24"/>
          <w:szCs w:val="24"/>
          <w:highlight w:val="none"/>
        </w:rPr>
        <w:t>粉尘、无组织扬尘。</w:t>
      </w:r>
    </w:p>
    <w:p>
      <w:pPr>
        <w:pStyle w:val="74"/>
        <w:autoSpaceDE w:val="0"/>
        <w:autoSpaceDN w:val="0"/>
        <w:ind w:firstLine="48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color w:val="auto"/>
          <w:highlight w:val="none"/>
        </w:rPr>
        <w:t>①</w:t>
      </w:r>
      <w:r>
        <w:rPr>
          <w:color w:val="auto"/>
          <w:highlight w:val="none"/>
        </w:rPr>
        <w:fldChar w:fldCharType="end"/>
      </w:r>
      <w:r>
        <w:rPr>
          <w:color w:val="auto"/>
          <w:highlight w:val="none"/>
        </w:rPr>
        <w:t>污染源参数</w:t>
      </w:r>
    </w:p>
    <w:p>
      <w:pPr>
        <w:pStyle w:val="14"/>
        <w:widowControl w:val="0"/>
        <w:autoSpaceDE w:val="0"/>
        <w:autoSpaceDN w:val="0"/>
        <w:spacing w:after="0" w:line="360" w:lineRule="auto"/>
        <w:ind w:firstLine="240" w:firstLineChars="100"/>
        <w:rPr>
          <w:rFonts w:ascii="Times New Roman" w:hAnsi="Times New Roman" w:cs="Times New Roman"/>
          <w:bCs/>
          <w:color w:val="auto"/>
          <w:szCs w:val="21"/>
          <w:highlight w:val="none"/>
        </w:rPr>
      </w:pPr>
      <w:r>
        <w:rPr>
          <w:rFonts w:ascii="Times New Roman" w:hAnsi="Times New Roman" w:cs="Times New Roman"/>
          <w:bCs/>
          <w:color w:val="auto"/>
          <w:highlight w:val="none"/>
        </w:rPr>
        <w:t>点源参数调查清单见表5.2-2</w:t>
      </w:r>
      <w:r>
        <w:rPr>
          <w:rFonts w:hint="eastAsia" w:ascii="Times New Roman" w:hAnsi="Times New Roman" w:cs="Times New Roman"/>
          <w:bCs/>
          <w:color w:val="auto"/>
          <w:highlight w:val="none"/>
        </w:rPr>
        <w:t>，5.2-3</w:t>
      </w:r>
      <w:r>
        <w:rPr>
          <w:rFonts w:ascii="Times New Roman" w:hAnsi="Times New Roman" w:cs="Times New Roman"/>
          <w:bCs/>
          <w:color w:val="auto"/>
          <w:highlight w:val="none"/>
        </w:rPr>
        <w:t>。</w:t>
      </w:r>
    </w:p>
    <w:p>
      <w:pPr>
        <w:pStyle w:val="67"/>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表5.2-2    点源参数调查清单</w:t>
      </w:r>
    </w:p>
    <w:tbl>
      <w:tblPr>
        <w:tblStyle w:val="3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87"/>
        <w:gridCol w:w="685"/>
        <w:gridCol w:w="752"/>
        <w:gridCol w:w="788"/>
        <w:gridCol w:w="668"/>
        <w:gridCol w:w="557"/>
        <w:gridCol w:w="656"/>
        <w:gridCol w:w="691"/>
        <w:gridCol w:w="382"/>
        <w:gridCol w:w="656"/>
        <w:gridCol w:w="619"/>
        <w:gridCol w:w="619"/>
        <w:gridCol w:w="7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19" w:hRule="atLeast"/>
        </w:trPr>
        <w:tc>
          <w:tcPr>
            <w:tcW w:w="68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1437"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排气筒底部中心坐标</w:t>
            </w:r>
          </w:p>
        </w:tc>
        <w:tc>
          <w:tcPr>
            <w:tcW w:w="7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排气筒底部海拔高度</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2572" w:type="dxa"/>
            <w:gridSpan w:val="4"/>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排气筒参数</w:t>
            </w:r>
          </w:p>
        </w:tc>
        <w:tc>
          <w:tcPr>
            <w:tcW w:w="382"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排放工况</w:t>
            </w:r>
          </w:p>
        </w:tc>
        <w:tc>
          <w:tcPr>
            <w:tcW w:w="261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污染物排放速率</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cs="Times New Roman"/>
                <w:b/>
                <w:bCs/>
                <w:color w:val="auto"/>
                <w:sz w:val="21"/>
                <w:szCs w:val="21"/>
                <w:highlight w:val="none"/>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61" w:hRule="atLeast"/>
        </w:trPr>
        <w:tc>
          <w:tcPr>
            <w:tcW w:w="68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E</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N</w:t>
            </w:r>
          </w:p>
        </w:tc>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6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高度</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内径</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温度</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w:t>
            </w:r>
            <w:r>
              <w:rPr>
                <w:rFonts w:hint="default" w:ascii="Times New Roman" w:hAnsi="Times New Roman" w:cs="Times New Roman"/>
                <w:b/>
                <w:bCs/>
                <w:color w:val="auto"/>
                <w:sz w:val="21"/>
                <w:szCs w:val="21"/>
                <w:highlight w:val="none"/>
                <w:lang w:eastAsia="zh-CN"/>
              </w:rPr>
              <w:t>）</w:t>
            </w:r>
          </w:p>
        </w:tc>
        <w:tc>
          <w:tcPr>
            <w:tcW w:w="691"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流速</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m/s</w:t>
            </w:r>
            <w:r>
              <w:rPr>
                <w:rFonts w:hint="default" w:ascii="Times New Roman" w:hAnsi="Times New Roman" w:cs="Times New Roman"/>
                <w:b/>
                <w:bCs/>
                <w:color w:val="auto"/>
                <w:sz w:val="21"/>
                <w:szCs w:val="21"/>
                <w:highlight w:val="none"/>
                <w:lang w:eastAsia="zh-CN"/>
              </w:rPr>
              <w:t>）</w:t>
            </w:r>
          </w:p>
        </w:tc>
        <w:tc>
          <w:tcPr>
            <w:tcW w:w="382" w:type="dxa"/>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NO</w:t>
            </w:r>
            <w:r>
              <w:rPr>
                <w:rFonts w:hint="eastAsia" w:cs="Times New Roman"/>
                <w:b/>
                <w:bCs/>
                <w:color w:val="auto"/>
                <w:sz w:val="21"/>
                <w:szCs w:val="21"/>
                <w:highlight w:val="none"/>
                <w:vertAlign w:val="subscript"/>
                <w:lang w:val="en-US" w:eastAsia="zh-CN"/>
              </w:rPr>
              <w:t>X</w:t>
            </w:r>
          </w:p>
        </w:tc>
        <w:tc>
          <w:tcPr>
            <w:tcW w:w="6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汞及其化合物</w:t>
            </w:r>
          </w:p>
        </w:tc>
        <w:tc>
          <w:tcPr>
            <w:tcW w:w="6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28" w:hRule="atLeast"/>
        </w:trPr>
        <w:tc>
          <w:tcPr>
            <w:tcW w:w="6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DA001排气筒</w:t>
            </w:r>
          </w:p>
        </w:tc>
        <w:tc>
          <w:tcPr>
            <w:tcW w:w="6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83.66797241</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46.50858231</w:t>
            </w:r>
          </w:p>
        </w:tc>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525</w:t>
            </w:r>
          </w:p>
        </w:tc>
        <w:tc>
          <w:tcPr>
            <w:tcW w:w="6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91"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6.4</w:t>
            </w:r>
          </w:p>
        </w:tc>
        <w:tc>
          <w:tcPr>
            <w:tcW w:w="382"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正常</w:t>
            </w:r>
          </w:p>
        </w:tc>
        <w:tc>
          <w:tcPr>
            <w:tcW w:w="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00B050"/>
                <w:sz w:val="21"/>
                <w:szCs w:val="21"/>
                <w:highlight w:val="none"/>
                <w:lang w:val="en-US" w:eastAsia="zh-CN"/>
              </w:rPr>
              <w:t>5.13</w:t>
            </w:r>
          </w:p>
        </w:tc>
        <w:tc>
          <w:tcPr>
            <w:tcW w:w="6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0.000262</w:t>
            </w:r>
          </w:p>
        </w:tc>
        <w:tc>
          <w:tcPr>
            <w:tcW w:w="6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00B050"/>
                <w:sz w:val="21"/>
                <w:szCs w:val="21"/>
                <w:highlight w:val="none"/>
                <w:lang w:val="en-US" w:eastAsia="zh-CN"/>
              </w:rPr>
              <w:t>1.88</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0.066</w:t>
            </w:r>
          </w:p>
        </w:tc>
      </w:tr>
    </w:tbl>
    <w:p>
      <w:pPr>
        <w:pStyle w:val="75"/>
        <w:keepNext w:val="0"/>
        <w:keepLines w:val="0"/>
        <w:pageBreakBefore w:val="0"/>
        <w:widowControl w:val="0"/>
        <w:kinsoku/>
        <w:wordWrap/>
        <w:overflowPunct/>
        <w:topLinePunct w:val="0"/>
        <w:autoSpaceDE/>
        <w:autoSpaceDN/>
        <w:bidi w:val="0"/>
        <w:adjustRightInd w:val="0"/>
        <w:snapToGrid w:val="0"/>
        <w:spacing w:before="313" w:beforeLines="100" w:after="0" w:line="240" w:lineRule="auto"/>
        <w:ind w:firstLine="0" w:firstLineChars="0"/>
        <w:textAlignment w:val="auto"/>
        <w:rPr>
          <w:rFonts w:ascii="Times New Roman" w:hAnsi="Times New Roman" w:eastAsia="宋体" w:cs="Times New Roman"/>
          <w:b/>
          <w:color w:val="auto"/>
          <w:sz w:val="21"/>
          <w:szCs w:val="24"/>
          <w:highlight w:val="none"/>
        </w:rPr>
      </w:pPr>
      <w:r>
        <w:rPr>
          <w:rFonts w:ascii="Times New Roman" w:hAnsi="Times New Roman" w:eastAsia="宋体" w:cs="Times New Roman"/>
          <w:b/>
          <w:color w:val="auto"/>
          <w:sz w:val="21"/>
          <w:szCs w:val="24"/>
          <w:highlight w:val="none"/>
        </w:rPr>
        <w:t>表5.2-3    面源参数</w:t>
      </w:r>
      <w:r>
        <w:rPr>
          <w:rFonts w:hint="eastAsia" w:ascii="Times New Roman" w:hAnsi="Times New Roman" w:eastAsia="宋体" w:cs="Times New Roman"/>
          <w:b/>
          <w:color w:val="auto"/>
          <w:sz w:val="21"/>
          <w:szCs w:val="24"/>
          <w:highlight w:val="none"/>
        </w:rPr>
        <w:t>调查清单</w:t>
      </w:r>
    </w:p>
    <w:tbl>
      <w:tblPr>
        <w:tblStyle w:val="31"/>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356"/>
        <w:gridCol w:w="893"/>
        <w:gridCol w:w="924"/>
        <w:gridCol w:w="772"/>
        <w:gridCol w:w="848"/>
        <w:gridCol w:w="939"/>
        <w:gridCol w:w="984"/>
        <w:gridCol w:w="545"/>
        <w:gridCol w:w="119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49" w:hRule="atLeast"/>
          <w:jc w:val="center"/>
        </w:trPr>
        <w:tc>
          <w:tcPr>
            <w:tcW w:w="135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1817"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72"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海拔高度</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tc>
        <w:tc>
          <w:tcPr>
            <w:tcW w:w="2771" w:type="dxa"/>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矩形面源</w:t>
            </w:r>
          </w:p>
        </w:tc>
        <w:tc>
          <w:tcPr>
            <w:tcW w:w="5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排放工况</w:t>
            </w:r>
          </w:p>
        </w:tc>
        <w:tc>
          <w:tcPr>
            <w:tcW w:w="11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污染物排放速率</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eastAsia" w:cs="Times New Roman"/>
                <w:b/>
                <w:bCs/>
                <w:color w:val="auto"/>
                <w:sz w:val="21"/>
                <w:szCs w:val="21"/>
                <w:highlight w:val="none"/>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01" w:hRule="atLeast"/>
          <w:jc w:val="center"/>
        </w:trPr>
        <w:tc>
          <w:tcPr>
            <w:tcW w:w="13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X</w:t>
            </w:r>
          </w:p>
        </w:tc>
        <w:tc>
          <w:tcPr>
            <w:tcW w:w="9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Y</w:t>
            </w:r>
          </w:p>
        </w:tc>
        <w:tc>
          <w:tcPr>
            <w:tcW w:w="772"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84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长度</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tc>
        <w:tc>
          <w:tcPr>
            <w:tcW w:w="9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宽度</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tc>
        <w:tc>
          <w:tcPr>
            <w:tcW w:w="9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有效高度</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tc>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11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TSP</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03" w:hRule="atLeast"/>
          <w:jc w:val="center"/>
        </w:trPr>
        <w:tc>
          <w:tcPr>
            <w:tcW w:w="13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面源</w:t>
            </w:r>
            <w:r>
              <w:rPr>
                <w:rFonts w:hint="eastAsia" w:ascii="Times New Roman" w:hAnsi="Times New Roman" w:eastAsia="宋体" w:cs="Times New Roman"/>
                <w:color w:val="auto"/>
                <w:sz w:val="21"/>
                <w:szCs w:val="21"/>
                <w:highlight w:val="none"/>
                <w:lang w:eastAsia="zh-CN"/>
              </w:rPr>
              <w:t>（储煤库、灰渣库、输煤系统等）</w:t>
            </w:r>
          </w:p>
        </w:tc>
        <w:tc>
          <w:tcPr>
            <w:tcW w:w="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-29.8</w:t>
            </w:r>
          </w:p>
        </w:tc>
        <w:tc>
          <w:tcPr>
            <w:tcW w:w="9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-112.3</w:t>
            </w:r>
          </w:p>
        </w:tc>
        <w:tc>
          <w:tcPr>
            <w:tcW w:w="7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594.7</w:t>
            </w:r>
          </w:p>
        </w:tc>
        <w:tc>
          <w:tcPr>
            <w:tcW w:w="8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9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9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正常</w:t>
            </w:r>
          </w:p>
        </w:tc>
        <w:tc>
          <w:tcPr>
            <w:tcW w:w="11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0.089</w:t>
            </w:r>
          </w:p>
        </w:tc>
      </w:tr>
    </w:tbl>
    <w:p>
      <w:pPr>
        <w:pStyle w:val="74"/>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color w:val="auto"/>
          <w:highlight w:val="none"/>
        </w:rPr>
      </w:pPr>
      <w:r>
        <w:rPr>
          <w:rFonts w:hint="eastAsia"/>
          <w:color w:val="auto"/>
          <w:highlight w:val="none"/>
          <w:lang w:eastAsia="zh-CN"/>
        </w:rPr>
        <w:t>②</w:t>
      </w:r>
      <w:r>
        <w:rPr>
          <w:rFonts w:hint="eastAsia"/>
          <w:color w:val="auto"/>
          <w:highlight w:val="none"/>
        </w:rPr>
        <w:t>预测结果</w:t>
      </w:r>
    </w:p>
    <w:p>
      <w:pPr>
        <w:pStyle w:val="74"/>
        <w:ind w:firstLine="480"/>
        <w:rPr>
          <w:color w:val="auto"/>
          <w:highlight w:val="none"/>
        </w:rPr>
      </w:pPr>
      <w:r>
        <w:rPr>
          <w:rFonts w:hint="eastAsia"/>
          <w:color w:val="auto"/>
          <w:highlight w:val="none"/>
        </w:rPr>
        <w:t>采用《环境影响评价技术导则－大气环境》（HJ2.-2018）中推荐的估算模式－AERSCREEN进行估算，预测结果见表5.2-</w:t>
      </w:r>
      <w:r>
        <w:rPr>
          <w:rFonts w:hint="eastAsia"/>
          <w:color w:val="auto"/>
          <w:highlight w:val="none"/>
          <w:lang w:val="en-US" w:eastAsia="zh-CN"/>
        </w:rPr>
        <w:t>4</w:t>
      </w:r>
      <w:r>
        <w:rPr>
          <w:rFonts w:hint="eastAsia"/>
          <w:color w:val="auto"/>
          <w:highlight w:val="none"/>
        </w:rPr>
        <w:t>。</w:t>
      </w:r>
    </w:p>
    <w:p>
      <w:pPr>
        <w:pStyle w:val="75"/>
        <w:keepNext w:val="0"/>
        <w:keepLines w:val="0"/>
        <w:pageBreakBefore w:val="0"/>
        <w:widowControl w:val="0"/>
        <w:kinsoku/>
        <w:wordWrap/>
        <w:overflowPunct/>
        <w:topLinePunct w:val="0"/>
        <w:autoSpaceDE/>
        <w:autoSpaceDN/>
        <w:bidi w:val="0"/>
        <w:adjustRightInd w:val="0"/>
        <w:snapToGrid w:val="0"/>
        <w:spacing w:before="157" w:beforeLines="50" w:after="0" w:line="240" w:lineRule="auto"/>
        <w:ind w:firstLine="0" w:firstLineChars="0"/>
        <w:textAlignment w:val="auto"/>
        <w:rPr>
          <w:rFonts w:eastAsia="宋体"/>
          <w:b/>
          <w:color w:val="auto"/>
          <w:sz w:val="21"/>
          <w:szCs w:val="24"/>
          <w:highlight w:val="none"/>
        </w:rPr>
      </w:pPr>
      <w:r>
        <w:rPr>
          <w:rFonts w:eastAsia="宋体"/>
          <w:b/>
          <w:color w:val="auto"/>
          <w:sz w:val="21"/>
          <w:szCs w:val="24"/>
          <w:highlight w:val="none"/>
        </w:rPr>
        <w:t>表</w:t>
      </w:r>
      <w:r>
        <w:rPr>
          <w:rFonts w:hint="eastAsia" w:eastAsia="宋体"/>
          <w:b/>
          <w:color w:val="auto"/>
          <w:sz w:val="21"/>
          <w:szCs w:val="24"/>
          <w:highlight w:val="none"/>
        </w:rPr>
        <w:t>5.2-</w:t>
      </w:r>
      <w:r>
        <w:rPr>
          <w:rFonts w:hint="eastAsia" w:eastAsia="宋体"/>
          <w:b/>
          <w:color w:val="auto"/>
          <w:sz w:val="21"/>
          <w:szCs w:val="24"/>
          <w:highlight w:val="none"/>
          <w:lang w:val="en-US" w:eastAsia="zh-CN"/>
        </w:rPr>
        <w:t>4</w:t>
      </w:r>
      <w:r>
        <w:rPr>
          <w:rFonts w:hint="eastAsia" w:eastAsia="宋体"/>
          <w:b/>
          <w:color w:val="auto"/>
          <w:sz w:val="21"/>
          <w:szCs w:val="24"/>
          <w:highlight w:val="none"/>
        </w:rPr>
        <w:t xml:space="preserve">   </w:t>
      </w:r>
      <w:r>
        <w:rPr>
          <w:rFonts w:eastAsia="宋体"/>
          <w:b/>
          <w:color w:val="auto"/>
          <w:sz w:val="21"/>
          <w:szCs w:val="24"/>
          <w:highlight w:val="none"/>
        </w:rPr>
        <w:t xml:space="preserve"> </w:t>
      </w:r>
      <w:r>
        <w:rPr>
          <w:rFonts w:hint="eastAsia" w:eastAsia="宋体"/>
          <w:b/>
          <w:snapToGrid w:val="0"/>
          <w:color w:val="auto"/>
          <w:kern w:val="0"/>
          <w:sz w:val="21"/>
          <w:szCs w:val="21"/>
          <w:highlight w:val="none"/>
        </w:rPr>
        <w:t>大气环境影响预测结果表（煤渣场、输煤系统等）</w:t>
      </w:r>
    </w:p>
    <w:tbl>
      <w:tblPr>
        <w:tblStyle w:val="31"/>
        <w:tblW w:w="8399"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557"/>
        <w:gridCol w:w="2871"/>
        <w:gridCol w:w="29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下风向距离</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m</w:t>
            </w:r>
            <w:r>
              <w:rPr>
                <w:rFonts w:hint="default" w:ascii="Times New Roman" w:hAnsi="Times New Roman" w:cs="Times New Roman"/>
                <w:b/>
                <w:bCs/>
                <w:color w:val="auto"/>
                <w:sz w:val="21"/>
                <w:szCs w:val="21"/>
                <w:highlight w:val="none"/>
                <w:lang w:eastAsia="zh-CN"/>
              </w:rPr>
              <w:t>）</w:t>
            </w:r>
          </w:p>
        </w:tc>
        <w:tc>
          <w:tcPr>
            <w:tcW w:w="5842" w:type="dxa"/>
            <w:gridSpan w:val="2"/>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2871"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TSP浓度</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μg/m³</w:t>
            </w:r>
            <w:r>
              <w:rPr>
                <w:rFonts w:hint="default" w:ascii="Times New Roman" w:hAnsi="Times New Roman" w:cs="Times New Roman"/>
                <w:b/>
                <w:bCs/>
                <w:color w:val="auto"/>
                <w:sz w:val="21"/>
                <w:szCs w:val="21"/>
                <w:highlight w:val="none"/>
                <w:lang w:eastAsia="zh-CN"/>
              </w:rPr>
              <w:t>）</w:t>
            </w:r>
          </w:p>
        </w:tc>
        <w:tc>
          <w:tcPr>
            <w:tcW w:w="2971"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TSP占标率</w:t>
            </w:r>
            <w:r>
              <w:rPr>
                <w:rFonts w:hint="default" w:ascii="Times New Roman" w:hAnsi="Times New Roman"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w:t>
            </w:r>
            <w:r>
              <w:rPr>
                <w:rFonts w:hint="default" w:ascii="Times New Roman" w:hAnsi="Times New Roman" w:cs="Times New Roman"/>
                <w:b/>
                <w:bCs/>
                <w:color w:val="auto"/>
                <w:sz w:val="21"/>
                <w:szCs w:val="21"/>
                <w:highlight w:val="none"/>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35.18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3.91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62.73</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6.97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w:t>
            </w:r>
            <w:r>
              <w:rPr>
                <w:rFonts w:hint="eastAsia" w:eastAsia="宋体" w:cs="Times New Roman"/>
                <w:b w:val="0"/>
                <w:color w:val="auto"/>
                <w:sz w:val="21"/>
                <w:szCs w:val="21"/>
                <w:highlight w:val="none"/>
                <w:lang w:val="en-US" w:eastAsia="zh-CN"/>
              </w:rPr>
              <w:t>1</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66.49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52.16</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5.80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30.00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3.33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26.58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24.88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22.90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2.54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21.10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20.06</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19.21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18.49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17.88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17.36</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16.90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1.88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16.49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375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16.12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15.78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15.47</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15.18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475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14.92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1.66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500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14.67</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1.63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525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14.44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550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14.22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575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14.01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600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13.81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625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13.61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650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13.42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675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13.24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700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13.07</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725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12.90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750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12.74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775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12.65</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1.41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800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12.49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825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12.34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850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12.20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875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12.06</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900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11.92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925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11.78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950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11.65</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975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11.53</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1000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11.40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1025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11.28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1050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11.16</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1075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11.04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1100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10.93</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1125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10.82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1150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10.71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1175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10.60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1200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10.50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1225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10.39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1250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10.29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1275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10.19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1300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10.09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1325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10.00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1350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9.90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1375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9.81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1400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9.72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1425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9.63</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1450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9.54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1475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9.46</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1500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9.37</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1525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9.29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1550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9.21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1575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9.12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1600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9.04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1625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8.97</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1650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8.89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1675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8.81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8.74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8.67</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8.59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8.52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1800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8.45</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1825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8.38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1850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8.31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1875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8.25</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1900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8.18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1925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8.11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1950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8.05</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1975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7.99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2000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7.92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2025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7.86</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2050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7.80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2075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7.74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2100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7.68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2125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7.62</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2150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7.57</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2175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7.51</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2200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7.45</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2225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7.40</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2250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7.34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2275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7.29</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2300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7.24</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2325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7.18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2350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7.13</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2375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7.08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2400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7.03</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0.78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2425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6.98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0.78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2450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6.93</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8"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2475</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6.88</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2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2500</w:t>
            </w:r>
          </w:p>
        </w:tc>
        <w:tc>
          <w:tcPr>
            <w:tcW w:w="28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6.83</w:t>
            </w:r>
          </w:p>
        </w:tc>
        <w:tc>
          <w:tcPr>
            <w:tcW w:w="29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3"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下风向最大浓度</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66.49</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3"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下风向最大浓度出现距离</w:t>
            </w:r>
          </w:p>
        </w:tc>
        <w:tc>
          <w:tcPr>
            <w:tcW w:w="584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33"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D10%最远距离</w:t>
            </w:r>
          </w:p>
        </w:tc>
        <w:tc>
          <w:tcPr>
            <w:tcW w:w="584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pPr>
        <w:pStyle w:val="76"/>
        <w:keepNext w:val="0"/>
        <w:keepLines w:val="0"/>
        <w:pageBreakBefore w:val="0"/>
        <w:widowControl w:val="0"/>
        <w:kinsoku/>
        <w:wordWrap/>
        <w:overflowPunct/>
        <w:topLinePunct w:val="0"/>
        <w:autoSpaceDE/>
        <w:autoSpaceDN/>
        <w:bidi w:val="0"/>
        <w:adjustRightInd w:val="0"/>
        <w:snapToGrid w:val="0"/>
        <w:spacing w:before="313" w:beforeLines="100" w:line="240" w:lineRule="auto"/>
        <w:ind w:firstLine="0" w:firstLineChars="0"/>
        <w:textAlignment w:val="baseline"/>
        <w:rPr>
          <w:rFonts w:hint="eastAsia" w:ascii="Times New Roman"/>
          <w:b/>
          <w:snapToGrid w:val="0"/>
          <w:color w:val="auto"/>
          <w:sz w:val="21"/>
          <w:szCs w:val="21"/>
          <w:highlight w:val="none"/>
        </w:rPr>
      </w:pPr>
      <w:r>
        <w:rPr>
          <w:rFonts w:hint="default" w:ascii="Times New Roman" w:hAnsi="Times New Roman" w:eastAsia="宋体" w:cs="Times New Roman"/>
          <w:b/>
          <w:color w:val="auto"/>
          <w:sz w:val="21"/>
          <w:szCs w:val="24"/>
          <w:highlight w:val="none"/>
        </w:rPr>
        <w:t>表5.2-</w:t>
      </w:r>
      <w:r>
        <w:rPr>
          <w:rFonts w:hint="eastAsia" w:ascii="Times New Roman" w:cs="Times New Roman"/>
          <w:b/>
          <w:color w:val="auto"/>
          <w:sz w:val="21"/>
          <w:szCs w:val="24"/>
          <w:highlight w:val="none"/>
          <w:lang w:val="en-US" w:eastAsia="zh-CN"/>
        </w:rPr>
        <w:t>5</w:t>
      </w:r>
      <w:r>
        <w:rPr>
          <w:rFonts w:hint="default" w:ascii="Times New Roman" w:hAnsi="Times New Roman" w:eastAsia="宋体" w:cs="Times New Roman"/>
          <w:b/>
          <w:color w:val="auto"/>
          <w:sz w:val="21"/>
          <w:szCs w:val="24"/>
          <w:highlight w:val="none"/>
        </w:rPr>
        <w:t xml:space="preserve">    </w:t>
      </w:r>
      <w:r>
        <w:rPr>
          <w:rFonts w:hint="default" w:ascii="Times New Roman" w:hAnsi="Times New Roman" w:eastAsia="宋体" w:cs="Times New Roman"/>
          <w:b/>
          <w:snapToGrid w:val="0"/>
          <w:color w:val="auto"/>
          <w:sz w:val="21"/>
          <w:szCs w:val="21"/>
          <w:highlight w:val="none"/>
        </w:rPr>
        <w:t>大气环境影响预测结果表（DA001排气筒）</w:t>
      </w:r>
    </w:p>
    <w:tbl>
      <w:tblPr>
        <w:tblStyle w:val="31"/>
        <w:tblW w:w="8399"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83"/>
        <w:gridCol w:w="901"/>
        <w:gridCol w:w="901"/>
        <w:gridCol w:w="901"/>
        <w:gridCol w:w="901"/>
        <w:gridCol w:w="901"/>
        <w:gridCol w:w="901"/>
        <w:gridCol w:w="964"/>
        <w:gridCol w:w="94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下风向距离</w:t>
            </w:r>
          </w:p>
        </w:tc>
        <w:tc>
          <w:tcPr>
            <w:tcW w:w="7316"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color w:val="auto"/>
                <w:sz w:val="21"/>
                <w:szCs w:val="21"/>
                <w:highlight w:val="none"/>
              </w:rPr>
              <w:t>DA001排气筒</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0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PM</w:t>
            </w:r>
            <w:r>
              <w:rPr>
                <w:rFonts w:hint="default" w:ascii="Times New Roman" w:hAnsi="Times New Roman" w:eastAsia="宋体" w:cs="Times New Roman"/>
                <w:b w:val="0"/>
                <w:color w:val="auto"/>
                <w:sz w:val="21"/>
                <w:szCs w:val="21"/>
                <w:highlight w:val="none"/>
                <w:vertAlign w:val="subscript"/>
              </w:rPr>
              <w:t>10</w:t>
            </w:r>
            <w:r>
              <w:rPr>
                <w:rFonts w:hint="default" w:ascii="Times New Roman" w:hAnsi="Times New Roman" w:eastAsia="宋体" w:cs="Times New Roman"/>
                <w:b w:val="0"/>
                <w:color w:val="auto"/>
                <w:sz w:val="21"/>
                <w:szCs w:val="21"/>
                <w:highlight w:val="none"/>
              </w:rPr>
              <w:t>浓度</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μg/m³</w:t>
            </w:r>
            <w:r>
              <w:rPr>
                <w:rFonts w:hint="default" w:ascii="Times New Roman" w:hAnsi="Times New Roman" w:eastAsia="宋体" w:cs="Times New Roman"/>
                <w:b w:val="0"/>
                <w:color w:val="auto"/>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PM</w:t>
            </w:r>
            <w:r>
              <w:rPr>
                <w:rFonts w:hint="default" w:ascii="Times New Roman" w:hAnsi="Times New Roman" w:eastAsia="宋体" w:cs="Times New Roman"/>
                <w:b w:val="0"/>
                <w:color w:val="auto"/>
                <w:sz w:val="21"/>
                <w:szCs w:val="21"/>
                <w:highlight w:val="none"/>
                <w:vertAlign w:val="subscript"/>
              </w:rPr>
              <w:t>10</w:t>
            </w:r>
            <w:r>
              <w:rPr>
                <w:rFonts w:hint="default" w:ascii="Times New Roman" w:hAnsi="Times New Roman" w:eastAsia="宋体" w:cs="Times New Roman"/>
                <w:b w:val="0"/>
                <w:color w:val="auto"/>
                <w:sz w:val="21"/>
                <w:szCs w:val="21"/>
                <w:highlight w:val="none"/>
              </w:rPr>
              <w:t>占标率</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SO</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浓度</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μg/m³</w:t>
            </w:r>
            <w:r>
              <w:rPr>
                <w:rFonts w:hint="default" w:ascii="Times New Roman" w:hAnsi="Times New Roman" w:eastAsia="宋体" w:cs="Times New Roman"/>
                <w:b w:val="0"/>
                <w:color w:val="auto"/>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SO</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占标率</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NO</w:t>
            </w:r>
            <w:r>
              <w:rPr>
                <w:rFonts w:hint="default" w:ascii="Times New Roman" w:hAnsi="Times New Roman" w:cs="Times New Roman"/>
                <w:b w:val="0"/>
                <w:color w:val="auto"/>
                <w:sz w:val="21"/>
                <w:szCs w:val="21"/>
                <w:highlight w:val="none"/>
                <w:vertAlign w:val="subscript"/>
                <w:lang w:val="en-US" w:eastAsia="zh-CN"/>
              </w:rPr>
              <w:t>X</w:t>
            </w:r>
            <w:r>
              <w:rPr>
                <w:rFonts w:hint="default" w:ascii="Times New Roman" w:hAnsi="Times New Roman" w:eastAsia="宋体" w:cs="Times New Roman"/>
                <w:b w:val="0"/>
                <w:color w:val="auto"/>
                <w:sz w:val="21"/>
                <w:szCs w:val="21"/>
                <w:highlight w:val="none"/>
              </w:rPr>
              <w:t>浓度</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μg/m³</w:t>
            </w:r>
            <w:r>
              <w:rPr>
                <w:rFonts w:hint="default" w:ascii="Times New Roman" w:hAnsi="Times New Roman" w:eastAsia="宋体" w:cs="Times New Roman"/>
                <w:b w:val="0"/>
                <w:color w:val="auto"/>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NO</w:t>
            </w:r>
            <w:r>
              <w:rPr>
                <w:rFonts w:hint="default" w:ascii="Times New Roman" w:hAnsi="Times New Roman" w:cs="Times New Roman"/>
                <w:b w:val="0"/>
                <w:color w:val="auto"/>
                <w:sz w:val="21"/>
                <w:szCs w:val="21"/>
                <w:highlight w:val="none"/>
                <w:vertAlign w:val="subscript"/>
                <w:lang w:val="en-US" w:eastAsia="zh-CN"/>
              </w:rPr>
              <w:t>X</w:t>
            </w:r>
            <w:r>
              <w:rPr>
                <w:rFonts w:hint="default" w:ascii="Times New Roman" w:hAnsi="Times New Roman" w:eastAsia="宋体" w:cs="Times New Roman"/>
                <w:b w:val="0"/>
                <w:color w:val="auto"/>
                <w:sz w:val="21"/>
                <w:szCs w:val="21"/>
                <w:highlight w:val="none"/>
              </w:rPr>
              <w:t>占标率</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eastAsia="zh-CN"/>
              </w:rPr>
              <w:t>）</w:t>
            </w:r>
          </w:p>
        </w:tc>
        <w:tc>
          <w:tcPr>
            <w:tcW w:w="9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Hg浓度</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μg/m³</w:t>
            </w:r>
            <w:r>
              <w:rPr>
                <w:rFonts w:hint="default" w:ascii="Times New Roman" w:hAnsi="Times New Roman" w:eastAsia="宋体" w:cs="Times New Roman"/>
                <w:b w:val="0"/>
                <w:color w:val="auto"/>
                <w:sz w:val="21"/>
                <w:szCs w:val="21"/>
                <w:highlight w:val="none"/>
                <w:lang w:eastAsia="zh-CN"/>
              </w:rPr>
              <w:t>）</w:t>
            </w: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Hg占标率</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0.32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0.96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4.42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10.66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15.91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6.36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15.99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6.40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14.44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5.77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9.15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13.65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5.46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10.01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5.98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10.19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15.21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10.63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6.35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10.62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6.34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6.16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15.05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9.99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14.91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5.97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9.73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14.52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5.81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9.38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13.99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5.60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14.33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5.73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10.53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6.28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11.32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6.76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12.01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17.92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12.59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18.80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7.52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2.62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19.53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7.81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13.49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13.83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8.25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21.04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8.42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21.35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8.55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21.59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8.63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14.58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21.77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14.66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748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14.70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21.80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14.51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21.66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8.66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21.49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8.59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8.52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8.43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13.97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8.35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13.84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20.65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8.26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20.44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8.17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13.55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13.41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13.25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2.65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19.78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7.91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2.62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19.56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7.82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19.34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7.73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12.81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7.64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12.66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7.56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12.51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7.48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12.38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7.39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12.23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18.25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7.30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18.04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7.21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11.95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17.84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11.81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17.63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7.05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17.42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6.97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6.89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11.41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17.02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6.81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11.28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16.83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6.73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11.15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6.65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6.59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16.27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6.51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10.78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6.44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10.66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15.91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6.36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15.74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6.29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10.43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15.56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6.22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6.15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10.20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15.23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6.10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14.92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5.97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9.89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14.76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5.90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9.78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5.84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5.78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9.58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5.72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9.49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14.16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5.66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9.39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14.01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5.61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5.55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9.21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13.74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5.50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13.61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5.44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5.39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8.95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13.35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5.34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5.29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5.24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12.98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8.61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12.74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12.62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5.05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8.38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12.51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5.01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4.96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8.23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4.92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8.16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12.18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4.87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4.83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1.61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11.98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4.79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11.87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4.75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7.89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11.77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4.70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7.82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4.66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7.76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4.64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11.49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4.60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7.63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11.39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4.56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4.52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7.51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11.20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4.48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jc w:val="center"/>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4.45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93" w:hRule="atLeast"/>
          <w:jc w:val="center"/>
        </w:trPr>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14.72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2.94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21.96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8.79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61" w:hRule="atLeast"/>
          <w:jc w:val="center"/>
        </w:trPr>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下风向最大浓度出现距离</w:t>
            </w:r>
          </w:p>
        </w:tc>
        <w:tc>
          <w:tcPr>
            <w:tcW w:w="7316"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70" w:hRule="atLeast"/>
          <w:jc w:val="center"/>
        </w:trPr>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D10%最远距离</w:t>
            </w:r>
          </w:p>
        </w:tc>
        <w:tc>
          <w:tcPr>
            <w:tcW w:w="7316"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bl>
    <w:p>
      <w:pPr>
        <w:bidi w:val="0"/>
        <w:rPr>
          <w:color w:val="auto"/>
          <w:highlight w:val="none"/>
        </w:rPr>
      </w:pPr>
      <w:r>
        <w:rPr>
          <w:color w:val="auto"/>
          <w:highlight w:val="none"/>
        </w:rPr>
        <w:t>表</w:t>
      </w:r>
      <w:r>
        <w:rPr>
          <w:rFonts w:hint="eastAsia"/>
          <w:color w:val="auto"/>
          <w:highlight w:val="none"/>
        </w:rPr>
        <w:t>5.2-</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5.2-</w:t>
      </w:r>
      <w:r>
        <w:rPr>
          <w:rFonts w:hint="eastAsia"/>
          <w:color w:val="auto"/>
          <w:highlight w:val="none"/>
          <w:lang w:val="en-US" w:eastAsia="zh-CN"/>
        </w:rPr>
        <w:t>5</w:t>
      </w:r>
      <w:r>
        <w:rPr>
          <w:color w:val="auto"/>
          <w:highlight w:val="none"/>
        </w:rPr>
        <w:t>可知，</w:t>
      </w:r>
      <w:r>
        <w:rPr>
          <w:rFonts w:hint="eastAsia"/>
          <w:color w:val="auto"/>
          <w:highlight w:val="none"/>
        </w:rPr>
        <w:t>本项目P</w:t>
      </w:r>
      <w:r>
        <w:rPr>
          <w:rFonts w:hint="eastAsia"/>
          <w:color w:val="auto"/>
          <w:highlight w:val="none"/>
          <w:vertAlign w:val="subscript"/>
        </w:rPr>
        <w:t>max</w:t>
      </w:r>
      <w:r>
        <w:rPr>
          <w:rFonts w:hint="eastAsia"/>
          <w:color w:val="auto"/>
          <w:highlight w:val="none"/>
        </w:rPr>
        <w:t>最大值出现为DA001排气筒点源排放的NO</w:t>
      </w:r>
      <w:r>
        <w:rPr>
          <w:rFonts w:hint="eastAsia"/>
          <w:color w:val="auto"/>
          <w:highlight w:val="none"/>
          <w:vertAlign w:val="subscript"/>
          <w:lang w:val="en-US" w:eastAsia="zh-CN"/>
        </w:rPr>
        <w:t>X</w:t>
      </w:r>
      <w:r>
        <w:rPr>
          <w:rFonts w:hint="eastAsia"/>
          <w:color w:val="auto"/>
          <w:highlight w:val="none"/>
          <w:lang w:eastAsia="zh-CN"/>
        </w:rPr>
        <w:t>，</w:t>
      </w:r>
      <w:r>
        <w:rPr>
          <w:rFonts w:hint="eastAsia"/>
          <w:color w:val="00B050"/>
          <w:highlight w:val="none"/>
        </w:rPr>
        <w:t>P</w:t>
      </w:r>
      <w:r>
        <w:rPr>
          <w:rFonts w:hint="eastAsia"/>
          <w:color w:val="00B050"/>
          <w:highlight w:val="none"/>
          <w:vertAlign w:val="subscript"/>
        </w:rPr>
        <w:t>max</w:t>
      </w:r>
      <w:r>
        <w:rPr>
          <w:rFonts w:hint="eastAsia"/>
          <w:color w:val="00B050"/>
          <w:highlight w:val="none"/>
        </w:rPr>
        <w:t>值为</w:t>
      </w:r>
      <w:r>
        <w:rPr>
          <w:rFonts w:hint="eastAsia"/>
          <w:color w:val="00B050"/>
          <w:highlight w:val="none"/>
          <w:lang w:val="en-US" w:eastAsia="zh-CN"/>
        </w:rPr>
        <w:t>8.79%</w:t>
      </w:r>
      <w:r>
        <w:rPr>
          <w:rFonts w:hint="eastAsia"/>
          <w:color w:val="00B050"/>
          <w:highlight w:val="none"/>
          <w:lang w:eastAsia="zh-CN"/>
        </w:rPr>
        <w:t>，</w:t>
      </w:r>
      <w:r>
        <w:rPr>
          <w:color w:val="00B050"/>
          <w:highlight w:val="none"/>
        </w:rPr>
        <w:t>项目</w:t>
      </w:r>
      <w:r>
        <w:rPr>
          <w:rFonts w:hint="eastAsia"/>
          <w:color w:val="00B050"/>
          <w:highlight w:val="none"/>
          <w:lang w:val="en-US" w:eastAsia="zh-CN"/>
        </w:rPr>
        <w:t>NO</w:t>
      </w:r>
      <w:r>
        <w:rPr>
          <w:rFonts w:hint="eastAsia"/>
          <w:color w:val="00B050"/>
          <w:highlight w:val="none"/>
          <w:vertAlign w:val="subscript"/>
          <w:lang w:val="en-US" w:eastAsia="zh-CN"/>
        </w:rPr>
        <w:t>X</w:t>
      </w:r>
      <w:r>
        <w:rPr>
          <w:color w:val="00B050"/>
          <w:highlight w:val="none"/>
        </w:rPr>
        <w:t>最大浓度出现在</w:t>
      </w:r>
      <w:r>
        <w:rPr>
          <w:rFonts w:hint="eastAsia"/>
          <w:color w:val="00B050"/>
          <w:highlight w:val="none"/>
          <w:lang w:val="en-US" w:eastAsia="zh-CN"/>
        </w:rPr>
        <w:t>748</w:t>
      </w:r>
      <w:r>
        <w:rPr>
          <w:color w:val="00B050"/>
          <w:highlight w:val="none"/>
        </w:rPr>
        <w:t>m处，最大浓度为</w:t>
      </w:r>
      <w:r>
        <w:rPr>
          <w:rFonts w:hint="eastAsia"/>
          <w:color w:val="00B050"/>
          <w:highlight w:val="none"/>
          <w:lang w:val="en-US" w:eastAsia="zh-CN"/>
        </w:rPr>
        <w:t>21.96</w:t>
      </w:r>
      <w:r>
        <w:rPr>
          <w:rFonts w:hint="eastAsia"/>
          <w:color w:val="00B050"/>
          <w:highlight w:val="none"/>
        </w:rPr>
        <w:t>u</w:t>
      </w:r>
      <w:r>
        <w:rPr>
          <w:color w:val="00B050"/>
          <w:highlight w:val="none"/>
        </w:rPr>
        <w:t>g/m</w:t>
      </w:r>
      <w:r>
        <w:rPr>
          <w:color w:val="00B050"/>
          <w:highlight w:val="none"/>
          <w:vertAlign w:val="superscript"/>
        </w:rPr>
        <w:t>3</w:t>
      </w:r>
      <w:r>
        <w:rPr>
          <w:color w:val="00B050"/>
          <w:highlight w:val="none"/>
        </w:rPr>
        <w:t>，最大浓度占标率为</w:t>
      </w:r>
      <w:r>
        <w:rPr>
          <w:rFonts w:hint="eastAsia"/>
          <w:color w:val="00B050"/>
          <w:highlight w:val="none"/>
          <w:lang w:val="en-US" w:eastAsia="zh-CN"/>
        </w:rPr>
        <w:t>8.79%</w:t>
      </w:r>
      <w:r>
        <w:rPr>
          <w:rFonts w:hint="eastAsia"/>
          <w:color w:val="00B050"/>
          <w:highlight w:val="none"/>
        </w:rPr>
        <w:t>＜10%，</w:t>
      </w:r>
      <w:r>
        <w:rPr>
          <w:rFonts w:hint="eastAsia"/>
          <w:color w:val="auto"/>
          <w:highlight w:val="none"/>
        </w:rPr>
        <w:t>大气评价等级为二级。</w:t>
      </w:r>
      <w:r>
        <w:rPr>
          <w:color w:val="auto"/>
          <w:highlight w:val="none"/>
        </w:rPr>
        <w:t>因此本次评价认为，本项目在正常生产情况下大气污染物排放不会对项目周围区域的大气环境造成明显的不利影响。</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5.2.3</w:t>
      </w:r>
      <w:r>
        <w:rPr>
          <w:rFonts w:hint="default" w:ascii="Times New Roman" w:hAnsi="Times New Roman" w:cs="Times New Roman"/>
          <w:color w:val="auto"/>
          <w:highlight w:val="none"/>
        </w:rPr>
        <w:t>大气污染物核算</w:t>
      </w:r>
    </w:p>
    <w:p>
      <w:pPr>
        <w:bidi w:val="0"/>
        <w:rPr>
          <w:color w:val="auto"/>
          <w:highlight w:val="none"/>
        </w:rPr>
      </w:pPr>
      <w:r>
        <w:rPr>
          <w:color w:val="auto"/>
          <w:highlight w:val="none"/>
        </w:rPr>
        <w:t>本项目有组织大气污染物核算详见表</w:t>
      </w:r>
      <w:r>
        <w:rPr>
          <w:rFonts w:hint="eastAsia"/>
          <w:color w:val="auto"/>
          <w:highlight w:val="none"/>
        </w:rPr>
        <w:t>5.2-</w:t>
      </w:r>
      <w:r>
        <w:rPr>
          <w:rFonts w:hint="eastAsia"/>
          <w:color w:val="auto"/>
          <w:highlight w:val="none"/>
          <w:lang w:val="en-US" w:eastAsia="zh-CN"/>
        </w:rPr>
        <w:t>6</w:t>
      </w:r>
      <w:r>
        <w:rPr>
          <w:color w:val="auto"/>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b/>
          <w:color w:val="auto"/>
          <w:sz w:val="21"/>
          <w:szCs w:val="21"/>
          <w:highlight w:val="none"/>
        </w:rPr>
      </w:pPr>
      <w:r>
        <w:rPr>
          <w:rFonts w:hint="eastAsia"/>
          <w:b/>
          <w:color w:val="auto"/>
          <w:sz w:val="21"/>
          <w:szCs w:val="21"/>
          <w:highlight w:val="none"/>
        </w:rPr>
        <w:t>表5.2-</w:t>
      </w:r>
      <w:r>
        <w:rPr>
          <w:rFonts w:hint="eastAsia"/>
          <w:b/>
          <w:color w:val="auto"/>
          <w:sz w:val="21"/>
          <w:szCs w:val="21"/>
          <w:highlight w:val="none"/>
          <w:lang w:val="en-US" w:eastAsia="zh-CN"/>
        </w:rPr>
        <w:t>6</w:t>
      </w:r>
      <w:r>
        <w:rPr>
          <w:rFonts w:hint="eastAsia"/>
          <w:b/>
          <w:color w:val="auto"/>
          <w:sz w:val="21"/>
          <w:szCs w:val="21"/>
          <w:highlight w:val="none"/>
        </w:rPr>
        <w:t xml:space="preserve">   大气污染物有组织排放核算表</w:t>
      </w:r>
    </w:p>
    <w:tbl>
      <w:tblPr>
        <w:tblStyle w:val="31"/>
        <w:tblW w:w="50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278"/>
        <w:gridCol w:w="1266"/>
        <w:gridCol w:w="2069"/>
        <w:gridCol w:w="1964"/>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365" w:type="pc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742" w:type="pc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排放口编号</w:t>
            </w:r>
          </w:p>
        </w:tc>
        <w:tc>
          <w:tcPr>
            <w:tcW w:w="735" w:type="pc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201" w:type="pc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核算排放浓度/</w:t>
            </w:r>
          </w:p>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139" w:type="pc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核算排放速率/</w:t>
            </w:r>
          </w:p>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（kg/h）</w:t>
            </w:r>
          </w:p>
        </w:tc>
        <w:tc>
          <w:tcPr>
            <w:tcW w:w="815" w:type="pc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000" w:type="pct"/>
            <w:gridSpan w:val="6"/>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65" w:type="pct"/>
            <w:vMerge w:val="restar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42" w:type="pct"/>
            <w:vMerge w:val="restar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DA001</w:t>
            </w:r>
          </w:p>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w:t>
            </w:r>
          </w:p>
        </w:tc>
        <w:tc>
          <w:tcPr>
            <w:tcW w:w="735" w:type="pct"/>
            <w:noWrap w:val="0"/>
            <w:vAlign w:val="center"/>
          </w:tcPr>
          <w:p>
            <w:pPr>
              <w:keepNext w:val="0"/>
              <w:keepLines w:val="0"/>
              <w:pageBreakBefore w:val="0"/>
              <w:kinsoku/>
              <w:wordWrap/>
              <w:overflow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颗粒物</w:t>
            </w:r>
          </w:p>
        </w:tc>
        <w:tc>
          <w:tcPr>
            <w:tcW w:w="120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olor w:val="auto"/>
                <w:sz w:val="21"/>
                <w:szCs w:val="21"/>
                <w:highlight w:val="none"/>
                <w:lang w:val="en-US" w:eastAsia="zh-CN"/>
              </w:rPr>
              <w:t>0.753</w:t>
            </w:r>
          </w:p>
        </w:tc>
        <w:tc>
          <w:tcPr>
            <w:tcW w:w="1139"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0.066</w:t>
            </w:r>
          </w:p>
        </w:tc>
        <w:tc>
          <w:tcPr>
            <w:tcW w:w="81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65" w:type="pct"/>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742" w:type="pct"/>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735" w:type="pct"/>
            <w:noWrap w:val="0"/>
            <w:vAlign w:val="center"/>
          </w:tcPr>
          <w:p>
            <w:pPr>
              <w:keepNext w:val="0"/>
              <w:keepLines w:val="0"/>
              <w:pageBreakBefore w:val="0"/>
              <w:kinsoku/>
              <w:wordWrap/>
              <w:overflow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SO</w:t>
            </w:r>
            <w:r>
              <w:rPr>
                <w:rFonts w:hint="default" w:ascii="Times New Roman" w:hAnsi="Times New Roman" w:eastAsia="宋体" w:cs="Times New Roman"/>
                <w:color w:val="auto"/>
                <w:spacing w:val="-5"/>
                <w:position w:val="-1"/>
                <w:sz w:val="21"/>
                <w:szCs w:val="21"/>
                <w:highlight w:val="none"/>
                <w:vertAlign w:val="subscript"/>
              </w:rPr>
              <w:t>2</w:t>
            </w:r>
          </w:p>
        </w:tc>
        <w:tc>
          <w:tcPr>
            <w:tcW w:w="120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sz w:val="21"/>
                <w:szCs w:val="21"/>
                <w:highlight w:val="none"/>
                <w:lang w:val="en-US" w:eastAsia="zh-CN"/>
              </w:rPr>
            </w:pPr>
            <w:r>
              <w:rPr>
                <w:rFonts w:hint="eastAsia"/>
                <w:color w:val="00B050"/>
                <w:sz w:val="21"/>
                <w:szCs w:val="21"/>
                <w:highlight w:val="none"/>
                <w:lang w:val="en-US" w:eastAsia="zh-CN"/>
              </w:rPr>
              <w:t>21.96</w:t>
            </w:r>
          </w:p>
        </w:tc>
        <w:tc>
          <w:tcPr>
            <w:tcW w:w="1139"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sz w:val="21"/>
                <w:szCs w:val="21"/>
                <w:highlight w:val="none"/>
                <w:lang w:val="en-US" w:eastAsia="zh-CN"/>
              </w:rPr>
            </w:pPr>
            <w:r>
              <w:rPr>
                <w:rFonts w:hint="eastAsia" w:cs="Times New Roman"/>
                <w:color w:val="00B050"/>
                <w:sz w:val="21"/>
                <w:szCs w:val="21"/>
                <w:highlight w:val="none"/>
                <w:lang w:val="en-US" w:eastAsia="zh-CN"/>
              </w:rPr>
              <w:t>1.88</w:t>
            </w:r>
          </w:p>
        </w:tc>
        <w:tc>
          <w:tcPr>
            <w:tcW w:w="81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sz w:val="21"/>
                <w:szCs w:val="21"/>
                <w:highlight w:val="none"/>
                <w:lang w:val="en-US" w:eastAsia="zh-CN"/>
              </w:rPr>
            </w:pPr>
            <w:r>
              <w:rPr>
                <w:rFonts w:hint="eastAsia"/>
                <w:color w:val="00B050"/>
                <w:sz w:val="21"/>
                <w:szCs w:val="21"/>
                <w:highlight w:val="none"/>
                <w:lang w:val="en-US" w:eastAsia="zh-CN"/>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65" w:type="pct"/>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742" w:type="pct"/>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735" w:type="pct"/>
            <w:noWrap w:val="0"/>
            <w:vAlign w:val="center"/>
          </w:tcPr>
          <w:p>
            <w:pPr>
              <w:keepNext w:val="0"/>
              <w:keepLines w:val="0"/>
              <w:pageBreakBefore w:val="0"/>
              <w:kinsoku/>
              <w:wordWrap/>
              <w:overflowPunct/>
              <w:autoSpaceDE/>
              <w:autoSpaceDN/>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NO</w:t>
            </w:r>
            <w:r>
              <w:rPr>
                <w:rFonts w:hint="eastAsia" w:cs="Times New Roman"/>
                <w:color w:val="auto"/>
                <w:position w:val="-1"/>
                <w:sz w:val="21"/>
                <w:szCs w:val="21"/>
                <w:highlight w:val="none"/>
                <w:vertAlign w:val="subscript"/>
                <w:lang w:val="en-US" w:eastAsia="zh-CN"/>
              </w:rPr>
              <w:t>X</w:t>
            </w:r>
          </w:p>
        </w:tc>
        <w:tc>
          <w:tcPr>
            <w:tcW w:w="120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sz w:val="21"/>
                <w:szCs w:val="21"/>
                <w:highlight w:val="none"/>
                <w:lang w:val="en-US" w:eastAsia="zh-CN"/>
              </w:rPr>
            </w:pPr>
            <w:r>
              <w:rPr>
                <w:rFonts w:hint="eastAsia"/>
                <w:color w:val="00B050"/>
                <w:sz w:val="21"/>
                <w:szCs w:val="21"/>
                <w:highlight w:val="none"/>
                <w:lang w:val="en-US" w:eastAsia="zh-CN"/>
              </w:rPr>
              <w:t>60</w:t>
            </w:r>
          </w:p>
        </w:tc>
        <w:tc>
          <w:tcPr>
            <w:tcW w:w="1139"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sz w:val="21"/>
                <w:szCs w:val="21"/>
                <w:highlight w:val="none"/>
                <w:lang w:val="en-US" w:eastAsia="zh-CN"/>
              </w:rPr>
            </w:pPr>
            <w:r>
              <w:rPr>
                <w:rFonts w:hint="eastAsia"/>
                <w:color w:val="00B050"/>
                <w:sz w:val="21"/>
                <w:szCs w:val="21"/>
                <w:highlight w:val="none"/>
                <w:lang w:val="en-US" w:eastAsia="zh-CN"/>
              </w:rPr>
              <w:t>5.13</w:t>
            </w:r>
          </w:p>
        </w:tc>
        <w:tc>
          <w:tcPr>
            <w:tcW w:w="81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sz w:val="21"/>
                <w:szCs w:val="21"/>
                <w:highlight w:val="none"/>
                <w:lang w:val="en-US" w:eastAsia="zh-CN"/>
              </w:rPr>
            </w:pPr>
            <w:r>
              <w:rPr>
                <w:rFonts w:hint="eastAsia"/>
                <w:color w:val="00B050"/>
                <w:sz w:val="21"/>
                <w:szCs w:val="21"/>
                <w:highlight w:val="none"/>
                <w:lang w:val="en-US" w:eastAsia="zh-CN"/>
              </w:rPr>
              <w:t>20.94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65" w:type="pct"/>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742" w:type="pct"/>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735" w:type="pct"/>
            <w:noWrap w:val="0"/>
            <w:vAlign w:val="center"/>
          </w:tcPr>
          <w:p>
            <w:pPr>
              <w:keepNext w:val="0"/>
              <w:keepLines w:val="0"/>
              <w:pageBreakBefore w:val="0"/>
              <w:kinsoku/>
              <w:wordWrap/>
              <w:overflow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汞及其化合物</w:t>
            </w:r>
          </w:p>
        </w:tc>
        <w:tc>
          <w:tcPr>
            <w:tcW w:w="1201"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0.00298</w:t>
            </w:r>
          </w:p>
        </w:tc>
        <w:tc>
          <w:tcPr>
            <w:tcW w:w="1139"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0.000262</w:t>
            </w:r>
          </w:p>
        </w:tc>
        <w:tc>
          <w:tcPr>
            <w:tcW w:w="815" w:type="pct"/>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000" w:type="pct"/>
            <w:gridSpan w:val="6"/>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107" w:type="pct"/>
            <w:gridSpan w:val="2"/>
            <w:vMerge w:val="restart"/>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有组织排放总计</w:t>
            </w:r>
          </w:p>
        </w:tc>
        <w:tc>
          <w:tcPr>
            <w:tcW w:w="3076" w:type="pct"/>
            <w:gridSpan w:val="3"/>
            <w:noWrap w:val="0"/>
            <w:vAlign w:val="center"/>
          </w:tcPr>
          <w:p>
            <w:pPr>
              <w:keepNext w:val="0"/>
              <w:keepLines w:val="0"/>
              <w:pageBreakBefore w:val="0"/>
              <w:kinsoku/>
              <w:wordWrap/>
              <w:overflow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颗粒物</w:t>
            </w:r>
          </w:p>
        </w:tc>
        <w:tc>
          <w:tcPr>
            <w:tcW w:w="1408"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107" w:type="pct"/>
            <w:gridSpan w:val="2"/>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3076" w:type="pct"/>
            <w:gridSpan w:val="3"/>
            <w:noWrap w:val="0"/>
            <w:vAlign w:val="center"/>
          </w:tcPr>
          <w:p>
            <w:pPr>
              <w:keepNext w:val="0"/>
              <w:keepLines w:val="0"/>
              <w:pageBreakBefore w:val="0"/>
              <w:kinsoku/>
              <w:wordWrap/>
              <w:overflow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SO</w:t>
            </w:r>
            <w:r>
              <w:rPr>
                <w:rFonts w:hint="default" w:ascii="Times New Roman" w:hAnsi="Times New Roman" w:eastAsia="宋体" w:cs="Times New Roman"/>
                <w:color w:val="auto"/>
                <w:spacing w:val="-5"/>
                <w:position w:val="-1"/>
                <w:sz w:val="21"/>
                <w:szCs w:val="21"/>
                <w:highlight w:val="none"/>
                <w:vertAlign w:val="subscript"/>
              </w:rPr>
              <w:t>2</w:t>
            </w:r>
          </w:p>
        </w:tc>
        <w:tc>
          <w:tcPr>
            <w:tcW w:w="1408"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kern w:val="2"/>
                <w:sz w:val="21"/>
                <w:szCs w:val="21"/>
                <w:highlight w:val="none"/>
                <w:lang w:val="en-US" w:eastAsia="zh-CN" w:bidi="ar-SA"/>
              </w:rPr>
            </w:pPr>
            <w:r>
              <w:rPr>
                <w:rFonts w:hint="eastAsia"/>
                <w:color w:val="00B050"/>
                <w:sz w:val="21"/>
                <w:szCs w:val="21"/>
                <w:highlight w:val="none"/>
                <w:lang w:val="en-US" w:eastAsia="zh-CN"/>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107" w:type="pct"/>
            <w:gridSpan w:val="2"/>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3076" w:type="pct"/>
            <w:gridSpan w:val="3"/>
            <w:noWrap w:val="0"/>
            <w:vAlign w:val="center"/>
          </w:tcPr>
          <w:p>
            <w:pPr>
              <w:keepNext w:val="0"/>
              <w:keepLines w:val="0"/>
              <w:pageBreakBefore w:val="0"/>
              <w:kinsoku/>
              <w:wordWrap/>
              <w:overflowPunct/>
              <w:autoSpaceDE/>
              <w:autoSpaceDN/>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NO</w:t>
            </w:r>
            <w:r>
              <w:rPr>
                <w:rFonts w:hint="eastAsia" w:cs="Times New Roman"/>
                <w:color w:val="auto"/>
                <w:position w:val="-1"/>
                <w:sz w:val="21"/>
                <w:szCs w:val="21"/>
                <w:highlight w:val="none"/>
                <w:vertAlign w:val="subscript"/>
                <w:lang w:val="en-US" w:eastAsia="zh-CN"/>
              </w:rPr>
              <w:t>X</w:t>
            </w:r>
          </w:p>
        </w:tc>
        <w:tc>
          <w:tcPr>
            <w:tcW w:w="1408"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kern w:val="2"/>
                <w:sz w:val="21"/>
                <w:szCs w:val="21"/>
                <w:highlight w:val="none"/>
                <w:lang w:val="en-US" w:eastAsia="zh-CN" w:bidi="ar-SA"/>
              </w:rPr>
            </w:pPr>
            <w:r>
              <w:rPr>
                <w:rFonts w:hint="eastAsia"/>
                <w:color w:val="00B050"/>
                <w:sz w:val="21"/>
                <w:szCs w:val="21"/>
                <w:highlight w:val="none"/>
                <w:lang w:val="en-US" w:eastAsia="zh-CN"/>
              </w:rPr>
              <w:t>20.94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07" w:type="pct"/>
            <w:gridSpan w:val="2"/>
            <w:vMerge w:val="continue"/>
            <w:noWrap w:val="0"/>
            <w:vAlign w:val="center"/>
          </w:tcPr>
          <w:p>
            <w:pPr>
              <w:keepNext w:val="0"/>
              <w:keepLines w:val="0"/>
              <w:pageBreakBefore w:val="0"/>
              <w:kinsoku/>
              <w:wordWrap/>
              <w:overflowPunct/>
              <w:topLine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3076" w:type="pct"/>
            <w:gridSpan w:val="3"/>
            <w:noWrap w:val="0"/>
            <w:vAlign w:val="center"/>
          </w:tcPr>
          <w:p>
            <w:pPr>
              <w:keepNext w:val="0"/>
              <w:keepLines w:val="0"/>
              <w:pageBreakBefore w:val="0"/>
              <w:kinsoku/>
              <w:wordWrap/>
              <w:overflowPunct/>
              <w:autoSpaceDE/>
              <w:autoSpaceDN/>
              <w:bidi w:val="0"/>
              <w:adjustRightInd w:val="0"/>
              <w:snapToGrid w:val="0"/>
              <w:spacing w:line="320" w:lineRule="exact"/>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汞及其化合物</w:t>
            </w:r>
          </w:p>
        </w:tc>
        <w:tc>
          <w:tcPr>
            <w:tcW w:w="1408"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0.00107</w:t>
            </w:r>
          </w:p>
        </w:tc>
      </w:tr>
    </w:tbl>
    <w:p>
      <w:pPr>
        <w:bidi w:val="0"/>
        <w:rPr>
          <w:color w:val="auto"/>
          <w:highlight w:val="none"/>
        </w:rPr>
      </w:pPr>
      <w:r>
        <w:rPr>
          <w:color w:val="auto"/>
          <w:highlight w:val="none"/>
        </w:rPr>
        <w:t>无组织排放量核算结果详见表5.2-</w:t>
      </w:r>
      <w:r>
        <w:rPr>
          <w:rFonts w:hint="eastAsia"/>
          <w:color w:val="auto"/>
          <w:highlight w:val="none"/>
          <w:lang w:val="en-US" w:eastAsia="zh-CN"/>
        </w:rPr>
        <w:t>7</w:t>
      </w:r>
      <w:r>
        <w:rPr>
          <w:color w:val="auto"/>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表5.2-</w:t>
      </w:r>
      <w:r>
        <w:rPr>
          <w:rFonts w:hint="eastAsia" w:ascii="Times New Roman" w:hAnsi="Times New Roman" w:eastAsia="宋体" w:cs="Times New Roman"/>
          <w:b/>
          <w:color w:val="auto"/>
          <w:sz w:val="21"/>
          <w:szCs w:val="21"/>
          <w:highlight w:val="none"/>
          <w:lang w:val="en-US" w:eastAsia="zh-CN"/>
        </w:rPr>
        <w:t>7</w:t>
      </w:r>
      <w:r>
        <w:rPr>
          <w:rFonts w:hint="eastAsia" w:ascii="Times New Roman" w:hAnsi="Times New Roman" w:eastAsia="宋体" w:cs="Times New Roman"/>
          <w:b/>
          <w:color w:val="auto"/>
          <w:sz w:val="21"/>
          <w:szCs w:val="21"/>
          <w:highlight w:val="none"/>
        </w:rPr>
        <w:t xml:space="preserve">     大气污染物无组织排放量核算表</w:t>
      </w:r>
    </w:p>
    <w:tbl>
      <w:tblPr>
        <w:tblStyle w:val="31"/>
        <w:tblW w:w="52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
        <w:gridCol w:w="871"/>
        <w:gridCol w:w="606"/>
        <w:gridCol w:w="2372"/>
        <w:gridCol w:w="1937"/>
        <w:gridCol w:w="1415"/>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46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序号</w:t>
            </w:r>
          </w:p>
        </w:tc>
        <w:tc>
          <w:tcPr>
            <w:tcW w:w="8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position w:val="6"/>
                <w:sz w:val="21"/>
                <w:szCs w:val="21"/>
                <w:highlight w:val="none"/>
              </w:rPr>
              <w:t>产污</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环节</w:t>
            </w:r>
          </w:p>
        </w:tc>
        <w:tc>
          <w:tcPr>
            <w:tcW w:w="60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污染物</w:t>
            </w:r>
          </w:p>
        </w:tc>
        <w:tc>
          <w:tcPr>
            <w:tcW w:w="237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position w:val="6"/>
                <w:sz w:val="21"/>
                <w:szCs w:val="21"/>
                <w:highlight w:val="none"/>
              </w:rPr>
              <w:t>主要污染</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防治措施</w:t>
            </w:r>
          </w:p>
        </w:tc>
        <w:tc>
          <w:tcPr>
            <w:tcW w:w="334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国家或地方污染物排放标准</w:t>
            </w:r>
          </w:p>
        </w:tc>
        <w:tc>
          <w:tcPr>
            <w:tcW w:w="99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14" w:right="17"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年排放</w:t>
            </w:r>
            <w:r>
              <w:rPr>
                <w:rFonts w:hint="default" w:ascii="Times New Roman" w:hAnsi="Times New Roman" w:eastAsia="宋体" w:cs="Times New Roman"/>
                <w:color w:val="auto"/>
                <w:spacing w:val="-12"/>
                <w:sz w:val="21"/>
                <w:szCs w:val="21"/>
                <w:highlight w:val="none"/>
              </w:rPr>
              <w:t>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jc w:val="center"/>
        </w:trPr>
        <w:tc>
          <w:tcPr>
            <w:tcW w:w="467"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8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23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标准名称</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61" w:right="158"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浓度限值</w:t>
            </w:r>
            <w:r>
              <w:rPr>
                <w:rFonts w:hint="default" w:ascii="Times New Roman" w:hAnsi="Times New Roman" w:eastAsia="宋体" w:cs="Times New Roman"/>
                <w:color w:val="auto"/>
                <w:spacing w:val="-5"/>
                <w:sz w:val="21"/>
                <w:szCs w:val="21"/>
                <w:highlight w:val="none"/>
              </w:rPr>
              <w:t>（mg/m</w:t>
            </w:r>
            <w:r>
              <w:rPr>
                <w:rFonts w:hint="default" w:ascii="Times New Roman" w:hAnsi="Times New Roman" w:eastAsia="宋体" w:cs="Times New Roman"/>
                <w:color w:val="auto"/>
                <w:spacing w:val="-5"/>
                <w:position w:val="6"/>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w:t>
            </w:r>
          </w:p>
        </w:tc>
        <w:tc>
          <w:tcPr>
            <w:tcW w:w="99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0" w:hRule="atLeast"/>
          <w:jc w:val="center"/>
        </w:trPr>
        <w:tc>
          <w:tcPr>
            <w:tcW w:w="4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储煤场、输煤系统、灰渣库</w:t>
            </w:r>
          </w:p>
        </w:tc>
        <w:tc>
          <w:tcPr>
            <w:tcW w:w="6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颗粒物</w:t>
            </w:r>
          </w:p>
        </w:tc>
        <w:tc>
          <w:tcPr>
            <w:tcW w:w="23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封闭</w:t>
            </w:r>
            <w:r>
              <w:rPr>
                <w:rFonts w:hint="eastAsia" w:cs="Times New Roman"/>
                <w:color w:val="auto"/>
                <w:spacing w:val="-2"/>
                <w:sz w:val="21"/>
                <w:szCs w:val="21"/>
                <w:highlight w:val="none"/>
                <w:lang w:eastAsia="zh-CN"/>
              </w:rPr>
              <w:t>储煤场、密闭灰渣库</w:t>
            </w:r>
            <w:r>
              <w:rPr>
                <w:rFonts w:hint="default" w:ascii="Times New Roman" w:hAnsi="Times New Roman" w:eastAsia="宋体" w:cs="Times New Roman"/>
                <w:color w:val="auto"/>
                <w:spacing w:val="-2"/>
                <w:sz w:val="21"/>
                <w:szCs w:val="21"/>
                <w:highlight w:val="none"/>
              </w:rPr>
              <w:t>、封闭式皮带运输</w:t>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55" w:right="141"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《大气污染物综</w:t>
            </w:r>
            <w:r>
              <w:rPr>
                <w:rFonts w:hint="default" w:ascii="Times New Roman" w:hAnsi="Times New Roman" w:eastAsia="宋体" w:cs="Times New Roman"/>
                <w:color w:val="auto"/>
                <w:spacing w:val="-4"/>
                <w:sz w:val="21"/>
                <w:szCs w:val="21"/>
                <w:highlight w:val="none"/>
              </w:rPr>
              <w:t>合排放标准》</w:t>
            </w:r>
            <w:r>
              <w:rPr>
                <w:rFonts w:hint="default" w:ascii="Times New Roman" w:hAnsi="Times New Roman" w:eastAsia="宋体" w:cs="Times New Roman"/>
                <w:color w:val="auto"/>
                <w:spacing w:val="2"/>
                <w:sz w:val="21"/>
                <w:szCs w:val="21"/>
                <w:highlight w:val="none"/>
              </w:rPr>
              <w:t>（GB16297-</w:t>
            </w:r>
            <w:r>
              <w:rPr>
                <w:rFonts w:hint="default" w:ascii="Times New Roman" w:hAnsi="Times New Roman" w:eastAsia="宋体" w:cs="Times New Roman"/>
                <w:color w:val="auto"/>
                <w:spacing w:val="-3"/>
                <w:sz w:val="21"/>
                <w:szCs w:val="21"/>
                <w:highlight w:val="none"/>
              </w:rPr>
              <w:t>1996）二级标准</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1"/>
                <w:sz w:val="21"/>
                <w:szCs w:val="21"/>
                <w:highlight w:val="none"/>
                <w:lang w:val="en-US" w:eastAsia="zh-CN"/>
              </w:rPr>
              <w:t>1</w:t>
            </w:r>
            <w:r>
              <w:rPr>
                <w:rFonts w:hint="default" w:ascii="Times New Roman" w:hAnsi="Times New Roman" w:eastAsia="宋体" w:cs="Times New Roman"/>
                <w:color w:val="auto"/>
                <w:spacing w:val="1"/>
                <w:sz w:val="21"/>
                <w:szCs w:val="21"/>
                <w:highlight w:val="none"/>
              </w:rPr>
              <w:t>.0</w:t>
            </w:r>
          </w:p>
        </w:tc>
        <w:tc>
          <w:tcPr>
            <w:tcW w:w="99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0.362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8658"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431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无组织排放总计</w:t>
            </w:r>
          </w:p>
        </w:tc>
        <w:tc>
          <w:tcPr>
            <w:tcW w:w="1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颗粒物</w:t>
            </w:r>
          </w:p>
        </w:tc>
        <w:tc>
          <w:tcPr>
            <w:tcW w:w="241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0.362</w:t>
            </w:r>
          </w:p>
        </w:tc>
      </w:tr>
    </w:tbl>
    <w:p>
      <w:pPr>
        <w:bidi w:val="0"/>
        <w:rPr>
          <w:color w:val="auto"/>
          <w:highlight w:val="none"/>
        </w:rPr>
      </w:pPr>
      <w:r>
        <w:rPr>
          <w:color w:val="auto"/>
          <w:highlight w:val="none"/>
        </w:rPr>
        <w:t>大气污染物年排放量核算详见表</w:t>
      </w:r>
      <w:r>
        <w:rPr>
          <w:rFonts w:hint="eastAsia"/>
          <w:color w:val="auto"/>
          <w:highlight w:val="none"/>
        </w:rPr>
        <w:t>5.2-</w:t>
      </w:r>
      <w:r>
        <w:rPr>
          <w:rFonts w:hint="eastAsia"/>
          <w:color w:val="auto"/>
          <w:highlight w:val="none"/>
          <w:lang w:val="en-US" w:eastAsia="zh-CN"/>
        </w:rPr>
        <w:t>8</w:t>
      </w:r>
      <w:r>
        <w:rPr>
          <w:color w:val="auto"/>
          <w:highlight w:val="none"/>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eastAsia" w:ascii="Times New Roman" w:hAnsi="Times New Roman" w:eastAsia="宋体" w:cs="Times New Roman"/>
          <w:b/>
          <w:bCs/>
          <w:color w:val="auto"/>
          <w:sz w:val="21"/>
          <w:szCs w:val="20"/>
          <w:highlight w:val="none"/>
        </w:rPr>
      </w:pPr>
      <w:r>
        <w:rPr>
          <w:rFonts w:hint="eastAsia" w:ascii="Times New Roman" w:hAnsi="Times New Roman" w:eastAsia="宋体" w:cs="Times New Roman"/>
          <w:b/>
          <w:bCs/>
          <w:color w:val="auto"/>
          <w:sz w:val="21"/>
          <w:szCs w:val="20"/>
          <w:highlight w:val="none"/>
        </w:rPr>
        <w:t>表5.2-</w:t>
      </w:r>
      <w:r>
        <w:rPr>
          <w:rFonts w:hint="eastAsia" w:ascii="Times New Roman" w:hAnsi="Times New Roman" w:eastAsia="宋体" w:cs="Times New Roman"/>
          <w:b/>
          <w:bCs/>
          <w:color w:val="auto"/>
          <w:sz w:val="21"/>
          <w:szCs w:val="20"/>
          <w:highlight w:val="none"/>
          <w:lang w:val="en-US" w:eastAsia="zh-CN"/>
        </w:rPr>
        <w:t>8</w:t>
      </w:r>
      <w:r>
        <w:rPr>
          <w:rFonts w:hint="eastAsia" w:ascii="Times New Roman" w:hAnsi="Times New Roman" w:eastAsia="宋体" w:cs="Times New Roman"/>
          <w:b/>
          <w:bCs/>
          <w:color w:val="auto"/>
          <w:sz w:val="21"/>
          <w:szCs w:val="20"/>
          <w:highlight w:val="none"/>
        </w:rPr>
        <w:t xml:space="preserve">    大气污染物年排放量核算表</w:t>
      </w:r>
    </w:p>
    <w:tbl>
      <w:tblPr>
        <w:tblStyle w:val="31"/>
        <w:tblpPr w:leftFromText="180" w:rightFromText="180" w:vertAnchor="text" w:horzAnchor="page" w:tblpXSpec="center" w:tblpY="57"/>
        <w:tblOverlap w:val="never"/>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7"/>
        <w:gridCol w:w="3375"/>
        <w:gridCol w:w="3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3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35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3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3557"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3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3557"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sz w:val="21"/>
                <w:szCs w:val="21"/>
                <w:highlight w:val="none"/>
                <w:lang w:val="en-US"/>
              </w:rPr>
            </w:pPr>
            <w:r>
              <w:rPr>
                <w:rFonts w:hint="eastAsia"/>
                <w:color w:val="00B050"/>
                <w:sz w:val="21"/>
                <w:szCs w:val="21"/>
                <w:highlight w:val="none"/>
                <w:lang w:val="en-US" w:eastAsia="zh-CN"/>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3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NO</w:t>
            </w:r>
            <w:r>
              <w:rPr>
                <w:rFonts w:hint="eastAsia" w:ascii="Times New Roman" w:hAnsi="Times New Roman" w:eastAsia="宋体" w:cs="Times New Roman"/>
                <w:color w:val="auto"/>
                <w:sz w:val="21"/>
                <w:szCs w:val="21"/>
                <w:highlight w:val="none"/>
                <w:vertAlign w:val="subscript"/>
                <w:lang w:val="en-US" w:eastAsia="zh-CN"/>
              </w:rPr>
              <w:t>X</w:t>
            </w:r>
          </w:p>
        </w:tc>
        <w:tc>
          <w:tcPr>
            <w:tcW w:w="3557"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00B050"/>
                <w:sz w:val="21"/>
                <w:szCs w:val="21"/>
                <w:highlight w:val="none"/>
                <w:lang w:val="en-US"/>
              </w:rPr>
            </w:pPr>
            <w:r>
              <w:rPr>
                <w:rFonts w:hint="eastAsia"/>
                <w:color w:val="00B050"/>
                <w:sz w:val="21"/>
                <w:szCs w:val="21"/>
                <w:highlight w:val="none"/>
                <w:lang w:val="en-US" w:eastAsia="zh-CN"/>
              </w:rPr>
              <w:t>20.94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5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汞及其化合物</w:t>
            </w:r>
          </w:p>
        </w:tc>
        <w:tc>
          <w:tcPr>
            <w:tcW w:w="3557"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0.00107</w:t>
            </w:r>
          </w:p>
        </w:tc>
      </w:tr>
    </w:tbl>
    <w:p>
      <w:pPr>
        <w:pStyle w:val="6"/>
        <w:keepNext/>
        <w:keepLines/>
        <w:pageBreakBefore w:val="0"/>
        <w:widowControl w:val="0"/>
        <w:kinsoku/>
        <w:wordWrap/>
        <w:overflowPunct/>
        <w:topLinePunct w:val="0"/>
        <w:autoSpaceDE/>
        <w:autoSpaceDN/>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5.2.4</w:t>
      </w:r>
      <w:r>
        <w:rPr>
          <w:rFonts w:hint="default" w:ascii="Times New Roman" w:hAnsi="Times New Roman" w:cs="Times New Roman"/>
          <w:color w:val="auto"/>
          <w:highlight w:val="none"/>
        </w:rPr>
        <w:t>非正常工况</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eastAsia"/>
          <w:b/>
          <w:bCs/>
          <w:color w:val="auto"/>
          <w:sz w:val="21"/>
          <w:szCs w:val="20"/>
          <w:highlight w:val="none"/>
        </w:rPr>
      </w:pPr>
      <w:r>
        <w:rPr>
          <w:rFonts w:hint="eastAsia"/>
          <w:b/>
          <w:bCs/>
          <w:color w:val="auto"/>
          <w:sz w:val="21"/>
          <w:szCs w:val="20"/>
          <w:highlight w:val="none"/>
        </w:rPr>
        <w:t>表5.2-</w:t>
      </w:r>
      <w:r>
        <w:rPr>
          <w:rFonts w:hint="eastAsia"/>
          <w:b/>
          <w:bCs/>
          <w:color w:val="auto"/>
          <w:sz w:val="21"/>
          <w:szCs w:val="20"/>
          <w:highlight w:val="none"/>
          <w:lang w:val="en-US" w:eastAsia="zh-CN"/>
        </w:rPr>
        <w:t>9</w:t>
      </w:r>
      <w:r>
        <w:rPr>
          <w:rFonts w:hint="eastAsia"/>
          <w:b/>
          <w:bCs/>
          <w:color w:val="auto"/>
          <w:sz w:val="21"/>
          <w:szCs w:val="20"/>
          <w:highlight w:val="none"/>
        </w:rPr>
        <w:t xml:space="preserve">  主要废气污染源参数一览表</w:t>
      </w:r>
    </w:p>
    <w:tbl>
      <w:tblPr>
        <w:tblStyle w:val="31"/>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55"/>
        <w:gridCol w:w="714"/>
        <w:gridCol w:w="690"/>
        <w:gridCol w:w="704"/>
        <w:gridCol w:w="614"/>
        <w:gridCol w:w="569"/>
        <w:gridCol w:w="719"/>
        <w:gridCol w:w="737"/>
        <w:gridCol w:w="753"/>
        <w:gridCol w:w="753"/>
        <w:gridCol w:w="753"/>
        <w:gridCol w:w="75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86" w:hRule="atLeast"/>
        </w:trPr>
        <w:tc>
          <w:tcPr>
            <w:tcW w:w="7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污染源名称</w:t>
            </w:r>
          </w:p>
        </w:tc>
        <w:tc>
          <w:tcPr>
            <w:tcW w:w="1404"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排气筒底部中心坐标</w:t>
            </w:r>
          </w:p>
        </w:tc>
        <w:tc>
          <w:tcPr>
            <w:tcW w:w="70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排气筒底部海拔高度</w:t>
            </w:r>
            <w:r>
              <w:rPr>
                <w:rFonts w:hint="eastAsia"/>
                <w:color w:val="auto"/>
                <w:sz w:val="21"/>
                <w:szCs w:val="18"/>
                <w:highlight w:val="none"/>
                <w:lang w:eastAsia="zh-CN"/>
              </w:rPr>
              <w:t>（</w:t>
            </w:r>
            <w:r>
              <w:rPr>
                <w:color w:val="auto"/>
                <w:sz w:val="21"/>
                <w:szCs w:val="18"/>
                <w:highlight w:val="none"/>
              </w:rPr>
              <w:t>m</w:t>
            </w:r>
            <w:r>
              <w:rPr>
                <w:rFonts w:hint="eastAsia"/>
                <w:color w:val="auto"/>
                <w:sz w:val="21"/>
                <w:szCs w:val="18"/>
                <w:highlight w:val="none"/>
                <w:lang w:eastAsia="zh-CN"/>
              </w:rPr>
              <w:t>）</w:t>
            </w:r>
          </w:p>
        </w:tc>
        <w:tc>
          <w:tcPr>
            <w:tcW w:w="263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排气筒参数</w:t>
            </w:r>
          </w:p>
        </w:tc>
        <w:tc>
          <w:tcPr>
            <w:tcW w:w="301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污染物排放速率</w:t>
            </w:r>
            <w:r>
              <w:rPr>
                <w:rFonts w:hint="eastAsia"/>
                <w:color w:val="auto"/>
                <w:sz w:val="21"/>
                <w:szCs w:val="18"/>
                <w:highlight w:val="none"/>
                <w:lang w:eastAsia="zh-CN"/>
              </w:rPr>
              <w:t>（</w:t>
            </w:r>
            <w:r>
              <w:rPr>
                <w:color w:val="auto"/>
                <w:sz w:val="21"/>
                <w:szCs w:val="18"/>
                <w:highlight w:val="none"/>
              </w:rPr>
              <w:t>kg/h</w:t>
            </w:r>
            <w:r>
              <w:rPr>
                <w:rFonts w:hint="eastAsia"/>
                <w:color w:val="auto"/>
                <w:sz w:val="21"/>
                <w:szCs w:val="18"/>
                <w:highlight w:val="none"/>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68" w:hRule="atLeast"/>
        </w:trPr>
        <w:tc>
          <w:tcPr>
            <w:tcW w:w="7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p>
        </w:tc>
        <w:tc>
          <w:tcPr>
            <w:tcW w:w="7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18"/>
                <w:highlight w:val="none"/>
                <w:lang w:eastAsia="zh-CN"/>
              </w:rPr>
            </w:pPr>
            <w:r>
              <w:rPr>
                <w:rFonts w:hint="eastAsia"/>
                <w:color w:val="auto"/>
                <w:sz w:val="21"/>
                <w:szCs w:val="18"/>
                <w:highlight w:val="none"/>
                <w:lang w:val="en-US" w:eastAsia="zh-CN"/>
              </w:rPr>
              <w:t>X</w:t>
            </w: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18"/>
                <w:highlight w:val="none"/>
                <w:lang w:eastAsia="zh-CN"/>
              </w:rPr>
            </w:pPr>
            <w:r>
              <w:rPr>
                <w:rFonts w:hint="eastAsia"/>
                <w:color w:val="auto"/>
                <w:sz w:val="21"/>
                <w:szCs w:val="18"/>
                <w:highlight w:val="none"/>
                <w:lang w:val="en-US" w:eastAsia="zh-CN"/>
              </w:rPr>
              <w:t>Y</w:t>
            </w:r>
          </w:p>
        </w:tc>
        <w:tc>
          <w:tcPr>
            <w:tcW w:w="70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p>
        </w:tc>
        <w:tc>
          <w:tcPr>
            <w:tcW w:w="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高度</w:t>
            </w:r>
            <w:r>
              <w:rPr>
                <w:rFonts w:hint="eastAsia"/>
                <w:color w:val="auto"/>
                <w:sz w:val="21"/>
                <w:szCs w:val="18"/>
                <w:highlight w:val="none"/>
                <w:lang w:eastAsia="zh-CN"/>
              </w:rPr>
              <w:t>（</w:t>
            </w:r>
            <w:r>
              <w:rPr>
                <w:color w:val="auto"/>
                <w:sz w:val="21"/>
                <w:szCs w:val="18"/>
                <w:highlight w:val="none"/>
              </w:rPr>
              <w:t>m</w:t>
            </w:r>
            <w:r>
              <w:rPr>
                <w:rFonts w:hint="eastAsia"/>
                <w:color w:val="auto"/>
                <w:sz w:val="21"/>
                <w:szCs w:val="18"/>
                <w:highlight w:val="none"/>
                <w:lang w:eastAsia="zh-CN"/>
              </w:rPr>
              <w:t>）</w:t>
            </w:r>
          </w:p>
        </w:tc>
        <w:tc>
          <w:tcPr>
            <w:tcW w:w="5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内径</w:t>
            </w:r>
            <w:r>
              <w:rPr>
                <w:rFonts w:hint="eastAsia"/>
                <w:color w:val="auto"/>
                <w:sz w:val="21"/>
                <w:szCs w:val="18"/>
                <w:highlight w:val="none"/>
                <w:lang w:eastAsia="zh-CN"/>
              </w:rPr>
              <w:t>（</w:t>
            </w:r>
            <w:r>
              <w:rPr>
                <w:color w:val="auto"/>
                <w:sz w:val="21"/>
                <w:szCs w:val="18"/>
                <w:highlight w:val="none"/>
              </w:rPr>
              <w:t>m</w:t>
            </w:r>
            <w:r>
              <w:rPr>
                <w:rFonts w:hint="eastAsia"/>
                <w:color w:val="auto"/>
                <w:sz w:val="21"/>
                <w:szCs w:val="18"/>
                <w:highlight w:val="none"/>
                <w:lang w:eastAsia="zh-CN"/>
              </w:rPr>
              <w:t>）</w:t>
            </w:r>
          </w:p>
        </w:tc>
        <w:tc>
          <w:tcPr>
            <w:tcW w:w="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温度</w:t>
            </w:r>
            <w:r>
              <w:rPr>
                <w:rFonts w:hint="eastAsia"/>
                <w:color w:val="auto"/>
                <w:sz w:val="21"/>
                <w:szCs w:val="18"/>
                <w:highlight w:val="none"/>
                <w:lang w:eastAsia="zh-CN"/>
              </w:rPr>
              <w:t>（</w:t>
            </w:r>
            <w:r>
              <w:rPr>
                <w:color w:val="auto"/>
                <w:sz w:val="21"/>
                <w:szCs w:val="18"/>
                <w:highlight w:val="none"/>
              </w:rPr>
              <w:t>℃</w:t>
            </w:r>
            <w:r>
              <w:rPr>
                <w:rFonts w:hint="eastAsia"/>
                <w:color w:val="auto"/>
                <w:sz w:val="21"/>
                <w:szCs w:val="18"/>
                <w:highlight w:val="none"/>
                <w:lang w:eastAsia="zh-CN"/>
              </w:rPr>
              <w:t>）</w:t>
            </w:r>
          </w:p>
        </w:tc>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流速</w:t>
            </w:r>
            <w:r>
              <w:rPr>
                <w:rFonts w:hint="eastAsia"/>
                <w:color w:val="auto"/>
                <w:sz w:val="21"/>
                <w:szCs w:val="18"/>
                <w:highlight w:val="none"/>
                <w:lang w:eastAsia="zh-CN"/>
              </w:rPr>
              <w:t>（</w:t>
            </w:r>
            <w:r>
              <w:rPr>
                <w:color w:val="auto"/>
                <w:sz w:val="21"/>
                <w:szCs w:val="18"/>
                <w:highlight w:val="none"/>
              </w:rPr>
              <w:t>m/s</w:t>
            </w:r>
            <w:r>
              <w:rPr>
                <w:rFonts w:hint="eastAsia"/>
                <w:color w:val="auto"/>
                <w:sz w:val="21"/>
                <w:szCs w:val="18"/>
                <w:highlight w:val="none"/>
                <w:lang w:eastAsia="zh-CN"/>
              </w:rPr>
              <w:t>）</w:t>
            </w:r>
          </w:p>
        </w:tc>
        <w:tc>
          <w:tcPr>
            <w:tcW w:w="7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18"/>
                <w:highlight w:val="none"/>
                <w:lang w:eastAsia="zh-CN"/>
              </w:rPr>
            </w:pPr>
            <w:r>
              <w:rPr>
                <w:color w:val="auto"/>
                <w:sz w:val="21"/>
                <w:szCs w:val="18"/>
                <w:highlight w:val="none"/>
              </w:rPr>
              <w:t>NO</w:t>
            </w:r>
            <w:r>
              <w:rPr>
                <w:rFonts w:hint="eastAsia"/>
                <w:color w:val="auto"/>
                <w:sz w:val="21"/>
                <w:szCs w:val="18"/>
                <w:highlight w:val="none"/>
                <w:vertAlign w:val="subscript"/>
                <w:lang w:val="en-US" w:eastAsia="zh-CN"/>
              </w:rPr>
              <w:t>X</w:t>
            </w:r>
          </w:p>
        </w:tc>
        <w:tc>
          <w:tcPr>
            <w:tcW w:w="7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18"/>
                <w:highlight w:val="none"/>
                <w:lang w:eastAsia="zh-CN"/>
              </w:rPr>
            </w:pPr>
            <w:r>
              <w:rPr>
                <w:rFonts w:hint="eastAsia"/>
                <w:color w:val="auto"/>
                <w:sz w:val="21"/>
                <w:szCs w:val="18"/>
                <w:highlight w:val="none"/>
                <w:lang w:eastAsia="zh-CN"/>
              </w:rPr>
              <w:t>汞及其化合物</w:t>
            </w:r>
          </w:p>
        </w:tc>
        <w:tc>
          <w:tcPr>
            <w:tcW w:w="7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SO</w:t>
            </w:r>
            <w:r>
              <w:rPr>
                <w:color w:val="auto"/>
                <w:sz w:val="21"/>
                <w:szCs w:val="18"/>
                <w:highlight w:val="none"/>
                <w:vertAlign w:val="subscript"/>
              </w:rPr>
              <w:t>2</w:t>
            </w:r>
          </w:p>
        </w:tc>
        <w:tc>
          <w:tcPr>
            <w:tcW w:w="7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PM</w:t>
            </w:r>
            <w:r>
              <w:rPr>
                <w:color w:val="auto"/>
                <w:sz w:val="21"/>
                <w:szCs w:val="18"/>
                <w:highlight w:val="none"/>
                <w:vertAlign w:val="subscript"/>
              </w:rPr>
              <w:t>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20" w:hRule="atLeast"/>
        </w:trPr>
        <w:tc>
          <w:tcPr>
            <w:tcW w:w="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color w:val="auto"/>
                <w:sz w:val="21"/>
                <w:szCs w:val="18"/>
                <w:highlight w:val="none"/>
              </w:rPr>
              <w:t>非正常工况</w:t>
            </w:r>
          </w:p>
        </w:tc>
        <w:tc>
          <w:tcPr>
            <w:tcW w:w="7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rFonts w:hint="eastAsia" w:cs="Times New Roman"/>
                <w:color w:val="auto"/>
                <w:sz w:val="21"/>
                <w:szCs w:val="21"/>
                <w:highlight w:val="none"/>
                <w:lang w:val="en-US" w:eastAsia="zh-CN"/>
              </w:rPr>
              <w:t>83.66797241</w:t>
            </w:r>
          </w:p>
        </w:tc>
        <w:tc>
          <w:tcPr>
            <w:tcW w:w="6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rFonts w:hint="eastAsia" w:cs="Times New Roman"/>
                <w:color w:val="auto"/>
                <w:sz w:val="21"/>
                <w:szCs w:val="21"/>
                <w:highlight w:val="none"/>
                <w:lang w:val="en-US" w:eastAsia="zh-CN"/>
              </w:rPr>
              <w:t>46.50858231</w:t>
            </w:r>
          </w:p>
        </w:tc>
        <w:tc>
          <w:tcPr>
            <w:tcW w:w="7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rFonts w:hint="eastAsia" w:cs="Times New Roman"/>
                <w:color w:val="auto"/>
                <w:sz w:val="21"/>
                <w:szCs w:val="21"/>
                <w:highlight w:val="none"/>
                <w:lang w:val="en-US" w:eastAsia="zh-CN"/>
              </w:rPr>
              <w:t>525</w:t>
            </w:r>
          </w:p>
        </w:tc>
        <w:tc>
          <w:tcPr>
            <w:tcW w:w="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rFonts w:hint="eastAsia" w:cs="Times New Roman"/>
                <w:color w:val="auto"/>
                <w:sz w:val="21"/>
                <w:szCs w:val="21"/>
                <w:highlight w:val="none"/>
                <w:lang w:val="en-US" w:eastAsia="zh-CN"/>
              </w:rPr>
              <w:t>45</w:t>
            </w:r>
          </w:p>
        </w:tc>
        <w:tc>
          <w:tcPr>
            <w:tcW w:w="5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rFonts w:hint="default" w:ascii="Times New Roman" w:hAnsi="Times New Roman" w:cs="Times New Roman"/>
                <w:color w:val="auto"/>
                <w:sz w:val="21"/>
                <w:szCs w:val="21"/>
                <w:highlight w:val="none"/>
                <w:lang w:val="en-US" w:eastAsia="zh-CN"/>
              </w:rPr>
              <w:t>2.5</w:t>
            </w:r>
          </w:p>
        </w:tc>
        <w:tc>
          <w:tcPr>
            <w:tcW w:w="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18"/>
                <w:highlight w:val="none"/>
              </w:rPr>
            </w:pPr>
            <w:r>
              <w:rPr>
                <w:rFonts w:hint="eastAsia" w:cs="Times New Roman"/>
                <w:color w:val="auto"/>
                <w:sz w:val="21"/>
                <w:szCs w:val="21"/>
                <w:highlight w:val="none"/>
                <w:lang w:val="en-US" w:eastAsia="zh-CN"/>
              </w:rPr>
              <w:t>60</w:t>
            </w:r>
          </w:p>
        </w:tc>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18"/>
                <w:highlight w:val="none"/>
                <w:lang w:val="en-US" w:eastAsia="zh-CN"/>
              </w:rPr>
            </w:pPr>
            <w:r>
              <w:rPr>
                <w:rFonts w:hint="eastAsia" w:cs="Times New Roman"/>
                <w:color w:val="auto"/>
                <w:sz w:val="21"/>
                <w:szCs w:val="21"/>
                <w:highlight w:val="none"/>
                <w:lang w:val="en-US" w:eastAsia="zh-CN"/>
              </w:rPr>
              <w:t>6.4</w:t>
            </w:r>
          </w:p>
        </w:tc>
        <w:tc>
          <w:tcPr>
            <w:tcW w:w="7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18"/>
                <w:highlight w:val="none"/>
                <w:lang w:val="en-US" w:eastAsia="zh-CN"/>
              </w:rPr>
            </w:pPr>
            <w:r>
              <w:rPr>
                <w:rFonts w:hint="eastAsia"/>
                <w:color w:val="00B050"/>
                <w:sz w:val="21"/>
                <w:szCs w:val="18"/>
                <w:highlight w:val="none"/>
                <w:lang w:val="en-US" w:eastAsia="zh-CN"/>
              </w:rPr>
              <w:t>8.55</w:t>
            </w:r>
          </w:p>
        </w:tc>
        <w:tc>
          <w:tcPr>
            <w:tcW w:w="7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18"/>
                <w:highlight w:val="none"/>
                <w:lang w:val="en-US" w:eastAsia="zh-CN"/>
              </w:rPr>
            </w:pPr>
            <w:r>
              <w:rPr>
                <w:rFonts w:hint="eastAsia"/>
                <w:color w:val="auto"/>
                <w:sz w:val="21"/>
                <w:szCs w:val="18"/>
                <w:highlight w:val="none"/>
                <w:lang w:val="en-US" w:eastAsia="zh-CN"/>
              </w:rPr>
              <w:t>0.000419</w:t>
            </w:r>
          </w:p>
        </w:tc>
        <w:tc>
          <w:tcPr>
            <w:tcW w:w="7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18"/>
                <w:highlight w:val="none"/>
                <w:lang w:val="en-US" w:eastAsia="zh-CN"/>
              </w:rPr>
            </w:pPr>
            <w:r>
              <w:rPr>
                <w:rFonts w:hint="eastAsia"/>
                <w:color w:val="00B050"/>
                <w:sz w:val="21"/>
                <w:szCs w:val="18"/>
                <w:highlight w:val="none"/>
                <w:lang w:val="en-US" w:eastAsia="zh-CN"/>
              </w:rPr>
              <w:t>6.26</w:t>
            </w:r>
          </w:p>
        </w:tc>
        <w:tc>
          <w:tcPr>
            <w:tcW w:w="7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18"/>
                <w:highlight w:val="none"/>
                <w:lang w:val="en-US" w:eastAsia="zh-CN"/>
              </w:rPr>
            </w:pPr>
            <w:r>
              <w:rPr>
                <w:rFonts w:hint="eastAsia"/>
                <w:color w:val="auto"/>
                <w:sz w:val="21"/>
                <w:szCs w:val="18"/>
                <w:highlight w:val="none"/>
                <w:lang w:val="en-US" w:eastAsia="zh-CN"/>
              </w:rPr>
              <w:t>3.978</w:t>
            </w:r>
          </w:p>
        </w:tc>
      </w:tr>
    </w:tbl>
    <w:p>
      <w:pPr>
        <w:pStyle w:val="17"/>
        <w:keepNext w:val="0"/>
        <w:keepLines w:val="0"/>
        <w:pageBreakBefore w:val="0"/>
        <w:widowControl w:val="0"/>
        <w:kinsoku/>
        <w:wordWrap/>
        <w:overflowPunct/>
        <w:topLinePunct w:val="0"/>
        <w:autoSpaceDE/>
        <w:autoSpaceDN/>
        <w:bidi w:val="0"/>
        <w:adjustRightInd w:val="0"/>
        <w:snapToGrid w:val="0"/>
        <w:spacing w:before="313" w:beforeLines="100" w:line="240" w:lineRule="auto"/>
        <w:jc w:val="center"/>
        <w:textAlignment w:val="auto"/>
        <w:rPr>
          <w:rFonts w:hint="eastAsia" w:ascii="Times New Roman" w:hAnsi="Times New Roman" w:eastAsia="宋体" w:cs="Times New Roman"/>
          <w:b/>
          <w:bCs/>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表5.2-10  非正常工况废气预测结果表</w:t>
      </w:r>
    </w:p>
    <w:tbl>
      <w:tblPr>
        <w:tblStyle w:val="31"/>
        <w:tblW w:w="839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83"/>
        <w:gridCol w:w="901"/>
        <w:gridCol w:w="901"/>
        <w:gridCol w:w="901"/>
        <w:gridCol w:w="901"/>
        <w:gridCol w:w="901"/>
        <w:gridCol w:w="901"/>
        <w:gridCol w:w="964"/>
        <w:gridCol w:w="94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下风向距离</w:t>
            </w:r>
          </w:p>
        </w:tc>
        <w:tc>
          <w:tcPr>
            <w:tcW w:w="7316"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color w:val="auto"/>
                <w:sz w:val="21"/>
                <w:szCs w:val="21"/>
                <w:highlight w:val="none"/>
              </w:rPr>
              <w:t>DA001排气筒</w:t>
            </w:r>
            <w:r>
              <w:rPr>
                <w:rFonts w:hint="default" w:ascii="Times New Roman" w:hAnsi="Times New Roman" w:eastAsia="宋体" w:cs="Times New Roman"/>
                <w:color w:val="auto"/>
                <w:sz w:val="21"/>
                <w:szCs w:val="21"/>
                <w:highlight w:val="none"/>
                <w:lang w:eastAsia="zh-CN"/>
              </w:rPr>
              <w:t>（非正常工况）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0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PM</w:t>
            </w:r>
            <w:r>
              <w:rPr>
                <w:rFonts w:hint="default" w:ascii="Times New Roman" w:hAnsi="Times New Roman" w:eastAsia="宋体" w:cs="Times New Roman"/>
                <w:b w:val="0"/>
                <w:color w:val="auto"/>
                <w:sz w:val="21"/>
                <w:szCs w:val="21"/>
                <w:highlight w:val="none"/>
                <w:vertAlign w:val="subscript"/>
              </w:rPr>
              <w:t>10</w:t>
            </w:r>
            <w:r>
              <w:rPr>
                <w:rFonts w:hint="default" w:ascii="Times New Roman" w:hAnsi="Times New Roman" w:eastAsia="宋体" w:cs="Times New Roman"/>
                <w:b w:val="0"/>
                <w:color w:val="auto"/>
                <w:sz w:val="21"/>
                <w:szCs w:val="21"/>
                <w:highlight w:val="none"/>
              </w:rPr>
              <w:t>浓度</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μg/m³</w:t>
            </w:r>
            <w:r>
              <w:rPr>
                <w:rFonts w:hint="default" w:ascii="Times New Roman" w:hAnsi="Times New Roman" w:eastAsia="宋体" w:cs="Times New Roman"/>
                <w:b w:val="0"/>
                <w:color w:val="auto"/>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PM</w:t>
            </w:r>
            <w:r>
              <w:rPr>
                <w:rFonts w:hint="default" w:ascii="Times New Roman" w:hAnsi="Times New Roman" w:eastAsia="宋体" w:cs="Times New Roman"/>
                <w:b w:val="0"/>
                <w:color w:val="auto"/>
                <w:sz w:val="21"/>
                <w:szCs w:val="21"/>
                <w:highlight w:val="none"/>
                <w:vertAlign w:val="subscript"/>
              </w:rPr>
              <w:t>10</w:t>
            </w:r>
            <w:r>
              <w:rPr>
                <w:rFonts w:hint="default" w:ascii="Times New Roman" w:hAnsi="Times New Roman" w:eastAsia="宋体" w:cs="Times New Roman"/>
                <w:b w:val="0"/>
                <w:color w:val="auto"/>
                <w:sz w:val="21"/>
                <w:szCs w:val="21"/>
                <w:highlight w:val="none"/>
              </w:rPr>
              <w:t>占标率</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b w:val="0"/>
                <w:color w:val="00B050"/>
                <w:sz w:val="21"/>
                <w:szCs w:val="21"/>
                <w:highlight w:val="none"/>
              </w:rPr>
              <w:t>SO</w:t>
            </w:r>
            <w:r>
              <w:rPr>
                <w:rFonts w:hint="default" w:ascii="Times New Roman" w:hAnsi="Times New Roman" w:eastAsia="宋体" w:cs="Times New Roman"/>
                <w:b w:val="0"/>
                <w:color w:val="00B050"/>
                <w:sz w:val="21"/>
                <w:szCs w:val="21"/>
                <w:highlight w:val="none"/>
                <w:vertAlign w:val="subscript"/>
              </w:rPr>
              <w:t>2</w:t>
            </w:r>
            <w:r>
              <w:rPr>
                <w:rFonts w:hint="default" w:ascii="Times New Roman" w:hAnsi="Times New Roman" w:eastAsia="宋体" w:cs="Times New Roman"/>
                <w:b w:val="0"/>
                <w:color w:val="00B050"/>
                <w:sz w:val="21"/>
                <w:szCs w:val="21"/>
                <w:highlight w:val="none"/>
              </w:rPr>
              <w:t>浓度</w:t>
            </w:r>
            <w:r>
              <w:rPr>
                <w:rFonts w:hint="default" w:ascii="Times New Roman" w:hAnsi="Times New Roman" w:eastAsia="宋体" w:cs="Times New Roman"/>
                <w:b w:val="0"/>
                <w:color w:val="00B050"/>
                <w:sz w:val="21"/>
                <w:szCs w:val="21"/>
                <w:highlight w:val="none"/>
                <w:lang w:eastAsia="zh-CN"/>
              </w:rPr>
              <w:t>（</w:t>
            </w:r>
            <w:r>
              <w:rPr>
                <w:rFonts w:hint="default" w:ascii="Times New Roman" w:hAnsi="Times New Roman" w:eastAsia="宋体" w:cs="Times New Roman"/>
                <w:b w:val="0"/>
                <w:color w:val="00B050"/>
                <w:sz w:val="21"/>
                <w:szCs w:val="21"/>
                <w:highlight w:val="none"/>
              </w:rPr>
              <w:t>μg/m³</w:t>
            </w:r>
            <w:r>
              <w:rPr>
                <w:rFonts w:hint="default" w:ascii="Times New Roman" w:hAnsi="Times New Roman" w:eastAsia="宋体" w:cs="Times New Roman"/>
                <w:b w:val="0"/>
                <w:color w:val="00B050"/>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b w:val="0"/>
                <w:color w:val="00B050"/>
                <w:sz w:val="21"/>
                <w:szCs w:val="21"/>
                <w:highlight w:val="none"/>
              </w:rPr>
              <w:t>SO</w:t>
            </w:r>
            <w:r>
              <w:rPr>
                <w:rFonts w:hint="default" w:ascii="Times New Roman" w:hAnsi="Times New Roman" w:eastAsia="宋体" w:cs="Times New Roman"/>
                <w:b w:val="0"/>
                <w:color w:val="00B050"/>
                <w:sz w:val="21"/>
                <w:szCs w:val="21"/>
                <w:highlight w:val="none"/>
                <w:vertAlign w:val="subscript"/>
              </w:rPr>
              <w:t>2</w:t>
            </w:r>
            <w:r>
              <w:rPr>
                <w:rFonts w:hint="default" w:ascii="Times New Roman" w:hAnsi="Times New Roman" w:eastAsia="宋体" w:cs="Times New Roman"/>
                <w:b w:val="0"/>
                <w:color w:val="00B050"/>
                <w:sz w:val="21"/>
                <w:szCs w:val="21"/>
                <w:highlight w:val="none"/>
              </w:rPr>
              <w:t>占标率</w:t>
            </w:r>
            <w:r>
              <w:rPr>
                <w:rFonts w:hint="default" w:ascii="Times New Roman" w:hAnsi="Times New Roman" w:eastAsia="宋体" w:cs="Times New Roman"/>
                <w:b w:val="0"/>
                <w:color w:val="00B050"/>
                <w:sz w:val="21"/>
                <w:szCs w:val="21"/>
                <w:highlight w:val="none"/>
                <w:lang w:eastAsia="zh-CN"/>
              </w:rPr>
              <w:t>（</w:t>
            </w:r>
            <w:r>
              <w:rPr>
                <w:rFonts w:hint="default" w:ascii="Times New Roman" w:hAnsi="Times New Roman" w:eastAsia="宋体" w:cs="Times New Roman"/>
                <w:b w:val="0"/>
                <w:color w:val="00B050"/>
                <w:sz w:val="21"/>
                <w:szCs w:val="21"/>
                <w:highlight w:val="none"/>
              </w:rPr>
              <w:t>%</w:t>
            </w:r>
            <w:r>
              <w:rPr>
                <w:rFonts w:hint="default" w:ascii="Times New Roman" w:hAnsi="Times New Roman" w:eastAsia="宋体" w:cs="Times New Roman"/>
                <w:b w:val="0"/>
                <w:color w:val="00B050"/>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b w:val="0"/>
                <w:color w:val="00B050"/>
                <w:sz w:val="21"/>
                <w:szCs w:val="21"/>
                <w:highlight w:val="none"/>
              </w:rPr>
              <w:t>NO</w:t>
            </w:r>
            <w:r>
              <w:rPr>
                <w:rFonts w:hint="default" w:ascii="Times New Roman" w:hAnsi="Times New Roman" w:cs="Times New Roman"/>
                <w:b w:val="0"/>
                <w:color w:val="00B050"/>
                <w:sz w:val="21"/>
                <w:szCs w:val="21"/>
                <w:highlight w:val="none"/>
                <w:vertAlign w:val="subscript"/>
                <w:lang w:val="en-US" w:eastAsia="zh-CN"/>
              </w:rPr>
              <w:t>X</w:t>
            </w:r>
            <w:r>
              <w:rPr>
                <w:rFonts w:hint="default" w:ascii="Times New Roman" w:hAnsi="Times New Roman" w:eastAsia="宋体" w:cs="Times New Roman"/>
                <w:b w:val="0"/>
                <w:color w:val="00B050"/>
                <w:sz w:val="21"/>
                <w:szCs w:val="21"/>
                <w:highlight w:val="none"/>
              </w:rPr>
              <w:t>浓度</w:t>
            </w:r>
            <w:r>
              <w:rPr>
                <w:rFonts w:hint="default" w:ascii="Times New Roman" w:hAnsi="Times New Roman" w:eastAsia="宋体" w:cs="Times New Roman"/>
                <w:b w:val="0"/>
                <w:color w:val="00B050"/>
                <w:sz w:val="21"/>
                <w:szCs w:val="21"/>
                <w:highlight w:val="none"/>
                <w:lang w:eastAsia="zh-CN"/>
              </w:rPr>
              <w:t>（</w:t>
            </w:r>
            <w:r>
              <w:rPr>
                <w:rFonts w:hint="default" w:ascii="Times New Roman" w:hAnsi="Times New Roman" w:eastAsia="宋体" w:cs="Times New Roman"/>
                <w:b w:val="0"/>
                <w:color w:val="00B050"/>
                <w:sz w:val="21"/>
                <w:szCs w:val="21"/>
                <w:highlight w:val="none"/>
              </w:rPr>
              <w:t>μg/m³</w:t>
            </w:r>
            <w:r>
              <w:rPr>
                <w:rFonts w:hint="default" w:ascii="Times New Roman" w:hAnsi="Times New Roman" w:eastAsia="宋体" w:cs="Times New Roman"/>
                <w:b w:val="0"/>
                <w:color w:val="00B050"/>
                <w:sz w:val="21"/>
                <w:szCs w:val="21"/>
                <w:highlight w:val="none"/>
                <w:lang w:eastAsia="zh-CN"/>
              </w:rPr>
              <w:t>）</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b w:val="0"/>
                <w:color w:val="00B050"/>
                <w:sz w:val="21"/>
                <w:szCs w:val="21"/>
                <w:highlight w:val="none"/>
              </w:rPr>
              <w:t>NO</w:t>
            </w:r>
            <w:r>
              <w:rPr>
                <w:rFonts w:hint="default" w:ascii="Times New Roman" w:hAnsi="Times New Roman" w:cs="Times New Roman"/>
                <w:b w:val="0"/>
                <w:color w:val="00B050"/>
                <w:sz w:val="21"/>
                <w:szCs w:val="21"/>
                <w:highlight w:val="none"/>
                <w:vertAlign w:val="subscript"/>
                <w:lang w:val="en-US" w:eastAsia="zh-CN"/>
              </w:rPr>
              <w:t>X</w:t>
            </w:r>
            <w:r>
              <w:rPr>
                <w:rFonts w:hint="default" w:ascii="Times New Roman" w:hAnsi="Times New Roman" w:eastAsia="宋体" w:cs="Times New Roman"/>
                <w:b w:val="0"/>
                <w:color w:val="00B050"/>
                <w:sz w:val="21"/>
                <w:szCs w:val="21"/>
                <w:highlight w:val="none"/>
              </w:rPr>
              <w:t>占标率</w:t>
            </w:r>
            <w:r>
              <w:rPr>
                <w:rFonts w:hint="default" w:ascii="Times New Roman" w:hAnsi="Times New Roman" w:eastAsia="宋体" w:cs="Times New Roman"/>
                <w:b w:val="0"/>
                <w:color w:val="00B050"/>
                <w:sz w:val="21"/>
                <w:szCs w:val="21"/>
                <w:highlight w:val="none"/>
                <w:lang w:eastAsia="zh-CN"/>
              </w:rPr>
              <w:t>（</w:t>
            </w:r>
            <w:r>
              <w:rPr>
                <w:rFonts w:hint="default" w:ascii="Times New Roman" w:hAnsi="Times New Roman" w:eastAsia="宋体" w:cs="Times New Roman"/>
                <w:b w:val="0"/>
                <w:color w:val="00B050"/>
                <w:sz w:val="21"/>
                <w:szCs w:val="21"/>
                <w:highlight w:val="none"/>
              </w:rPr>
              <w:t>%</w:t>
            </w:r>
            <w:r>
              <w:rPr>
                <w:rFonts w:hint="default" w:ascii="Times New Roman" w:hAnsi="Times New Roman" w:eastAsia="宋体" w:cs="Times New Roman"/>
                <w:b w:val="0"/>
                <w:color w:val="00B050"/>
                <w:sz w:val="21"/>
                <w:szCs w:val="21"/>
                <w:highlight w:val="none"/>
                <w:lang w:eastAsia="zh-CN"/>
              </w:rPr>
              <w:t>）</w:t>
            </w:r>
          </w:p>
        </w:tc>
        <w:tc>
          <w:tcPr>
            <w:tcW w:w="9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Hg浓度</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μg/m³</w:t>
            </w:r>
            <w:r>
              <w:rPr>
                <w:rFonts w:hint="default" w:ascii="Times New Roman" w:hAnsi="Times New Roman" w:eastAsia="宋体" w:cs="Times New Roman"/>
                <w:b w:val="0"/>
                <w:color w:val="auto"/>
                <w:sz w:val="21"/>
                <w:szCs w:val="21"/>
                <w:highlight w:val="none"/>
                <w:lang w:eastAsia="zh-CN"/>
              </w:rPr>
              <w:t>）</w:t>
            </w:r>
          </w:p>
        </w:tc>
        <w:tc>
          <w:tcPr>
            <w:tcW w:w="9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Hg占标率</w:t>
            </w:r>
            <w:r>
              <w:rPr>
                <w:rFonts w:hint="default"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highlight w:val="none"/>
                <w:u w:val="none"/>
                <w:lang w:val="en-US" w:eastAsia="zh-CN" w:bidi="ar"/>
              </w:rPr>
              <w:t>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highlight w:val="none"/>
                <w:u w:val="none"/>
                <w:lang w:val="en-US" w:eastAsia="zh-CN" w:bidi="ar"/>
              </w:rPr>
              <w:t>0.00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0.91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7.82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1.56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18.74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17.93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27.02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51.80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25.84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27.16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52.08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10.41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25.98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24.52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47.01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9.41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9.38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23.19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5.15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44.46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8.89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22.17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8.87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25.37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48.63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9.73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24.26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9.70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25.82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49.50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9.88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26.96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25.78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26.92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51.61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25.75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26.15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5.81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25.01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10.00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25.56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49.01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9.80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9.78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25.32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48.55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9.69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47.30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9.43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23.76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45.56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9.09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24.34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46.66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9.33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23.28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9.31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26.67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25.51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10.20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28.70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6.38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55.02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10.98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30.44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58.37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11.65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31.92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61.20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12.24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30.53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12.21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33.16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7.37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63.58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31.72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12.69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34.20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65.57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32.71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13.08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35.04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67.19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13.44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33.52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13.40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35.72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68.50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13.70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34.17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13.67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36.26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69.52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13.91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34.68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13.87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36.67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8.15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70.31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14.06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14.03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36.96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70.87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14.17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35.35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14.15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37.16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71.25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37.27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748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37.30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71.52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37.30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71.52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37.27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37.17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71.27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35.55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14.22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37.01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70.96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14.19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14.16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36.78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8.17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70.53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35.18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14.07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36.49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69.98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13.99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34.90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13.97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36.14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69.29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34.56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13.82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35.78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7.95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68.60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34.22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13.69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35.43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7.87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67.93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13.59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33.89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13.56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35.07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67.24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33.54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13.41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34.71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66.55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33.19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13.28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34.34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65.84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13.17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32.84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13.14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33.96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65.12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13.02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32.48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13.00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33.59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64.40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32.13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12.85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33.21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63.69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12.74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31.77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12.71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32.84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62.97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31.41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12.56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32.47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7.21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62.24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31.06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12.42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32.09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61.53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30.69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12.27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31.72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60.83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12.17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30.34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12.14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31.36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60.13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29.99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12.00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30.99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6.89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59.43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11.86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30.64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6.81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58.74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11.75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29.30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11.72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30.28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58.06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11.61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28.97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11.58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29.93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57.39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28.62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11.45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29.59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56.72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11.34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28.30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11.31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56.08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27.97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11.19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28.91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55.43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27.65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11.06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28.58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6.35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54.81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27.34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10.93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28.26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54.18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10.84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27.03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10.81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27.94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53.57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26.72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10.69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52.97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10.59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26.42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10.57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27.32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52.38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26.13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10.45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27.02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51.80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25.84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10.34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26.72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51.23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10.25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25.56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10.22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26.43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5.87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50.68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25.28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10.11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26.15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5.81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50.13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10.02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25.00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10.00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25.86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49.59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9.92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24.74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9.90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25.59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49.07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9.81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24.47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9.79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25.32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48.55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24.22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9.69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48.04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9.59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24.80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47.54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9.51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23.71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9.49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24.54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47.05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9.41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23.47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9.39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24.29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46.57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23.23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9.29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24.04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46.10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23.00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9.20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45.64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9.13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22.77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9.11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23.57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45.19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9.03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9.02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23.34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5.19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44.75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8.95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22.32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8.93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23.11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44.31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22.11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8.84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22.89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43.88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21.89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8.76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22.67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43.46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8.67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22.45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4.99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43.05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8.61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21.47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8.59</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22.24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4.94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42.65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8.53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21.27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8.51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4.90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42.25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21.07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8.43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21.83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41.86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8.37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20.88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8.35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21.63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41.48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20.69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8.27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21.44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41.10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8.22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20.50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8.20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21.24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40.74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8.15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20.32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8.13</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21.06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40.38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20.14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20.87</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40.01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8.00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7.98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20.69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39.66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7.93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19.79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7.91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20.51</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39.32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7.87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19.62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7.85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20.33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38.99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7.80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19.45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7.78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38.66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7.73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7.71</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19.99</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38.33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19.12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7.65</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19.82</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38.01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7.60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18.96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7.58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19.66</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37.70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7.54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18.80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7.52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37.38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7.48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18.65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7.46</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2425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19.34</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37.08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7.42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18.50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7.40</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2450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19.18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36.78</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7.35</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18.34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7.34</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2475</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19.03</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4.23</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36.49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7.30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18.20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7.28</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08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18.88</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36.20</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7.24</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18.06</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7.22</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93" w:hRule="atLeast"/>
        </w:trPr>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37.30</w:t>
            </w:r>
          </w:p>
        </w:tc>
        <w:tc>
          <w:tcPr>
            <w:tcW w:w="90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8.29</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71.52</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14.31</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35.67</w:t>
            </w:r>
          </w:p>
        </w:tc>
        <w:tc>
          <w:tcPr>
            <w:tcW w:w="901" w:type="dxa"/>
            <w:noWrap w:val="0"/>
            <w:vAlign w:val="center"/>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14.27</w:t>
            </w:r>
          </w:p>
        </w:tc>
        <w:tc>
          <w:tcPr>
            <w:tcW w:w="96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9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2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61" w:hRule="atLeast"/>
        </w:trPr>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下风向最大浓度出现距离</w:t>
            </w:r>
          </w:p>
        </w:tc>
        <w:tc>
          <w:tcPr>
            <w:tcW w:w="7316"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70" w:hRule="atLeast"/>
        </w:trPr>
        <w:tc>
          <w:tcPr>
            <w:tcW w:w="10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D10%最远距离</w:t>
            </w:r>
          </w:p>
        </w:tc>
        <w:tc>
          <w:tcPr>
            <w:tcW w:w="7316"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1750</w:t>
            </w:r>
          </w:p>
        </w:tc>
      </w:tr>
    </w:tbl>
    <w:p>
      <w:pPr>
        <w:topLinePunct/>
        <w:adjustRightInd w:val="0"/>
        <w:snapToGrid w:val="0"/>
        <w:spacing w:line="360" w:lineRule="auto"/>
        <w:ind w:firstLine="480" w:firstLineChars="200"/>
        <w:rPr>
          <w:rFonts w:hint="eastAsia" w:eastAsia="宋体"/>
          <w:color w:val="auto"/>
          <w:sz w:val="24"/>
          <w:highlight w:val="none"/>
          <w:lang w:val="en-US" w:eastAsia="zh-CN"/>
        </w:rPr>
      </w:pPr>
      <w:r>
        <w:rPr>
          <w:color w:val="auto"/>
          <w:sz w:val="24"/>
          <w:highlight w:val="none"/>
        </w:rPr>
        <w:t>非正常工况下，</w:t>
      </w:r>
      <w:r>
        <w:rPr>
          <w:rFonts w:hint="eastAsia"/>
          <w:color w:val="auto"/>
          <w:sz w:val="24"/>
          <w:highlight w:val="none"/>
        </w:rPr>
        <w:t>锅炉烟气的</w:t>
      </w:r>
      <w:r>
        <w:rPr>
          <w:rFonts w:hint="eastAsia"/>
          <w:color w:val="auto"/>
          <w:sz w:val="24"/>
          <w:highlight w:val="none"/>
          <w:lang w:eastAsia="zh-CN"/>
        </w:rPr>
        <w:t>“</w:t>
      </w:r>
      <w:r>
        <w:rPr>
          <w:rFonts w:hint="eastAsia"/>
          <w:color w:val="auto"/>
          <w:sz w:val="24"/>
          <w:highlight w:val="none"/>
        </w:rPr>
        <w:t>SNCR脱硝+布袋除尘+</w:t>
      </w:r>
      <w:r>
        <w:rPr>
          <w:rFonts w:hint="eastAsia"/>
          <w:color w:val="00B050"/>
          <w:sz w:val="24"/>
          <w:highlight w:val="none"/>
          <w:lang w:eastAsia="zh-CN"/>
        </w:rPr>
        <w:t>石灰石膏法</w:t>
      </w:r>
      <w:r>
        <w:rPr>
          <w:rFonts w:hint="eastAsia"/>
          <w:color w:val="auto"/>
          <w:sz w:val="24"/>
          <w:highlight w:val="none"/>
        </w:rPr>
        <w:t>脱硫</w:t>
      </w:r>
      <w:r>
        <w:rPr>
          <w:color w:val="auto"/>
          <w:sz w:val="24"/>
          <w:highlight w:val="none"/>
        </w:rPr>
        <w:t>”</w:t>
      </w:r>
      <w:r>
        <w:rPr>
          <w:rFonts w:hint="eastAsia"/>
          <w:color w:val="auto"/>
          <w:sz w:val="24"/>
          <w:highlight w:val="none"/>
        </w:rPr>
        <w:t>环保治理设施</w:t>
      </w:r>
      <w:r>
        <w:rPr>
          <w:rFonts w:hint="eastAsia"/>
          <w:color w:val="auto"/>
          <w:sz w:val="24"/>
          <w:highlight w:val="none"/>
          <w:lang w:eastAsia="zh-CN"/>
        </w:rPr>
        <w:t>效率下降</w:t>
      </w:r>
      <w:r>
        <w:rPr>
          <w:rFonts w:hint="eastAsia"/>
          <w:color w:val="auto"/>
          <w:sz w:val="24"/>
          <w:highlight w:val="none"/>
        </w:rPr>
        <w:t>，</w:t>
      </w:r>
      <w:r>
        <w:rPr>
          <w:color w:val="auto"/>
          <w:sz w:val="24"/>
          <w:highlight w:val="none"/>
        </w:rPr>
        <w:t>将引起</w:t>
      </w:r>
      <w:r>
        <w:rPr>
          <w:rFonts w:hint="eastAsia"/>
          <w:color w:val="auto"/>
          <w:sz w:val="24"/>
          <w:highlight w:val="none"/>
        </w:rPr>
        <w:t>颗粒物、二氧化硫、氮氧化物</w:t>
      </w:r>
      <w:r>
        <w:rPr>
          <w:rFonts w:hint="eastAsia"/>
          <w:color w:val="auto"/>
          <w:sz w:val="24"/>
          <w:highlight w:val="none"/>
          <w:lang w:eastAsia="zh-CN"/>
        </w:rPr>
        <w:t>、</w:t>
      </w:r>
      <w:r>
        <w:rPr>
          <w:rFonts w:hint="eastAsia"/>
          <w:color w:val="auto"/>
          <w:sz w:val="24"/>
          <w:highlight w:val="none"/>
        </w:rPr>
        <w:t>汞及其化合物</w:t>
      </w:r>
      <w:r>
        <w:rPr>
          <w:rFonts w:hint="eastAsia"/>
          <w:color w:val="auto"/>
          <w:sz w:val="24"/>
          <w:highlight w:val="none"/>
          <w:lang w:eastAsia="zh-CN"/>
        </w:rPr>
        <w:t>异常</w:t>
      </w:r>
      <w:r>
        <w:rPr>
          <w:color w:val="auto"/>
          <w:sz w:val="24"/>
          <w:highlight w:val="none"/>
        </w:rPr>
        <w:t>排</w:t>
      </w:r>
      <w:r>
        <w:rPr>
          <w:rFonts w:hint="eastAsia"/>
          <w:color w:val="auto"/>
          <w:sz w:val="24"/>
          <w:highlight w:val="none"/>
          <w:lang w:eastAsia="zh-CN"/>
        </w:rPr>
        <w:t>放。</w:t>
      </w:r>
    </w:p>
    <w:p>
      <w:pPr>
        <w:pStyle w:val="6"/>
        <w:keepNext w:val="0"/>
        <w:keepLines w:val="0"/>
        <w:pageBreakBefore w:val="0"/>
        <w:widowControl w:val="0"/>
        <w:kinsoku/>
        <w:wordWrap/>
        <w:overflowPunct/>
        <w:topLinePunct w:val="0"/>
        <w:autoSpaceDE w:val="0"/>
        <w:autoSpaceDN w:val="0"/>
        <w:bidi w:val="0"/>
        <w:adjustRightInd w:val="0"/>
        <w:snapToGrid w:val="0"/>
        <w:ind w:left="0" w:firstLine="542" w:firstLineChars="200"/>
        <w:textAlignment w:val="auto"/>
        <w:rPr>
          <w:rFonts w:ascii="Times New Roman" w:hAnsi="Times New Roman"/>
          <w:snapToGrid w:val="0"/>
          <w:color w:val="auto"/>
          <w:kern w:val="0"/>
          <w:sz w:val="28"/>
          <w:szCs w:val="28"/>
          <w:highlight w:val="none"/>
        </w:rPr>
      </w:pPr>
      <w:r>
        <w:rPr>
          <w:rFonts w:hint="eastAsia" w:ascii="Times New Roman" w:hAnsi="Times New Roman"/>
          <w:color w:val="auto"/>
          <w:spacing w:val="-5"/>
          <w:sz w:val="28"/>
          <w:szCs w:val="28"/>
          <w:highlight w:val="none"/>
          <w:lang w:val="en-US" w:eastAsia="zh-CN"/>
        </w:rPr>
        <w:t>5.2.5</w:t>
      </w:r>
      <w:r>
        <w:rPr>
          <w:rFonts w:ascii="Times New Roman" w:hAnsi="Times New Roman"/>
          <w:color w:val="auto"/>
          <w:spacing w:val="-5"/>
          <w:sz w:val="28"/>
          <w:szCs w:val="28"/>
          <w:highlight w:val="none"/>
        </w:rPr>
        <w:t>大气环境防护距离</w:t>
      </w:r>
    </w:p>
    <w:p>
      <w:pPr>
        <w:spacing w:line="360" w:lineRule="auto"/>
        <w:ind w:left="113" w:right="102" w:firstLine="482"/>
        <w:rPr>
          <w:color w:val="auto"/>
          <w:sz w:val="24"/>
          <w:szCs w:val="28"/>
          <w:highlight w:val="none"/>
        </w:rPr>
      </w:pPr>
      <w:r>
        <w:rPr>
          <w:color w:val="auto"/>
          <w:sz w:val="24"/>
          <w:szCs w:val="28"/>
          <w:highlight w:val="none"/>
        </w:rPr>
        <w:t>根据《环境影响评价技术导则大气环境》（HJ2.2-2018），大气环境影响评价等级为二级的项目预测厂界外无超标点，因此，本项目无需计算大气环境防护距离。</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5.2.6</w:t>
      </w:r>
      <w:r>
        <w:rPr>
          <w:rFonts w:hint="default" w:ascii="Times New Roman" w:hAnsi="Times New Roman" w:eastAsia="宋体" w:cs="Times New Roman"/>
          <w:color w:val="auto"/>
          <w:highlight w:val="none"/>
        </w:rPr>
        <w:t>大气环境影响分析</w:t>
      </w:r>
    </w:p>
    <w:p>
      <w:pPr>
        <w:widowControl/>
        <w:kinsoku w:val="0"/>
        <w:autoSpaceDE w:val="0"/>
        <w:autoSpaceDN w:val="0"/>
        <w:spacing w:line="360" w:lineRule="auto"/>
        <w:ind w:right="108" w:firstLine="468" w:firstLineChars="200"/>
        <w:textAlignment w:val="baseline"/>
        <w:rPr>
          <w:color w:val="auto"/>
          <w:spacing w:val="-3"/>
          <w:sz w:val="24"/>
          <w:szCs w:val="24"/>
          <w:highlight w:val="none"/>
        </w:rPr>
      </w:pPr>
      <w:r>
        <w:rPr>
          <w:color w:val="auto"/>
          <w:spacing w:val="-3"/>
          <w:sz w:val="24"/>
          <w:szCs w:val="24"/>
          <w:highlight w:val="none"/>
        </w:rPr>
        <w:t>（1）建设工程完成后，环保设施在正常生产条件下，PM</w:t>
      </w:r>
      <w:r>
        <w:rPr>
          <w:color w:val="auto"/>
          <w:spacing w:val="-3"/>
          <w:sz w:val="24"/>
          <w:szCs w:val="24"/>
          <w:highlight w:val="none"/>
          <w:vertAlign w:val="subscript"/>
        </w:rPr>
        <w:t>10</w:t>
      </w:r>
      <w:r>
        <w:rPr>
          <w:color w:val="auto"/>
          <w:spacing w:val="-3"/>
          <w:sz w:val="24"/>
          <w:szCs w:val="24"/>
          <w:highlight w:val="none"/>
        </w:rPr>
        <w:t>、SO</w:t>
      </w:r>
      <w:r>
        <w:rPr>
          <w:color w:val="auto"/>
          <w:spacing w:val="-3"/>
          <w:sz w:val="24"/>
          <w:szCs w:val="24"/>
          <w:highlight w:val="none"/>
          <w:vertAlign w:val="subscript"/>
        </w:rPr>
        <w:t>2</w:t>
      </w:r>
      <w:r>
        <w:rPr>
          <w:color w:val="auto"/>
          <w:spacing w:val="-3"/>
          <w:sz w:val="24"/>
          <w:szCs w:val="24"/>
          <w:highlight w:val="none"/>
        </w:rPr>
        <w:t>、NO</w:t>
      </w:r>
      <w:r>
        <w:rPr>
          <w:rFonts w:hint="eastAsia"/>
          <w:color w:val="auto"/>
          <w:spacing w:val="-3"/>
          <w:sz w:val="24"/>
          <w:szCs w:val="24"/>
          <w:highlight w:val="none"/>
          <w:vertAlign w:val="subscript"/>
          <w:lang w:val="en-US" w:eastAsia="zh-CN"/>
        </w:rPr>
        <w:t>2</w:t>
      </w:r>
      <w:r>
        <w:rPr>
          <w:color w:val="auto"/>
          <w:spacing w:val="-3"/>
          <w:sz w:val="24"/>
          <w:szCs w:val="24"/>
          <w:highlight w:val="none"/>
        </w:rPr>
        <w:t>和</w:t>
      </w:r>
      <w:r>
        <w:rPr>
          <w:rFonts w:hint="eastAsia"/>
          <w:color w:val="auto"/>
          <w:spacing w:val="-3"/>
          <w:sz w:val="24"/>
          <w:szCs w:val="24"/>
          <w:highlight w:val="none"/>
          <w:lang w:val="en-US" w:eastAsia="zh-CN"/>
        </w:rPr>
        <w:t>Hg</w:t>
      </w:r>
      <w:r>
        <w:rPr>
          <w:color w:val="auto"/>
          <w:spacing w:val="-3"/>
          <w:sz w:val="24"/>
          <w:szCs w:val="24"/>
          <w:highlight w:val="none"/>
        </w:rPr>
        <w:t>污染物最大落地浓度均满足《环境空气质量标准》（GB3095-1996）中二级标准浓度限值要求。</w:t>
      </w:r>
    </w:p>
    <w:p>
      <w:pPr>
        <w:widowControl/>
        <w:kinsoku w:val="0"/>
        <w:autoSpaceDE w:val="0"/>
        <w:autoSpaceDN w:val="0"/>
        <w:spacing w:line="360" w:lineRule="auto"/>
        <w:ind w:right="108" w:firstLine="468" w:firstLineChars="200"/>
        <w:textAlignment w:val="baseline"/>
        <w:rPr>
          <w:color w:val="auto"/>
          <w:spacing w:val="-3"/>
          <w:sz w:val="24"/>
          <w:szCs w:val="24"/>
          <w:highlight w:val="none"/>
        </w:rPr>
      </w:pPr>
      <w:r>
        <w:rPr>
          <w:color w:val="auto"/>
          <w:spacing w:val="-3"/>
          <w:sz w:val="24"/>
          <w:szCs w:val="24"/>
          <w:highlight w:val="none"/>
        </w:rPr>
        <w:t>（2）若发生非正常工况或事故排放，厂址周围环境会产生一定影响，造成项目周围环境空气的局部恶化。</w:t>
      </w:r>
    </w:p>
    <w:p>
      <w:pPr>
        <w:widowControl/>
        <w:kinsoku w:val="0"/>
        <w:autoSpaceDE w:val="0"/>
        <w:autoSpaceDN w:val="0"/>
        <w:spacing w:line="360" w:lineRule="auto"/>
        <w:ind w:right="108" w:firstLine="468" w:firstLineChars="200"/>
        <w:textAlignment w:val="baseline"/>
        <w:rPr>
          <w:color w:val="auto"/>
          <w:spacing w:val="-3"/>
          <w:sz w:val="24"/>
          <w:szCs w:val="24"/>
          <w:highlight w:val="none"/>
        </w:rPr>
      </w:pPr>
      <w:r>
        <w:rPr>
          <w:color w:val="auto"/>
          <w:spacing w:val="-3"/>
          <w:sz w:val="24"/>
          <w:szCs w:val="24"/>
          <w:highlight w:val="none"/>
        </w:rPr>
        <w:t>（3）建议建设单位要加强管理，增强职工的环保意识，严格操作规程，对生产设备进行定期检修，发现隐患及时处理，杜绝盲目生产造成事故排放时，对环境产生的不良影响。</w:t>
      </w:r>
    </w:p>
    <w:p>
      <w:pPr>
        <w:spacing w:line="360" w:lineRule="auto"/>
        <w:ind w:firstLine="480" w:firstLineChars="200"/>
        <w:rPr>
          <w:rFonts w:hint="eastAsia"/>
          <w:snapToGrid w:val="0"/>
          <w:color w:val="auto"/>
          <w:kern w:val="0"/>
          <w:sz w:val="24"/>
          <w:highlight w:val="none"/>
        </w:rPr>
      </w:pPr>
      <w:bookmarkStart w:id="191" w:name="_Toc433225683"/>
      <w:r>
        <w:rPr>
          <w:rFonts w:hint="eastAsia"/>
          <w:snapToGrid w:val="0"/>
          <w:color w:val="auto"/>
          <w:kern w:val="0"/>
          <w:sz w:val="24"/>
          <w:highlight w:val="none"/>
        </w:rPr>
        <w:t>建设项目大气环境影响评价自查表见表</w:t>
      </w:r>
      <w:r>
        <w:rPr>
          <w:snapToGrid w:val="0"/>
          <w:color w:val="auto"/>
          <w:kern w:val="0"/>
          <w:sz w:val="24"/>
          <w:highlight w:val="none"/>
        </w:rPr>
        <w:t>5.2-</w:t>
      </w:r>
      <w:r>
        <w:rPr>
          <w:rFonts w:hint="eastAsia"/>
          <w:snapToGrid w:val="0"/>
          <w:color w:val="auto"/>
          <w:kern w:val="0"/>
          <w:sz w:val="24"/>
          <w:highlight w:val="none"/>
        </w:rPr>
        <w:t>1</w:t>
      </w:r>
      <w:r>
        <w:rPr>
          <w:rFonts w:hint="eastAsia"/>
          <w:snapToGrid w:val="0"/>
          <w:color w:val="auto"/>
          <w:kern w:val="0"/>
          <w:sz w:val="24"/>
          <w:highlight w:val="none"/>
          <w:lang w:val="en-US" w:eastAsia="zh-CN"/>
        </w:rPr>
        <w:t>1</w:t>
      </w:r>
      <w:r>
        <w:rPr>
          <w:rFonts w:hint="eastAsia"/>
          <w:snapToGrid w:val="0"/>
          <w:color w:val="auto"/>
          <w:kern w:val="0"/>
          <w:sz w:val="24"/>
          <w:highlight w:val="none"/>
        </w:rPr>
        <w:t>。</w:t>
      </w:r>
    </w:p>
    <w:p>
      <w:pPr>
        <w:spacing w:before="156" w:beforeLines="50" w:line="240" w:lineRule="auto"/>
        <w:ind w:firstLine="422" w:firstLineChars="200"/>
        <w:jc w:val="center"/>
        <w:rPr>
          <w:rFonts w:hint="eastAsia"/>
          <w:b/>
          <w:snapToGrid w:val="0"/>
          <w:color w:val="auto"/>
          <w:kern w:val="0"/>
          <w:sz w:val="21"/>
          <w:szCs w:val="18"/>
          <w:highlight w:val="none"/>
        </w:rPr>
      </w:pPr>
      <w:r>
        <w:rPr>
          <w:rFonts w:hint="eastAsia"/>
          <w:b/>
          <w:snapToGrid w:val="0"/>
          <w:color w:val="auto"/>
          <w:kern w:val="0"/>
          <w:sz w:val="21"/>
          <w:szCs w:val="18"/>
          <w:highlight w:val="none"/>
        </w:rPr>
        <w:t>表5.2-1</w:t>
      </w:r>
      <w:r>
        <w:rPr>
          <w:rFonts w:hint="eastAsia"/>
          <w:b/>
          <w:snapToGrid w:val="0"/>
          <w:color w:val="auto"/>
          <w:kern w:val="0"/>
          <w:sz w:val="21"/>
          <w:szCs w:val="18"/>
          <w:highlight w:val="none"/>
          <w:lang w:val="en-US" w:eastAsia="zh-CN"/>
        </w:rPr>
        <w:t>1</w:t>
      </w:r>
      <w:r>
        <w:rPr>
          <w:rFonts w:hint="eastAsia"/>
          <w:b/>
          <w:snapToGrid w:val="0"/>
          <w:color w:val="auto"/>
          <w:kern w:val="0"/>
          <w:sz w:val="21"/>
          <w:szCs w:val="18"/>
          <w:highlight w:val="none"/>
        </w:rPr>
        <w:t xml:space="preserve">      建设项目大气环境影响评价自查表</w:t>
      </w:r>
    </w:p>
    <w:bookmarkEnd w:id="191"/>
    <w:tbl>
      <w:tblPr>
        <w:tblStyle w:val="31"/>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
        <w:gridCol w:w="1376"/>
        <w:gridCol w:w="1331"/>
        <w:gridCol w:w="783"/>
        <w:gridCol w:w="552"/>
        <w:gridCol w:w="300"/>
        <w:gridCol w:w="175"/>
        <w:gridCol w:w="950"/>
        <w:gridCol w:w="292"/>
        <w:gridCol w:w="1308"/>
        <w:gridCol w:w="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28"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工作内容</w:t>
            </w:r>
          </w:p>
        </w:tc>
        <w:tc>
          <w:tcPr>
            <w:tcW w:w="6180" w:type="dxa"/>
            <w:gridSpan w:val="9"/>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评价等级与范围</w:t>
            </w: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评价等级</w:t>
            </w:r>
          </w:p>
        </w:tc>
        <w:tc>
          <w:tcPr>
            <w:tcW w:w="211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一级</w:t>
            </w:r>
            <w:r>
              <w:rPr>
                <w:color w:val="auto"/>
                <w:sz w:val="21"/>
                <w:szCs w:val="21"/>
                <w:highlight w:val="none"/>
              </w:rPr>
              <w:sym w:font="Wingdings" w:char="00A8"/>
            </w:r>
          </w:p>
        </w:tc>
        <w:tc>
          <w:tcPr>
            <w:tcW w:w="2269"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二级</w:t>
            </w:r>
            <w:r>
              <w:rPr>
                <w:color w:val="auto"/>
                <w:sz w:val="21"/>
                <w:szCs w:val="21"/>
                <w:highlight w:val="none"/>
              </w:rPr>
              <w:sym w:font="Wingdings" w:char="00FE"/>
            </w:r>
          </w:p>
        </w:tc>
        <w:tc>
          <w:tcPr>
            <w:tcW w:w="1797"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三级</w:t>
            </w:r>
            <w:r>
              <w:rPr>
                <w:rFonts w:hint="eastAsia" w:cs="Times New Roman"/>
                <w:snapToGrid w:val="0"/>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宋体" w:cs="Times New Roman"/>
                <w:snapToGrid w:val="0"/>
                <w:color w:val="auto"/>
                <w:kern w:val="0"/>
                <w:sz w:val="21"/>
                <w:szCs w:val="21"/>
                <w:highlight w:val="none"/>
              </w:rPr>
            </w:pP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评价范围</w:t>
            </w:r>
          </w:p>
        </w:tc>
        <w:tc>
          <w:tcPr>
            <w:tcW w:w="211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边长=50km</w:t>
            </w:r>
            <w:r>
              <w:rPr>
                <w:color w:val="auto"/>
                <w:sz w:val="21"/>
                <w:szCs w:val="21"/>
                <w:highlight w:val="none"/>
              </w:rPr>
              <w:sym w:font="Wingdings" w:char="00A8"/>
            </w:r>
          </w:p>
        </w:tc>
        <w:tc>
          <w:tcPr>
            <w:tcW w:w="2269"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边长5～50km</w:t>
            </w:r>
            <w:r>
              <w:rPr>
                <w:color w:val="auto"/>
                <w:sz w:val="21"/>
                <w:szCs w:val="21"/>
                <w:highlight w:val="none"/>
              </w:rPr>
              <w:sym w:font="Wingdings" w:char="00A8"/>
            </w:r>
          </w:p>
        </w:tc>
        <w:tc>
          <w:tcPr>
            <w:tcW w:w="1797"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边长=5 km</w:t>
            </w:r>
            <w:r>
              <w:rPr>
                <w:color w:val="auto"/>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评价因子</w:t>
            </w: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 xml:space="preserve">2 </w:t>
            </w:r>
            <w:r>
              <w:rPr>
                <w:rFonts w:hint="default" w:ascii="Times New Roman" w:hAnsi="Times New Roman" w:eastAsia="宋体" w:cs="Times New Roman"/>
                <w:snapToGrid w:val="0"/>
                <w:color w:val="auto"/>
                <w:kern w:val="0"/>
                <w:sz w:val="21"/>
                <w:szCs w:val="21"/>
                <w:highlight w:val="none"/>
              </w:rPr>
              <w:t>+NO</w:t>
            </w:r>
            <w:r>
              <w:rPr>
                <w:rFonts w:hint="default" w:ascii="Times New Roman" w:hAnsi="Times New Roman" w:eastAsia="宋体" w:cs="Times New Roman"/>
                <w:i/>
                <w:snapToGrid w:val="0"/>
                <w:color w:val="auto"/>
                <w:kern w:val="0"/>
                <w:sz w:val="21"/>
                <w:szCs w:val="21"/>
                <w:highlight w:val="none"/>
                <w:vertAlign w:val="subscript"/>
              </w:rPr>
              <w:t>x</w:t>
            </w:r>
            <w:r>
              <w:rPr>
                <w:rFonts w:hint="default" w:ascii="Times New Roman" w:hAnsi="Times New Roman" w:eastAsia="宋体" w:cs="Times New Roman"/>
                <w:snapToGrid w:val="0"/>
                <w:color w:val="auto"/>
                <w:kern w:val="0"/>
                <w:sz w:val="21"/>
                <w:szCs w:val="21"/>
                <w:highlight w:val="none"/>
              </w:rPr>
              <w:t>排放量</w:t>
            </w:r>
          </w:p>
        </w:tc>
        <w:tc>
          <w:tcPr>
            <w:tcW w:w="211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 2000t/a</w:t>
            </w:r>
            <w:r>
              <w:rPr>
                <w:color w:val="auto"/>
                <w:sz w:val="21"/>
                <w:szCs w:val="21"/>
                <w:highlight w:val="none"/>
              </w:rPr>
              <w:sym w:font="Wingdings" w:char="00A8"/>
            </w:r>
          </w:p>
        </w:tc>
        <w:tc>
          <w:tcPr>
            <w:tcW w:w="2269"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500~ 2000t/a</w:t>
            </w:r>
            <w:r>
              <w:rPr>
                <w:color w:val="auto"/>
                <w:sz w:val="21"/>
                <w:szCs w:val="21"/>
                <w:highlight w:val="none"/>
              </w:rPr>
              <w:sym w:font="Wingdings" w:char="00A8"/>
            </w:r>
          </w:p>
        </w:tc>
        <w:tc>
          <w:tcPr>
            <w:tcW w:w="1797"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＜500 t/a</w:t>
            </w:r>
            <w:r>
              <w:rPr>
                <w:color w:val="auto"/>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宋体" w:cs="Times New Roman"/>
                <w:snapToGrid w:val="0"/>
                <w:color w:val="auto"/>
                <w:kern w:val="0"/>
                <w:sz w:val="21"/>
                <w:szCs w:val="21"/>
                <w:highlight w:val="none"/>
              </w:rPr>
            </w:pP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评价因子</w:t>
            </w:r>
          </w:p>
        </w:tc>
        <w:tc>
          <w:tcPr>
            <w:tcW w:w="3141"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基本污染物（</w:t>
            </w:r>
            <w:r>
              <w:rPr>
                <w:rFonts w:hint="default" w:ascii="Times New Roman" w:hAnsi="Times New Roman" w:eastAsia="宋体" w:cs="Times New Roman"/>
                <w:bCs/>
                <w:color w:val="auto"/>
                <w:kern w:val="0"/>
                <w:sz w:val="21"/>
                <w:szCs w:val="21"/>
                <w:highlight w:val="none"/>
              </w:rPr>
              <w:t>PM</w:t>
            </w:r>
            <w:r>
              <w:rPr>
                <w:rFonts w:hint="default" w:ascii="Times New Roman" w:hAnsi="Times New Roman" w:eastAsia="宋体" w:cs="Times New Roman"/>
                <w:bCs/>
                <w:color w:val="auto"/>
                <w:kern w:val="0"/>
                <w:sz w:val="21"/>
                <w:szCs w:val="21"/>
                <w:highlight w:val="none"/>
                <w:vertAlign w:val="subscript"/>
              </w:rPr>
              <w:t>10</w:t>
            </w:r>
            <w:r>
              <w:rPr>
                <w:rFonts w:hint="default" w:ascii="Times New Roman" w:hAnsi="Times New Roman" w:eastAsia="宋体" w:cs="Times New Roman"/>
                <w:bCs/>
                <w:color w:val="auto"/>
                <w:kern w:val="0"/>
                <w:sz w:val="21"/>
                <w:szCs w:val="21"/>
                <w:highlight w:val="none"/>
              </w:rPr>
              <w:t>、SO</w:t>
            </w:r>
            <w:r>
              <w:rPr>
                <w:rFonts w:hint="default" w:ascii="Times New Roman" w:hAnsi="Times New Roman" w:eastAsia="宋体" w:cs="Times New Roman"/>
                <w:bCs/>
                <w:color w:val="auto"/>
                <w:kern w:val="0"/>
                <w:sz w:val="21"/>
                <w:szCs w:val="21"/>
                <w:highlight w:val="none"/>
                <w:vertAlign w:val="subscript"/>
              </w:rPr>
              <w:t>2</w:t>
            </w:r>
            <w:r>
              <w:rPr>
                <w:rFonts w:hint="default" w:ascii="Times New Roman" w:hAnsi="Times New Roman" w:eastAsia="宋体" w:cs="Times New Roman"/>
                <w:bCs/>
                <w:color w:val="auto"/>
                <w:kern w:val="0"/>
                <w:sz w:val="21"/>
                <w:szCs w:val="21"/>
                <w:highlight w:val="none"/>
              </w:rPr>
              <w:t>、NO</w:t>
            </w:r>
            <w:r>
              <w:rPr>
                <w:rFonts w:hint="default" w:ascii="Times New Roman" w:hAnsi="Times New Roman" w:eastAsia="宋体" w:cs="Times New Roman"/>
                <w:bCs/>
                <w:color w:val="auto"/>
                <w:kern w:val="0"/>
                <w:sz w:val="21"/>
                <w:szCs w:val="21"/>
                <w:highlight w:val="none"/>
                <w:vertAlign w:val="subscript"/>
              </w:rPr>
              <w:t>2</w:t>
            </w:r>
            <w:r>
              <w:rPr>
                <w:rFonts w:hint="default" w:ascii="Times New Roman" w:hAnsi="Times New Roman" w:eastAsia="宋体" w:cs="Times New Roman"/>
                <w:bCs/>
                <w:color w:val="auto"/>
                <w:kern w:val="0"/>
                <w:sz w:val="21"/>
                <w:szCs w:val="21"/>
                <w:highlight w:val="none"/>
              </w:rPr>
              <w:t>、PM</w:t>
            </w:r>
            <w:r>
              <w:rPr>
                <w:rFonts w:hint="default" w:ascii="Times New Roman" w:hAnsi="Times New Roman" w:eastAsia="宋体" w:cs="Times New Roman"/>
                <w:bCs/>
                <w:color w:val="auto"/>
                <w:kern w:val="0"/>
                <w:sz w:val="21"/>
                <w:szCs w:val="21"/>
                <w:highlight w:val="none"/>
                <w:vertAlign w:val="subscript"/>
              </w:rPr>
              <w:t>2.5</w:t>
            </w:r>
            <w:r>
              <w:rPr>
                <w:rFonts w:hint="default" w:ascii="Times New Roman" w:hAnsi="Times New Roman" w:eastAsia="宋体" w:cs="Times New Roman"/>
                <w:bCs/>
                <w:color w:val="auto"/>
                <w:kern w:val="0"/>
                <w:sz w:val="21"/>
                <w:szCs w:val="21"/>
                <w:highlight w:val="none"/>
              </w:rPr>
              <w:t>、CO、O</w:t>
            </w:r>
            <w:r>
              <w:rPr>
                <w:rFonts w:hint="default" w:ascii="Times New Roman" w:hAnsi="Times New Roman" w:eastAsia="宋体" w:cs="Times New Roman"/>
                <w:bCs/>
                <w:color w:val="auto"/>
                <w:kern w:val="0"/>
                <w:sz w:val="21"/>
                <w:szCs w:val="21"/>
                <w:highlight w:val="none"/>
                <w:vertAlign w:val="subscript"/>
              </w:rPr>
              <w:t>3</w:t>
            </w:r>
            <w:r>
              <w:rPr>
                <w:rFonts w:hint="default" w:ascii="Times New Roman" w:hAnsi="Times New Roman" w:eastAsia="宋体" w:cs="Times New Roman"/>
                <w:snapToGrid w:val="0"/>
                <w:color w:val="auto"/>
                <w:kern w:val="0"/>
                <w:sz w:val="21"/>
                <w:szCs w:val="21"/>
                <w:highlight w:val="none"/>
              </w:rPr>
              <w:t>）</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其他污染物（TSP、</w:t>
            </w:r>
            <w:r>
              <w:rPr>
                <w:rFonts w:hint="eastAsia" w:cs="Times New Roman"/>
                <w:snapToGrid w:val="0"/>
                <w:color w:val="auto"/>
                <w:kern w:val="0"/>
                <w:sz w:val="21"/>
                <w:szCs w:val="21"/>
                <w:highlight w:val="none"/>
                <w:lang w:val="en-US" w:eastAsia="zh-CN"/>
              </w:rPr>
              <w:t>Hg</w:t>
            </w:r>
            <w:r>
              <w:rPr>
                <w:rFonts w:hint="default" w:ascii="Times New Roman" w:hAnsi="Times New Roman" w:eastAsia="宋体" w:cs="Times New Roman"/>
                <w:snapToGrid w:val="0"/>
                <w:color w:val="auto"/>
                <w:kern w:val="0"/>
                <w:sz w:val="21"/>
                <w:szCs w:val="21"/>
                <w:highlight w:val="none"/>
              </w:rPr>
              <w:t>）</w:t>
            </w:r>
          </w:p>
        </w:tc>
        <w:tc>
          <w:tcPr>
            <w:tcW w:w="3039" w:type="dxa"/>
            <w:gridSpan w:val="4"/>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包括二次PM</w:t>
            </w:r>
            <w:r>
              <w:rPr>
                <w:rFonts w:hint="default" w:ascii="Times New Roman" w:hAnsi="Times New Roman" w:eastAsia="宋体" w:cs="Times New Roman"/>
                <w:snapToGrid w:val="0"/>
                <w:color w:val="auto"/>
                <w:kern w:val="0"/>
                <w:sz w:val="21"/>
                <w:szCs w:val="21"/>
                <w:highlight w:val="none"/>
                <w:vertAlign w:val="subscript"/>
              </w:rPr>
              <w:t>2.5</w:t>
            </w:r>
            <w:r>
              <w:rPr>
                <w:color w:val="auto"/>
                <w:sz w:val="21"/>
                <w:szCs w:val="21"/>
                <w:highlight w:val="none"/>
              </w:rPr>
              <w:sym w:font="Wingdings" w:char="00A8"/>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不包括二次PM</w:t>
            </w:r>
            <w:r>
              <w:rPr>
                <w:rFonts w:hint="default" w:ascii="Times New Roman" w:hAnsi="Times New Roman" w:eastAsia="宋体" w:cs="Times New Roman"/>
                <w:snapToGrid w:val="0"/>
                <w:color w:val="auto"/>
                <w:kern w:val="0"/>
                <w:sz w:val="21"/>
                <w:szCs w:val="21"/>
                <w:highlight w:val="none"/>
                <w:vertAlign w:val="subscript"/>
              </w:rPr>
              <w:t>2.5</w:t>
            </w:r>
            <w:r>
              <w:rPr>
                <w:color w:val="auto"/>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评价标准</w:t>
            </w: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评价标准</w:t>
            </w:r>
          </w:p>
        </w:tc>
        <w:tc>
          <w:tcPr>
            <w:tcW w:w="133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国家标准</w:t>
            </w:r>
            <w:r>
              <w:rPr>
                <w:color w:val="auto"/>
                <w:sz w:val="21"/>
                <w:szCs w:val="21"/>
                <w:highlight w:val="none"/>
              </w:rPr>
              <w:sym w:font="Wingdings" w:char="00FE"/>
            </w:r>
          </w:p>
        </w:tc>
        <w:tc>
          <w:tcPr>
            <w:tcW w:w="1810" w:type="dxa"/>
            <w:gridSpan w:val="4"/>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地方标准</w:t>
            </w:r>
            <w:r>
              <w:rPr>
                <w:color w:val="auto"/>
                <w:sz w:val="21"/>
                <w:szCs w:val="21"/>
                <w:highlight w:val="none"/>
              </w:rPr>
              <w:sym w:font="Wingdings" w:char="00A8"/>
            </w:r>
          </w:p>
        </w:tc>
        <w:tc>
          <w:tcPr>
            <w:tcW w:w="95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附录D</w:t>
            </w:r>
            <w:r>
              <w:rPr>
                <w:color w:val="auto"/>
                <w:sz w:val="21"/>
                <w:szCs w:val="21"/>
                <w:highlight w:val="none"/>
              </w:rPr>
              <w:sym w:font="Wingdings" w:char="00A8"/>
            </w:r>
          </w:p>
        </w:tc>
        <w:tc>
          <w:tcPr>
            <w:tcW w:w="2089" w:type="dxa"/>
            <w:gridSpan w:val="3"/>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其他标准</w:t>
            </w:r>
            <w:r>
              <w:rPr>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现状评价</w:t>
            </w: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环境功能区</w:t>
            </w:r>
          </w:p>
        </w:tc>
        <w:tc>
          <w:tcPr>
            <w:tcW w:w="211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一类区</w:t>
            </w:r>
            <w:r>
              <w:rPr>
                <w:color w:val="auto"/>
                <w:sz w:val="21"/>
                <w:szCs w:val="21"/>
                <w:highlight w:val="none"/>
              </w:rPr>
              <w:sym w:font="Wingdings" w:char="00A8"/>
            </w:r>
          </w:p>
        </w:tc>
        <w:tc>
          <w:tcPr>
            <w:tcW w:w="2269"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二类区</w:t>
            </w:r>
            <w:r>
              <w:rPr>
                <w:color w:val="auto"/>
                <w:sz w:val="21"/>
                <w:szCs w:val="21"/>
                <w:highlight w:val="none"/>
              </w:rPr>
              <w:sym w:font="Wingdings" w:char="00FE"/>
            </w:r>
          </w:p>
        </w:tc>
        <w:tc>
          <w:tcPr>
            <w:tcW w:w="1797"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一类区和二类区</w:t>
            </w:r>
            <w:r>
              <w:rPr>
                <w:rFonts w:hint="eastAsia" w:cs="Times New Roman"/>
                <w:snapToGrid w:val="0"/>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宋体" w:cs="Times New Roman"/>
                <w:snapToGrid w:val="0"/>
                <w:color w:val="auto"/>
                <w:kern w:val="0"/>
                <w:sz w:val="21"/>
                <w:szCs w:val="21"/>
                <w:highlight w:val="none"/>
              </w:rPr>
            </w:pP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评价基准年</w:t>
            </w:r>
          </w:p>
        </w:tc>
        <w:tc>
          <w:tcPr>
            <w:tcW w:w="6180" w:type="dxa"/>
            <w:gridSpan w:val="9"/>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（202</w:t>
            </w:r>
            <w:r>
              <w:rPr>
                <w:rFonts w:hint="default" w:ascii="Times New Roman" w:hAnsi="Times New Roman" w:eastAsia="宋体"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宋体" w:cs="Times New Roman"/>
                <w:snapToGrid w:val="0"/>
                <w:color w:val="auto"/>
                <w:kern w:val="0"/>
                <w:sz w:val="21"/>
                <w:szCs w:val="21"/>
                <w:highlight w:val="none"/>
              </w:rPr>
            </w:pP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环境空气质量现状调查数据来源</w:t>
            </w:r>
          </w:p>
        </w:tc>
        <w:tc>
          <w:tcPr>
            <w:tcW w:w="211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长期例行监测数据</w:t>
            </w:r>
            <w:r>
              <w:rPr>
                <w:color w:val="auto"/>
                <w:sz w:val="21"/>
                <w:szCs w:val="21"/>
                <w:highlight w:val="none"/>
              </w:rPr>
              <w:sym w:font="Wingdings" w:char="00A8"/>
            </w:r>
          </w:p>
        </w:tc>
        <w:tc>
          <w:tcPr>
            <w:tcW w:w="2269"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主管部门发布的数据</w:t>
            </w:r>
            <w:r>
              <w:rPr>
                <w:color w:val="auto"/>
                <w:sz w:val="21"/>
                <w:szCs w:val="21"/>
                <w:highlight w:val="none"/>
              </w:rPr>
              <w:sym w:font="Wingdings" w:char="00FE"/>
            </w:r>
          </w:p>
        </w:tc>
        <w:tc>
          <w:tcPr>
            <w:tcW w:w="1797"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现状补充监测</w:t>
            </w:r>
            <w:r>
              <w:rPr>
                <w:color w:val="auto"/>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宋体" w:cs="Times New Roman"/>
                <w:snapToGrid w:val="0"/>
                <w:color w:val="auto"/>
                <w:kern w:val="0"/>
                <w:sz w:val="21"/>
                <w:szCs w:val="21"/>
                <w:highlight w:val="none"/>
              </w:rPr>
            </w:pP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现状评价</w:t>
            </w:r>
          </w:p>
        </w:tc>
        <w:tc>
          <w:tcPr>
            <w:tcW w:w="2966" w:type="dxa"/>
            <w:gridSpan w:val="4"/>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达标区</w:t>
            </w:r>
            <w:r>
              <w:rPr>
                <w:color w:val="auto"/>
                <w:sz w:val="21"/>
                <w:szCs w:val="21"/>
                <w:highlight w:val="none"/>
              </w:rPr>
              <w:sym w:font="Wingdings" w:char="00FE"/>
            </w:r>
          </w:p>
        </w:tc>
        <w:tc>
          <w:tcPr>
            <w:tcW w:w="3214"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不达标区</w:t>
            </w:r>
            <w:r>
              <w:rPr>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污染源</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调查</w:t>
            </w: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调查内容</w:t>
            </w:r>
          </w:p>
        </w:tc>
        <w:tc>
          <w:tcPr>
            <w:tcW w:w="211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本项目正常排放源</w:t>
            </w:r>
            <w:r>
              <w:rPr>
                <w:color w:val="auto"/>
                <w:sz w:val="21"/>
                <w:szCs w:val="21"/>
                <w:highlight w:val="none"/>
              </w:rPr>
              <w:sym w:font="Wingdings" w:char="00FE"/>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本项目非正常排放源</w:t>
            </w:r>
            <w:r>
              <w:rPr>
                <w:color w:val="auto"/>
                <w:sz w:val="21"/>
                <w:szCs w:val="21"/>
                <w:highlight w:val="none"/>
              </w:rPr>
              <w:sym w:font="Wingdings" w:char="00FE"/>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现有污染源</w:t>
            </w:r>
            <w:r>
              <w:rPr>
                <w:color w:val="auto"/>
                <w:sz w:val="21"/>
                <w:szCs w:val="21"/>
                <w:highlight w:val="none"/>
              </w:rPr>
              <w:sym w:font="Wingdings" w:char="00FE"/>
            </w:r>
          </w:p>
        </w:tc>
        <w:tc>
          <w:tcPr>
            <w:tcW w:w="852"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拟替代的污染源</w:t>
            </w:r>
            <w:r>
              <w:rPr>
                <w:color w:val="auto"/>
                <w:sz w:val="21"/>
                <w:szCs w:val="21"/>
                <w:highlight w:val="none"/>
              </w:rPr>
              <w:sym w:font="Wingdings" w:char="00A8"/>
            </w:r>
          </w:p>
        </w:tc>
        <w:tc>
          <w:tcPr>
            <w:tcW w:w="2725" w:type="dxa"/>
            <w:gridSpan w:val="4"/>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其他在建、拟建项目污染源</w:t>
            </w:r>
            <w:r>
              <w:rPr>
                <w:color w:val="auto"/>
                <w:sz w:val="21"/>
                <w:szCs w:val="21"/>
                <w:highlight w:val="none"/>
              </w:rPr>
              <w:sym w:font="Wingdings" w:char="00A8"/>
            </w:r>
          </w:p>
        </w:tc>
        <w:tc>
          <w:tcPr>
            <w:tcW w:w="489"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区域污染源</w:t>
            </w:r>
            <w:r>
              <w:rPr>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大气环境影响预测与评价</w:t>
            </w:r>
          </w:p>
        </w:tc>
        <w:tc>
          <w:tcPr>
            <w:tcW w:w="7556" w:type="dxa"/>
            <w:gridSpan w:val="10"/>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本项目大气环境影响评价工作等级为二级，不需要进行进一步预测与评价。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环境监测</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计划</w:t>
            </w: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污染源监测</w:t>
            </w:r>
          </w:p>
        </w:tc>
        <w:tc>
          <w:tcPr>
            <w:tcW w:w="211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监测因子：（</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颗粒物、汞及其化合物</w:t>
            </w:r>
            <w:r>
              <w:rPr>
                <w:rFonts w:hint="default" w:ascii="Times New Roman" w:hAnsi="Times New Roman" w:eastAsia="宋体" w:cs="Times New Roman"/>
                <w:snapToGrid w:val="0"/>
                <w:color w:val="auto"/>
                <w:kern w:val="0"/>
                <w:sz w:val="21"/>
                <w:szCs w:val="21"/>
                <w:highlight w:val="none"/>
              </w:rPr>
              <w:t>）</w:t>
            </w:r>
          </w:p>
        </w:tc>
        <w:tc>
          <w:tcPr>
            <w:tcW w:w="2269"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有组织废气监测</w:t>
            </w:r>
            <w:r>
              <w:rPr>
                <w:color w:val="auto"/>
                <w:sz w:val="21"/>
                <w:szCs w:val="21"/>
                <w:highlight w:val="none"/>
              </w:rPr>
              <w:sym w:font="Wingdings" w:char="00FE"/>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无组织废气监测</w:t>
            </w:r>
            <w:r>
              <w:rPr>
                <w:color w:val="auto"/>
                <w:sz w:val="21"/>
                <w:szCs w:val="21"/>
                <w:highlight w:val="none"/>
              </w:rPr>
              <w:sym w:font="Wingdings" w:char="00FE"/>
            </w:r>
          </w:p>
        </w:tc>
        <w:tc>
          <w:tcPr>
            <w:tcW w:w="1797"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无监测</w:t>
            </w:r>
            <w:r>
              <w:rPr>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宋体" w:cs="Times New Roman"/>
                <w:snapToGrid w:val="0"/>
                <w:color w:val="auto"/>
                <w:kern w:val="0"/>
                <w:sz w:val="21"/>
                <w:szCs w:val="21"/>
                <w:highlight w:val="none"/>
              </w:rPr>
            </w:pP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环境质量监测</w:t>
            </w:r>
          </w:p>
        </w:tc>
        <w:tc>
          <w:tcPr>
            <w:tcW w:w="2114"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监测因子：（）</w:t>
            </w:r>
          </w:p>
        </w:tc>
        <w:tc>
          <w:tcPr>
            <w:tcW w:w="2269" w:type="dxa"/>
            <w:gridSpan w:val="5"/>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监测点位数（）</w:t>
            </w:r>
          </w:p>
        </w:tc>
        <w:tc>
          <w:tcPr>
            <w:tcW w:w="1797"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无监测</w:t>
            </w:r>
            <w:r>
              <w:rPr>
                <w:color w:val="auto"/>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评价结论</w:t>
            </w: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环境影响</w:t>
            </w:r>
          </w:p>
        </w:tc>
        <w:tc>
          <w:tcPr>
            <w:tcW w:w="6180" w:type="dxa"/>
            <w:gridSpan w:val="9"/>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可以接受</w:t>
            </w:r>
            <w:r>
              <w:rPr>
                <w:color w:val="auto"/>
                <w:sz w:val="21"/>
                <w:szCs w:val="21"/>
                <w:highlight w:val="none"/>
              </w:rPr>
              <w:sym w:font="Wingdings" w:char="00FE"/>
            </w:r>
            <w:r>
              <w:rPr>
                <w:rFonts w:hint="eastAsia" w:cs="Times New Roman"/>
                <w:snapToGrid w:val="0"/>
                <w:color w:val="auto"/>
                <w:kern w:val="0"/>
                <w:sz w:val="21"/>
                <w:szCs w:val="21"/>
                <w:highlight w:val="none"/>
                <w:lang w:val="en-US" w:eastAsia="zh-CN"/>
              </w:rPr>
              <w:t xml:space="preserve">              </w:t>
            </w:r>
            <w:r>
              <w:rPr>
                <w:rFonts w:hint="default" w:ascii="Times New Roman" w:hAnsi="Times New Roman" w:eastAsia="宋体" w:cs="Times New Roman"/>
                <w:snapToGrid w:val="0"/>
                <w:color w:val="auto"/>
                <w:kern w:val="0"/>
                <w:sz w:val="21"/>
                <w:szCs w:val="21"/>
                <w:highlight w:val="none"/>
              </w:rPr>
              <w:t>不可以接受</w:t>
            </w:r>
            <w:r>
              <w:rPr>
                <w:color w:val="auto"/>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宋体" w:cs="Times New Roman"/>
                <w:snapToGrid w:val="0"/>
                <w:color w:val="auto"/>
                <w:kern w:val="0"/>
                <w:sz w:val="21"/>
                <w:szCs w:val="21"/>
                <w:highlight w:val="none"/>
              </w:rPr>
            </w:pP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大气环境防护距离</w:t>
            </w:r>
          </w:p>
        </w:tc>
        <w:tc>
          <w:tcPr>
            <w:tcW w:w="6180" w:type="dxa"/>
            <w:gridSpan w:val="9"/>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宋体" w:cs="Times New Roman"/>
                <w:snapToGrid w:val="0"/>
                <w:color w:val="auto"/>
                <w:kern w:val="0"/>
                <w:sz w:val="21"/>
                <w:szCs w:val="21"/>
                <w:highlight w:val="none"/>
              </w:rPr>
            </w:pPr>
          </w:p>
        </w:tc>
        <w:tc>
          <w:tcPr>
            <w:tcW w:w="1376"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污染源年排放量</w:t>
            </w:r>
          </w:p>
        </w:tc>
        <w:tc>
          <w:tcPr>
            <w:tcW w:w="1331"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SO</w:t>
            </w:r>
            <w:r>
              <w:rPr>
                <w:rFonts w:hint="default" w:ascii="Times New Roman" w:hAnsi="Times New Roman" w:eastAsia="宋体" w:cs="Times New Roman"/>
                <w:snapToGrid w:val="0"/>
                <w:color w:val="auto"/>
                <w:kern w:val="0"/>
                <w:sz w:val="21"/>
                <w:szCs w:val="21"/>
                <w:highlight w:val="none"/>
                <w:vertAlign w:val="subscript"/>
              </w:rPr>
              <w:t>2</w:t>
            </w:r>
            <w:r>
              <w:rPr>
                <w:rFonts w:hint="default" w:ascii="Times New Roman" w:hAnsi="Times New Roman" w:eastAsia="宋体" w:cs="Times New Roman"/>
                <w:snapToGrid w:val="0"/>
                <w:color w:val="auto"/>
                <w:kern w:val="0"/>
                <w:sz w:val="21"/>
                <w:szCs w:val="21"/>
                <w:highlight w:val="none"/>
              </w:rPr>
              <w:t>:</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r>
              <w:rPr>
                <w:rFonts w:hint="eastAsia" w:cs="Times New Roman"/>
                <w:snapToGrid w:val="0"/>
                <w:color w:val="00B050"/>
                <w:kern w:val="0"/>
                <w:sz w:val="21"/>
                <w:szCs w:val="21"/>
                <w:highlight w:val="none"/>
                <w:lang w:val="en-US" w:eastAsia="zh-CN"/>
              </w:rPr>
              <w:t>7.67</w:t>
            </w:r>
            <w:r>
              <w:rPr>
                <w:rFonts w:hint="default" w:ascii="Times New Roman" w:hAnsi="Times New Roman" w:eastAsia="宋体" w:cs="Times New Roman"/>
                <w:snapToGrid w:val="0"/>
                <w:color w:val="auto"/>
                <w:kern w:val="0"/>
                <w:sz w:val="21"/>
                <w:szCs w:val="21"/>
                <w:highlight w:val="none"/>
              </w:rPr>
              <w:t>）t/a</w:t>
            </w:r>
          </w:p>
        </w:tc>
        <w:tc>
          <w:tcPr>
            <w:tcW w:w="1335"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NO</w:t>
            </w:r>
            <w:r>
              <w:rPr>
                <w:rFonts w:hint="eastAsia" w:cs="Times New Roman"/>
                <w:snapToGrid w:val="0"/>
                <w:color w:val="auto"/>
                <w:kern w:val="0"/>
                <w:sz w:val="21"/>
                <w:szCs w:val="21"/>
                <w:highlight w:val="none"/>
                <w:vertAlign w:val="subscript"/>
                <w:lang w:val="en-US" w:eastAsia="zh-CN"/>
              </w:rPr>
              <w:t>X</w:t>
            </w:r>
            <w:r>
              <w:rPr>
                <w:rFonts w:hint="default" w:ascii="Times New Roman" w:hAnsi="Times New Roman" w:eastAsia="宋体" w:cs="Times New Roman"/>
                <w:snapToGrid w:val="0"/>
                <w:color w:val="auto"/>
                <w:kern w:val="0"/>
                <w:sz w:val="21"/>
                <w:szCs w:val="21"/>
                <w:highlight w:val="none"/>
              </w:rPr>
              <w:t>:</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r>
              <w:rPr>
                <w:rFonts w:hint="eastAsia" w:cs="Times New Roman"/>
                <w:snapToGrid w:val="0"/>
                <w:color w:val="00B050"/>
                <w:kern w:val="0"/>
                <w:sz w:val="21"/>
                <w:szCs w:val="21"/>
                <w:highlight w:val="none"/>
                <w:lang w:val="en-US" w:eastAsia="zh-CN"/>
              </w:rPr>
              <w:t>20.94</w:t>
            </w:r>
            <w:r>
              <w:rPr>
                <w:rFonts w:hint="default" w:ascii="Times New Roman" w:hAnsi="Times New Roman" w:eastAsia="宋体" w:cs="Times New Roman"/>
                <w:snapToGrid w:val="0"/>
                <w:color w:val="auto"/>
                <w:kern w:val="0"/>
                <w:sz w:val="21"/>
                <w:szCs w:val="21"/>
                <w:highlight w:val="none"/>
              </w:rPr>
              <w:t>）t/a</w:t>
            </w:r>
          </w:p>
        </w:tc>
        <w:tc>
          <w:tcPr>
            <w:tcW w:w="1425" w:type="dxa"/>
            <w:gridSpan w:val="3"/>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颗粒物：</w:t>
            </w:r>
          </w:p>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r>
              <w:rPr>
                <w:rFonts w:hint="eastAsia" w:cs="Times New Roman"/>
                <w:snapToGrid w:val="0"/>
                <w:color w:val="auto"/>
                <w:kern w:val="0"/>
                <w:sz w:val="21"/>
                <w:szCs w:val="21"/>
                <w:highlight w:val="none"/>
                <w:lang w:val="en-US" w:eastAsia="zh-CN"/>
              </w:rPr>
              <w:t>0.27</w:t>
            </w:r>
            <w:r>
              <w:rPr>
                <w:rFonts w:hint="default" w:ascii="Times New Roman" w:hAnsi="Times New Roman" w:eastAsia="宋体" w:cs="Times New Roman"/>
                <w:snapToGrid w:val="0"/>
                <w:color w:val="auto"/>
                <w:kern w:val="0"/>
                <w:sz w:val="21"/>
                <w:szCs w:val="21"/>
                <w:highlight w:val="none"/>
              </w:rPr>
              <w:t>）t/a</w:t>
            </w:r>
          </w:p>
        </w:tc>
        <w:tc>
          <w:tcPr>
            <w:tcW w:w="2089" w:type="dxa"/>
            <w:gridSpan w:val="3"/>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eastAsia="zh-CN"/>
              </w:rPr>
              <w:t>汞及其化合物：（</w:t>
            </w:r>
            <w:r>
              <w:rPr>
                <w:rFonts w:hint="eastAsia" w:cs="Times New Roman"/>
                <w:color w:val="auto"/>
                <w:sz w:val="21"/>
                <w:szCs w:val="21"/>
                <w:highlight w:val="none"/>
                <w:lang w:val="en-US" w:eastAsia="zh-CN"/>
              </w:rPr>
              <w:t>0.00107</w:t>
            </w:r>
            <w:r>
              <w:rPr>
                <w:rFonts w:hint="eastAsia" w:cs="Times New Roman"/>
                <w:snapToGrid w:val="0"/>
                <w:color w:val="auto"/>
                <w:kern w:val="0"/>
                <w:sz w:val="21"/>
                <w:szCs w:val="21"/>
                <w:highlight w:val="none"/>
                <w:lang w:eastAsia="zh-CN"/>
              </w:rPr>
              <w:t>）</w:t>
            </w:r>
            <w:r>
              <w:rPr>
                <w:rFonts w:hint="eastAsia" w:cs="Times New Roman"/>
                <w:snapToGrid w:val="0"/>
                <w:color w:val="auto"/>
                <w:kern w:val="0"/>
                <w:sz w:val="21"/>
                <w:szCs w:val="21"/>
                <w:highlight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08" w:type="dxa"/>
            <w:gridSpan w:val="11"/>
            <w:noWrap w:val="0"/>
            <w:vAlign w:val="center"/>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注：“</w:t>
            </w:r>
            <w:r>
              <w:rPr>
                <w:color w:val="auto"/>
                <w:sz w:val="21"/>
                <w:szCs w:val="21"/>
                <w:highlight w:val="none"/>
              </w:rPr>
              <w:sym w:font="Wingdings" w:char="00A8"/>
            </w:r>
            <w:r>
              <w:rPr>
                <w:rFonts w:hint="default" w:ascii="Times New Roman" w:hAnsi="Times New Roman" w:eastAsia="宋体" w:cs="Times New Roman"/>
                <w:snapToGrid w:val="0"/>
                <w:color w:val="auto"/>
                <w:kern w:val="0"/>
                <w:sz w:val="21"/>
                <w:szCs w:val="21"/>
                <w:highlight w:val="none"/>
              </w:rPr>
              <w:t>”为勾选项，填“√”；“（）” 为内容填写项</w:t>
            </w:r>
          </w:p>
        </w:tc>
      </w:tr>
    </w:tbl>
    <w:p>
      <w:pPr>
        <w:pStyle w:val="6"/>
        <w:keepNext/>
        <w:keepLines/>
        <w:pageBreakBefore w:val="0"/>
        <w:widowControl w:val="0"/>
        <w:kinsoku/>
        <w:wordWrap/>
        <w:overflowPunct/>
        <w:topLinePunct w:val="0"/>
        <w:autoSpaceDE/>
        <w:autoSpaceDN/>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5.2.7</w:t>
      </w:r>
      <w:r>
        <w:rPr>
          <w:rFonts w:hint="default" w:ascii="Times New Roman" w:hAnsi="Times New Roman" w:cs="Times New Roman"/>
          <w:color w:val="auto"/>
          <w:highlight w:val="none"/>
        </w:rPr>
        <w:t>大气环境影响评价结论</w:t>
      </w:r>
    </w:p>
    <w:p>
      <w:pPr>
        <w:bidi w:val="0"/>
        <w:rPr>
          <w:rFonts w:hint="eastAsia"/>
          <w:color w:val="auto"/>
          <w:highlight w:val="none"/>
        </w:rPr>
      </w:pPr>
      <w:r>
        <w:rPr>
          <w:rFonts w:hint="eastAsia"/>
          <w:color w:val="auto"/>
          <w:highlight w:val="none"/>
        </w:rPr>
        <w:t>根据《环境影响评价技术导则 大气环境》（HJ2.2-2018）及大气环境影响预测结果，本项目排放的废气无超标点，因此，无需设置大气环境防护距离。</w:t>
      </w:r>
    </w:p>
    <w:p>
      <w:pPr>
        <w:keepNext w:val="0"/>
        <w:keepLines w:val="0"/>
        <w:pageBreakBefore w:val="0"/>
        <w:wordWrap/>
        <w:overflowPunct/>
        <w:topLinePunct w:val="0"/>
        <w:autoSpaceDE w:val="0"/>
        <w:autoSpaceDN w:val="0"/>
        <w:bidi w:val="0"/>
        <w:adjustRightInd w:val="0"/>
        <w:snapToGrid w:val="0"/>
        <w:spacing w:line="360" w:lineRule="auto"/>
        <w:ind w:left="0" w:right="0"/>
        <w:rPr>
          <w:color w:val="auto"/>
          <w:highlight w:val="none"/>
        </w:rPr>
      </w:pPr>
      <w:r>
        <w:rPr>
          <w:rFonts w:hint="eastAsia"/>
          <w:color w:val="auto"/>
          <w:highlight w:val="none"/>
        </w:rPr>
        <w:t>综上所述，本工程实施后，在确保环保设施正常稳定运行条件下，各大气污染物对评价区污染物浓度贡献较小，对周围大气环境质量影响不大。</w:t>
      </w:r>
    </w:p>
    <w:p>
      <w:pPr>
        <w:pStyle w:val="5"/>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firstLine="562" w:firstLineChars="200"/>
        <w:textAlignment w:val="auto"/>
        <w:rPr>
          <w:rFonts w:hint="default" w:ascii="Times New Roman" w:hAnsi="Times New Roman" w:eastAsia="宋体" w:cs="Times New Roman"/>
          <w:bCs w:val="0"/>
          <w:color w:val="auto"/>
          <w:kern w:val="0"/>
          <w:sz w:val="28"/>
          <w:szCs w:val="24"/>
          <w:highlight w:val="none"/>
        </w:rPr>
      </w:pPr>
      <w:bookmarkStart w:id="192" w:name="_Toc20833"/>
      <w:bookmarkStart w:id="193" w:name="_Toc824"/>
      <w:bookmarkStart w:id="194" w:name="_Toc28632"/>
      <w:bookmarkStart w:id="195" w:name="_Toc12313"/>
      <w:bookmarkStart w:id="196" w:name="_Toc22996"/>
      <w:bookmarkStart w:id="197" w:name="_Toc25006"/>
      <w:bookmarkStart w:id="198" w:name="_Toc28999"/>
      <w:bookmarkStart w:id="199" w:name="_Toc30823"/>
      <w:bookmarkStart w:id="200" w:name="_Toc32096"/>
      <w:bookmarkStart w:id="201" w:name="_Toc10954"/>
      <w:bookmarkStart w:id="202" w:name="_Toc413055422"/>
      <w:bookmarkStart w:id="203" w:name="_Toc524464445"/>
      <w:bookmarkStart w:id="204" w:name="_Toc11580"/>
      <w:bookmarkStart w:id="205" w:name="_Toc25502"/>
      <w:bookmarkStart w:id="206" w:name="_Toc10315"/>
      <w:bookmarkStart w:id="207" w:name="_Toc28419"/>
      <w:r>
        <w:rPr>
          <w:rFonts w:hint="default" w:ascii="Times New Roman" w:hAnsi="Times New Roman" w:cs="Times New Roman"/>
          <w:bCs w:val="0"/>
          <w:color w:val="auto"/>
          <w:kern w:val="0"/>
          <w:sz w:val="28"/>
          <w:szCs w:val="24"/>
          <w:highlight w:val="none"/>
          <w:lang w:val="en-US" w:eastAsia="zh-CN"/>
        </w:rPr>
        <w:t>5.3</w:t>
      </w:r>
      <w:r>
        <w:rPr>
          <w:rFonts w:hint="default" w:ascii="Times New Roman" w:hAnsi="Times New Roman" w:eastAsia="宋体" w:cs="Times New Roman"/>
          <w:bCs w:val="0"/>
          <w:color w:val="auto"/>
          <w:kern w:val="0"/>
          <w:sz w:val="28"/>
          <w:szCs w:val="24"/>
          <w:highlight w:val="none"/>
        </w:rPr>
        <w:t>水环境影响分析</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pStyle w:val="6"/>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5.3.1</w:t>
      </w:r>
      <w:r>
        <w:rPr>
          <w:rFonts w:hint="default" w:ascii="Times New Roman" w:hAnsi="Times New Roman" w:cs="Times New Roman"/>
          <w:color w:val="auto"/>
          <w:highlight w:val="none"/>
        </w:rPr>
        <w:t>生产废水及生活污水环境影响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ascii="宋体" w:hAnsi="宋体" w:cs="宋体"/>
          <w:color w:val="auto"/>
          <w:spacing w:val="-3"/>
          <w:sz w:val="24"/>
          <w:szCs w:val="24"/>
          <w:highlight w:val="none"/>
        </w:rPr>
      </w:pPr>
      <w:r>
        <w:rPr>
          <w:rFonts w:ascii="宋体" w:hAnsi="宋体" w:cs="宋体"/>
          <w:color w:val="auto"/>
          <w:spacing w:val="-3"/>
          <w:sz w:val="24"/>
          <w:szCs w:val="24"/>
          <w:highlight w:val="none"/>
        </w:rPr>
        <w:t>本项目生产废水主要包括锅炉排污水、循环冷却排污水、软水制备废水、脱硫废水。</w:t>
      </w:r>
    </w:p>
    <w:p>
      <w:pPr>
        <w:keepNext w:val="0"/>
        <w:keepLines w:val="0"/>
        <w:pageBreakBefore w:val="0"/>
        <w:wordWrap/>
        <w:overflowPunct/>
        <w:topLinePunct w:val="0"/>
        <w:autoSpaceDE w:val="0"/>
        <w:autoSpaceDN w:val="0"/>
        <w:bidi w:val="0"/>
        <w:adjustRightInd w:val="0"/>
        <w:snapToGrid w:val="0"/>
        <w:spacing w:line="360" w:lineRule="auto"/>
        <w:ind w:left="0" w:right="0" w:firstLine="479"/>
        <w:rPr>
          <w:rFonts w:hint="eastAsia"/>
          <w:color w:val="auto"/>
          <w:spacing w:val="-5"/>
          <w:sz w:val="24"/>
          <w:szCs w:val="24"/>
          <w:highlight w:val="none"/>
        </w:rPr>
      </w:pPr>
      <w:r>
        <w:rPr>
          <w:color w:val="auto"/>
          <w:sz w:val="24"/>
          <w:szCs w:val="24"/>
          <w:highlight w:val="none"/>
          <w:lang w:val="de-DE"/>
        </w:rPr>
        <w:t>锅炉每天排污3次，则锅炉产生排污水1.</w:t>
      </w:r>
      <w:r>
        <w:rPr>
          <w:rFonts w:hint="eastAsia"/>
          <w:color w:val="auto"/>
          <w:sz w:val="24"/>
          <w:szCs w:val="24"/>
          <w:highlight w:val="none"/>
          <w:lang w:val="en-US" w:eastAsia="zh-CN"/>
        </w:rPr>
        <w:t>7</w:t>
      </w:r>
      <w:r>
        <w:rPr>
          <w:color w:val="auto"/>
          <w:sz w:val="24"/>
          <w:szCs w:val="24"/>
          <w:highlight w:val="none"/>
          <w:lang w:val="de-DE"/>
        </w:rPr>
        <w:t>m</w:t>
      </w:r>
      <w:r>
        <w:rPr>
          <w:color w:val="auto"/>
          <w:sz w:val="24"/>
          <w:szCs w:val="24"/>
          <w:highlight w:val="none"/>
          <w:vertAlign w:val="superscript"/>
          <w:lang w:val="de-DE"/>
        </w:rPr>
        <w:t>3</w:t>
      </w:r>
      <w:r>
        <w:rPr>
          <w:color w:val="auto"/>
          <w:sz w:val="24"/>
          <w:szCs w:val="24"/>
          <w:highlight w:val="none"/>
          <w:lang w:val="de-DE"/>
        </w:rPr>
        <w:t>/d</w:t>
      </w:r>
      <w:r>
        <w:rPr>
          <w:rFonts w:hint="eastAsia"/>
          <w:color w:val="auto"/>
          <w:sz w:val="24"/>
          <w:szCs w:val="24"/>
          <w:highlight w:val="none"/>
          <w:lang w:val="de-DE"/>
        </w:rPr>
        <w:t>（</w:t>
      </w:r>
      <w:r>
        <w:rPr>
          <w:rFonts w:hint="eastAsia"/>
          <w:color w:val="auto"/>
          <w:sz w:val="24"/>
          <w:szCs w:val="24"/>
          <w:highlight w:val="none"/>
          <w:lang w:val="en-US" w:eastAsia="zh-CN"/>
        </w:rPr>
        <w:t>306</w:t>
      </w:r>
      <w:r>
        <w:rPr>
          <w:color w:val="auto"/>
          <w:sz w:val="24"/>
          <w:szCs w:val="24"/>
          <w:highlight w:val="none"/>
          <w:lang w:val="de-DE"/>
        </w:rPr>
        <w:t>m</w:t>
      </w:r>
      <w:r>
        <w:rPr>
          <w:color w:val="auto"/>
          <w:sz w:val="24"/>
          <w:szCs w:val="24"/>
          <w:highlight w:val="none"/>
          <w:vertAlign w:val="superscript"/>
          <w:lang w:val="de-DE"/>
        </w:rPr>
        <w:t>3</w:t>
      </w:r>
      <w:r>
        <w:rPr>
          <w:color w:val="auto"/>
          <w:sz w:val="24"/>
          <w:szCs w:val="24"/>
          <w:highlight w:val="none"/>
          <w:lang w:val="de-DE"/>
        </w:rPr>
        <w:t>/a</w:t>
      </w:r>
      <w:r>
        <w:rPr>
          <w:rFonts w:hint="eastAsia"/>
          <w:color w:val="auto"/>
          <w:sz w:val="24"/>
          <w:szCs w:val="24"/>
          <w:highlight w:val="none"/>
          <w:lang w:val="de-DE"/>
        </w:rPr>
        <w:t>）；</w:t>
      </w:r>
      <w:r>
        <w:rPr>
          <w:color w:val="auto"/>
          <w:spacing w:val="-7"/>
          <w:sz w:val="24"/>
          <w:szCs w:val="24"/>
          <w:highlight w:val="none"/>
        </w:rPr>
        <w:t>锅炉循环冷却系统水耗主要为煤闸板冷却水耗、引风机轴冷却水、炉排风机冷却用水等，总耗水量约</w:t>
      </w:r>
      <w:r>
        <w:rPr>
          <w:rFonts w:hint="eastAsia"/>
          <w:color w:val="auto"/>
          <w:spacing w:val="-7"/>
          <w:sz w:val="24"/>
          <w:szCs w:val="24"/>
          <w:highlight w:val="none"/>
        </w:rPr>
        <w:t>1</w:t>
      </w:r>
      <w:r>
        <w:rPr>
          <w:color w:val="auto"/>
          <w:spacing w:val="-7"/>
          <w:sz w:val="24"/>
          <w:szCs w:val="24"/>
          <w:highlight w:val="none"/>
        </w:rPr>
        <w:t>0m</w:t>
      </w:r>
      <w:r>
        <w:rPr>
          <w:color w:val="auto"/>
          <w:spacing w:val="-7"/>
          <w:sz w:val="24"/>
          <w:szCs w:val="24"/>
          <w:highlight w:val="none"/>
          <w:vertAlign w:val="superscript"/>
        </w:rPr>
        <w:t>3</w:t>
      </w:r>
      <w:r>
        <w:rPr>
          <w:color w:val="auto"/>
          <w:spacing w:val="-7"/>
          <w:sz w:val="24"/>
          <w:szCs w:val="24"/>
          <w:highlight w:val="none"/>
        </w:rPr>
        <w:t>/d</w:t>
      </w:r>
      <w:r>
        <w:rPr>
          <w:rFonts w:hint="eastAsia"/>
          <w:color w:val="auto"/>
          <w:spacing w:val="-7"/>
          <w:sz w:val="24"/>
          <w:szCs w:val="24"/>
          <w:highlight w:val="none"/>
          <w:lang w:eastAsia="zh-CN"/>
        </w:rPr>
        <w:t>，</w:t>
      </w:r>
      <w:r>
        <w:rPr>
          <w:color w:val="auto"/>
          <w:spacing w:val="-5"/>
          <w:sz w:val="24"/>
          <w:szCs w:val="24"/>
          <w:highlight w:val="none"/>
        </w:rPr>
        <w:t>冷却系统排污水约占总耗水的1</w:t>
      </w:r>
      <w:r>
        <w:rPr>
          <w:rFonts w:hint="eastAsia"/>
          <w:color w:val="auto"/>
          <w:spacing w:val="-5"/>
          <w:sz w:val="24"/>
          <w:szCs w:val="24"/>
          <w:highlight w:val="none"/>
          <w:lang w:val="en-US" w:eastAsia="zh-CN"/>
        </w:rPr>
        <w:t>0</w:t>
      </w:r>
      <w:r>
        <w:rPr>
          <w:color w:val="auto"/>
          <w:spacing w:val="-5"/>
          <w:sz w:val="24"/>
          <w:szCs w:val="24"/>
          <w:highlight w:val="none"/>
        </w:rPr>
        <w:t>%，即</w:t>
      </w:r>
      <w:r>
        <w:rPr>
          <w:rFonts w:hint="eastAsia"/>
          <w:color w:val="auto"/>
          <w:spacing w:val="-5"/>
          <w:sz w:val="24"/>
          <w:szCs w:val="24"/>
          <w:highlight w:val="none"/>
        </w:rPr>
        <w:t>1</w:t>
      </w:r>
      <w:r>
        <w:rPr>
          <w:color w:val="auto"/>
          <w:spacing w:val="-5"/>
          <w:sz w:val="24"/>
          <w:szCs w:val="24"/>
          <w:highlight w:val="none"/>
        </w:rPr>
        <w:t>m</w:t>
      </w:r>
      <w:r>
        <w:rPr>
          <w:color w:val="auto"/>
          <w:spacing w:val="-5"/>
          <w:sz w:val="24"/>
          <w:szCs w:val="24"/>
          <w:highlight w:val="none"/>
          <w:vertAlign w:val="superscript"/>
        </w:rPr>
        <w:t>3</w:t>
      </w:r>
      <w:r>
        <w:rPr>
          <w:color w:val="auto"/>
          <w:spacing w:val="-5"/>
          <w:sz w:val="24"/>
          <w:szCs w:val="24"/>
          <w:highlight w:val="none"/>
        </w:rPr>
        <w:t>/d；</w:t>
      </w:r>
      <w:r>
        <w:rPr>
          <w:rFonts w:hint="eastAsia"/>
          <w:color w:val="auto"/>
          <w:highlight w:val="none"/>
          <w:lang w:val="en-US" w:eastAsia="zh-CN"/>
        </w:rPr>
        <w:t>锅炉软水制备系统会有一定量的离子交换树脂再生水，废水量</w:t>
      </w:r>
      <w:r>
        <w:rPr>
          <w:rFonts w:hint="default" w:ascii="Times New Roman" w:hAnsi="Times New Roman" w:eastAsia="宋体" w:cs="Times New Roman"/>
          <w:color w:val="auto"/>
          <w:sz w:val="24"/>
          <w:szCs w:val="24"/>
          <w:highlight w:val="none"/>
        </w:rPr>
        <w:t>按照总水量的10%计算</w:t>
      </w:r>
      <w:r>
        <w:rPr>
          <w:rFonts w:hint="eastAsia" w:ascii="Times New Roman" w:hAnsi="Times New Roman" w:eastAsia="宋体" w:cs="Times New Roman"/>
          <w:color w:val="auto"/>
          <w:sz w:val="24"/>
          <w:szCs w:val="24"/>
          <w:highlight w:val="none"/>
          <w:lang w:eastAsia="zh-CN"/>
        </w:rPr>
        <w:t>，</w:t>
      </w:r>
      <w:r>
        <w:rPr>
          <w:rFonts w:hint="eastAsia"/>
          <w:color w:val="auto"/>
          <w:highlight w:val="none"/>
          <w:lang w:val="en-US" w:eastAsia="zh-CN"/>
        </w:rPr>
        <w:t>则树脂再生废水产生量约为21.3m</w:t>
      </w:r>
      <w:r>
        <w:rPr>
          <w:rFonts w:hint="eastAsia"/>
          <w:color w:val="auto"/>
          <w:highlight w:val="none"/>
          <w:vertAlign w:val="superscript"/>
          <w:lang w:val="en-US" w:eastAsia="zh-CN"/>
        </w:rPr>
        <w:t>3</w:t>
      </w:r>
      <w:r>
        <w:rPr>
          <w:rFonts w:hint="eastAsia"/>
          <w:color w:val="auto"/>
          <w:highlight w:val="none"/>
          <w:lang w:val="en-US" w:eastAsia="zh-CN"/>
        </w:rPr>
        <w:t>/d，经防渗收集池收集后用于锅炉房灰渣调湿降尘处理</w:t>
      </w:r>
      <w:r>
        <w:rPr>
          <w:rFonts w:hint="eastAsia"/>
          <w:color w:val="auto"/>
          <w:spacing w:val="-5"/>
          <w:sz w:val="24"/>
          <w:szCs w:val="24"/>
          <w:highlight w:val="none"/>
        </w:rPr>
        <w:t>；全厂生产工艺过程中产生的废水经处理后全部综合利用，可用于除渣系统喷洒降尘，不外排。</w:t>
      </w:r>
      <w:r>
        <w:rPr>
          <w:color w:val="auto"/>
          <w:spacing w:val="-5"/>
          <w:sz w:val="24"/>
          <w:szCs w:val="24"/>
          <w:highlight w:val="none"/>
        </w:rPr>
        <w:t>脱硫系统设置有中和沉淀池</w:t>
      </w:r>
      <w:r>
        <w:rPr>
          <w:rFonts w:hint="eastAsia"/>
          <w:color w:val="auto"/>
          <w:spacing w:val="-5"/>
          <w:sz w:val="24"/>
          <w:szCs w:val="24"/>
          <w:highlight w:val="none"/>
          <w:lang w:eastAsia="zh-CN"/>
        </w:rPr>
        <w:t>、</w:t>
      </w:r>
      <w:r>
        <w:rPr>
          <w:color w:val="auto"/>
          <w:spacing w:val="-5"/>
          <w:sz w:val="24"/>
          <w:szCs w:val="24"/>
          <w:highlight w:val="none"/>
        </w:rPr>
        <w:t>循环池，脱硫废水经中和、沉淀池处理后</w:t>
      </w:r>
      <w:r>
        <w:rPr>
          <w:rFonts w:hint="eastAsia"/>
          <w:color w:val="auto"/>
          <w:spacing w:val="-5"/>
          <w:sz w:val="24"/>
          <w:szCs w:val="24"/>
          <w:highlight w:val="none"/>
          <w:lang w:eastAsia="zh-CN"/>
        </w:rPr>
        <w:t>绝大部分循环使用。</w:t>
      </w:r>
      <w:r>
        <w:rPr>
          <w:rFonts w:hint="eastAsia" w:ascii="Times New Roman" w:hAnsi="宋体" w:cs="Times New Roman"/>
          <w:color w:val="auto"/>
          <w:kern w:val="0"/>
          <w:sz w:val="24"/>
          <w:szCs w:val="24"/>
          <w:highlight w:val="none"/>
        </w:rPr>
        <w:t>除损耗外，</w:t>
      </w:r>
      <w:r>
        <w:rPr>
          <w:rFonts w:hint="eastAsia" w:ascii="Times New Roman" w:hAnsi="宋体" w:cs="Times New Roman"/>
          <w:color w:val="auto"/>
          <w:kern w:val="0"/>
          <w:sz w:val="24"/>
          <w:szCs w:val="24"/>
          <w:highlight w:val="none"/>
          <w:lang w:eastAsia="zh-CN"/>
        </w:rPr>
        <w:t>其余</w:t>
      </w:r>
      <w:r>
        <w:rPr>
          <w:rFonts w:hint="eastAsia" w:ascii="Times New Roman" w:hAnsi="宋体" w:cs="Times New Roman"/>
          <w:color w:val="auto"/>
          <w:kern w:val="0"/>
          <w:sz w:val="24"/>
          <w:szCs w:val="24"/>
          <w:highlight w:val="none"/>
        </w:rPr>
        <w:t>全部直接回用于</w:t>
      </w:r>
      <w:r>
        <w:rPr>
          <w:rFonts w:hint="eastAsia" w:ascii="Times New Roman" w:hAnsi="宋体" w:cs="Times New Roman"/>
          <w:color w:val="auto"/>
          <w:kern w:val="0"/>
          <w:sz w:val="24"/>
          <w:szCs w:val="24"/>
          <w:highlight w:val="none"/>
          <w:lang w:eastAsia="zh-CN"/>
        </w:rPr>
        <w:t>煤场抑尘</w:t>
      </w:r>
      <w:r>
        <w:rPr>
          <w:rFonts w:hint="eastAsia" w:ascii="Times New Roman" w:hAnsi="宋体" w:cs="Times New Roman"/>
          <w:color w:val="auto"/>
          <w:kern w:val="0"/>
          <w:sz w:val="24"/>
          <w:szCs w:val="24"/>
          <w:highlight w:val="none"/>
        </w:rPr>
        <w:t>，不外排</w:t>
      </w:r>
      <w:r>
        <w:rPr>
          <w:color w:val="auto"/>
          <w:spacing w:val="-5"/>
          <w:sz w:val="24"/>
          <w:szCs w:val="24"/>
          <w:highlight w:val="none"/>
        </w:rPr>
        <w:t>。</w:t>
      </w:r>
      <w:r>
        <w:rPr>
          <w:rFonts w:hint="eastAsia"/>
          <w:color w:val="auto"/>
          <w:spacing w:val="-5"/>
          <w:sz w:val="24"/>
          <w:szCs w:val="24"/>
          <w:highlight w:val="none"/>
          <w:lang w:eastAsia="zh-CN"/>
        </w:rPr>
        <w:t>本项目脱硫系统每天需补充新鲜水</w:t>
      </w:r>
      <w:r>
        <w:rPr>
          <w:rFonts w:hint="eastAsia"/>
          <w:color w:val="auto"/>
          <w:spacing w:val="-5"/>
          <w:sz w:val="24"/>
          <w:szCs w:val="24"/>
          <w:highlight w:val="none"/>
          <w:lang w:val="en-US" w:eastAsia="zh-CN"/>
        </w:rPr>
        <w:t>10 m</w:t>
      </w:r>
      <w:r>
        <w:rPr>
          <w:rFonts w:hint="eastAsia"/>
          <w:color w:val="auto"/>
          <w:spacing w:val="-5"/>
          <w:sz w:val="24"/>
          <w:szCs w:val="24"/>
          <w:highlight w:val="none"/>
          <w:vertAlign w:val="superscript"/>
          <w:lang w:val="en-US" w:eastAsia="zh-CN"/>
        </w:rPr>
        <w:t>3</w:t>
      </w:r>
      <w:r>
        <w:rPr>
          <w:rFonts w:hint="eastAsia"/>
          <w:color w:val="auto"/>
          <w:spacing w:val="-5"/>
          <w:sz w:val="24"/>
          <w:szCs w:val="24"/>
          <w:highlight w:val="none"/>
          <w:vertAlign w:val="baseline"/>
          <w:lang w:val="en-US" w:eastAsia="zh-CN"/>
        </w:rPr>
        <w:t>/d</w:t>
      </w:r>
      <w:r>
        <w:rPr>
          <w:rFonts w:hint="eastAsia"/>
          <w:color w:val="auto"/>
          <w:spacing w:val="-5"/>
          <w:sz w:val="24"/>
          <w:szCs w:val="24"/>
          <w:highlight w:val="none"/>
          <w:lang w:val="en-US" w:eastAsia="zh-CN"/>
        </w:rPr>
        <w:t>，其中9 m</w:t>
      </w:r>
      <w:r>
        <w:rPr>
          <w:rFonts w:hint="eastAsia"/>
          <w:color w:val="auto"/>
          <w:spacing w:val="-5"/>
          <w:sz w:val="24"/>
          <w:szCs w:val="24"/>
          <w:highlight w:val="none"/>
          <w:vertAlign w:val="superscript"/>
          <w:lang w:val="en-US" w:eastAsia="zh-CN"/>
        </w:rPr>
        <w:t>3</w:t>
      </w:r>
      <w:r>
        <w:rPr>
          <w:rFonts w:hint="eastAsia"/>
          <w:color w:val="auto"/>
          <w:spacing w:val="-5"/>
          <w:sz w:val="24"/>
          <w:szCs w:val="24"/>
          <w:highlight w:val="none"/>
          <w:vertAlign w:val="baseline"/>
          <w:lang w:val="en-US" w:eastAsia="zh-CN"/>
        </w:rPr>
        <w:t>/d损耗，剩余1</w:t>
      </w:r>
      <w:r>
        <w:rPr>
          <w:rFonts w:hint="eastAsia"/>
          <w:color w:val="auto"/>
          <w:spacing w:val="-5"/>
          <w:sz w:val="24"/>
          <w:szCs w:val="24"/>
          <w:highlight w:val="none"/>
          <w:lang w:val="en-US" w:eastAsia="zh-CN"/>
        </w:rPr>
        <w:t xml:space="preserve"> m</w:t>
      </w:r>
      <w:r>
        <w:rPr>
          <w:rFonts w:hint="eastAsia"/>
          <w:color w:val="auto"/>
          <w:spacing w:val="-5"/>
          <w:sz w:val="24"/>
          <w:szCs w:val="24"/>
          <w:highlight w:val="none"/>
          <w:vertAlign w:val="superscript"/>
          <w:lang w:val="en-US" w:eastAsia="zh-CN"/>
        </w:rPr>
        <w:t>3</w:t>
      </w:r>
      <w:r>
        <w:rPr>
          <w:rFonts w:hint="eastAsia"/>
          <w:color w:val="auto"/>
          <w:spacing w:val="-5"/>
          <w:sz w:val="24"/>
          <w:szCs w:val="24"/>
          <w:highlight w:val="none"/>
          <w:vertAlign w:val="baseline"/>
          <w:lang w:val="en-US" w:eastAsia="zh-CN"/>
        </w:rPr>
        <w:t>/d废水用于煤场抑尘。</w:t>
      </w:r>
    </w:p>
    <w:p>
      <w:pPr>
        <w:keepNext w:val="0"/>
        <w:keepLines w:val="0"/>
        <w:pageBreakBefore w:val="0"/>
        <w:wordWrap/>
        <w:overflowPunct/>
        <w:topLinePunct w:val="0"/>
        <w:autoSpaceDE w:val="0"/>
        <w:autoSpaceDN w:val="0"/>
        <w:bidi w:val="0"/>
        <w:adjustRightInd w:val="0"/>
        <w:snapToGrid w:val="0"/>
        <w:spacing w:line="360" w:lineRule="auto"/>
        <w:ind w:left="0" w:right="0" w:firstLine="479"/>
        <w:rPr>
          <w:rFonts w:hint="eastAsia"/>
          <w:color w:val="auto"/>
          <w:spacing w:val="-5"/>
          <w:sz w:val="24"/>
          <w:szCs w:val="24"/>
          <w:highlight w:val="none"/>
        </w:rPr>
      </w:pPr>
      <w:r>
        <w:rPr>
          <w:rFonts w:hint="eastAsia"/>
          <w:color w:val="auto"/>
          <w:spacing w:val="-5"/>
          <w:sz w:val="24"/>
          <w:szCs w:val="24"/>
          <w:highlight w:val="none"/>
        </w:rPr>
        <w:t>本项目取水为市政管网用水，不取用地下水，不存在取用地表水与周围环境争水的情况，故本项目取水不会对周围水环境产生影响。</w:t>
      </w:r>
    </w:p>
    <w:p>
      <w:pPr>
        <w:pStyle w:val="6"/>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562"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5.3.2</w:t>
      </w:r>
      <w:r>
        <w:rPr>
          <w:rFonts w:hint="default" w:ascii="Times New Roman" w:hAnsi="Times New Roman" w:cs="Times New Roman"/>
          <w:color w:val="auto"/>
          <w:highlight w:val="none"/>
        </w:rPr>
        <w:t>地下水影响分析</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auto"/>
        <w:rPr>
          <w:color w:val="auto"/>
          <w:highlight w:val="none"/>
        </w:rPr>
      </w:pPr>
      <w:r>
        <w:rPr>
          <w:rFonts w:hint="eastAsia"/>
          <w:color w:val="auto"/>
          <w:highlight w:val="none"/>
          <w:lang w:val="en-US" w:eastAsia="zh-CN"/>
        </w:rPr>
        <w:t>5.3.2.1</w:t>
      </w:r>
      <w:r>
        <w:rPr>
          <w:rFonts w:hint="eastAsia"/>
          <w:color w:val="auto"/>
          <w:highlight w:val="none"/>
        </w:rPr>
        <w:t>水文地质条件</w:t>
      </w:r>
    </w:p>
    <w:p>
      <w:pPr>
        <w:keepNext w:val="0"/>
        <w:keepLines w:val="0"/>
        <w:pageBreakBefore w:val="0"/>
        <w:wordWrap/>
        <w:overflowPunct/>
        <w:topLinePunct w:val="0"/>
        <w:autoSpaceDE w:val="0"/>
        <w:autoSpaceDN w:val="0"/>
        <w:bidi w:val="0"/>
        <w:adjustRightInd w:val="0"/>
        <w:snapToGrid w:val="0"/>
        <w:spacing w:line="360" w:lineRule="auto"/>
        <w:ind w:left="0" w:right="0" w:firstLine="483"/>
        <w:jc w:val="both"/>
        <w:rPr>
          <w:color w:val="auto"/>
          <w:sz w:val="24"/>
          <w:highlight w:val="none"/>
        </w:rPr>
      </w:pPr>
      <w:r>
        <w:rPr>
          <w:rFonts w:ascii="宋体" w:hAnsi="宋体" w:eastAsia="宋体" w:cs="宋体"/>
          <w:spacing w:val="4"/>
          <w:sz w:val="24"/>
          <w:szCs w:val="24"/>
        </w:rPr>
        <w:t>项目周围地下水的补给来源主要是发源于山区的地表径流的入渗补给及河</w:t>
      </w:r>
      <w:r>
        <w:rPr>
          <w:rFonts w:ascii="宋体" w:hAnsi="宋体" w:eastAsia="宋体" w:cs="宋体"/>
          <w:spacing w:val="-8"/>
          <w:sz w:val="24"/>
          <w:szCs w:val="24"/>
        </w:rPr>
        <w:t>谷潜流补给，建设场地地下水埋藏较深，大气降水对地下水的补给作用可以忽略，</w:t>
      </w:r>
      <w:r>
        <w:rPr>
          <w:rFonts w:ascii="宋体" w:hAnsi="宋体" w:eastAsia="宋体" w:cs="宋体"/>
          <w:spacing w:val="2"/>
          <w:sz w:val="24"/>
          <w:szCs w:val="24"/>
        </w:rPr>
        <w:t>地下水的流向为近北向，含水层为巨厚的第四纪卵砾石层</w:t>
      </w:r>
      <w:r>
        <w:rPr>
          <w:rFonts w:ascii="宋体" w:hAnsi="宋体" w:eastAsia="宋体" w:cs="宋体"/>
          <w:spacing w:val="1"/>
          <w:sz w:val="24"/>
          <w:szCs w:val="24"/>
        </w:rPr>
        <w:t>，潜水位在</w:t>
      </w:r>
      <w:r>
        <w:rPr>
          <w:rFonts w:ascii="Times New Roman" w:hAnsi="Times New Roman" w:eastAsia="Times New Roman" w:cs="Times New Roman"/>
          <w:spacing w:val="1"/>
          <w:sz w:val="24"/>
          <w:szCs w:val="24"/>
        </w:rPr>
        <w:t>200~250m</w:t>
      </w:r>
      <w:r>
        <w:rPr>
          <w:rFonts w:ascii="宋体" w:hAnsi="宋体" w:eastAsia="宋体" w:cs="宋体"/>
          <w:spacing w:val="-3"/>
          <w:sz w:val="24"/>
          <w:szCs w:val="24"/>
        </w:rPr>
        <w:t>之间，主要靠河流渗透补给，同时也有部分破碎带的基岩裂隙水、干渠渗漏水及少量大气降水补入，该地区地下水在水质、水量和含水层岩性、埋藏量，均是由南向北、由好渐次、由大变小、由深变浅，地下水径流和水的交替作用也由强烈</w:t>
      </w:r>
      <w:r>
        <w:rPr>
          <w:rFonts w:ascii="宋体" w:hAnsi="宋体" w:eastAsia="宋体" w:cs="宋体"/>
          <w:spacing w:val="-1"/>
          <w:sz w:val="24"/>
          <w:szCs w:val="24"/>
        </w:rPr>
        <w:t>转为缓慢，具有典型的山前倾斜平原分带性特征。</w:t>
      </w:r>
    </w:p>
    <w:p>
      <w:pPr>
        <w:pStyle w:val="7"/>
        <w:keepNext w:val="0"/>
        <w:keepLines w:val="0"/>
        <w:pageBreakBefore w:val="0"/>
        <w:wordWrap/>
        <w:overflowPunct/>
        <w:topLinePunct w:val="0"/>
        <w:autoSpaceDE w:val="0"/>
        <w:autoSpaceDN w:val="0"/>
        <w:bidi w:val="0"/>
        <w:adjustRightInd w:val="0"/>
        <w:snapToGrid w:val="0"/>
        <w:spacing w:line="360" w:lineRule="auto"/>
        <w:ind w:left="0" w:right="0"/>
        <w:jc w:val="both"/>
        <w:rPr>
          <w:rFonts w:hint="eastAsia"/>
          <w:color w:val="auto"/>
          <w:highlight w:val="none"/>
          <w:lang w:eastAsia="zh-CN"/>
        </w:rPr>
      </w:pPr>
      <w:r>
        <w:rPr>
          <w:rFonts w:hint="eastAsia"/>
          <w:color w:val="auto"/>
          <w:highlight w:val="none"/>
          <w:lang w:val="en-US" w:eastAsia="zh-CN"/>
        </w:rPr>
        <w:t xml:space="preserve">5.3.2.2地下水污染防治措施 </w:t>
      </w:r>
    </w:p>
    <w:p>
      <w:pPr>
        <w:keepNext w:val="0"/>
        <w:keepLines w:val="0"/>
        <w:pageBreakBefore w:val="0"/>
        <w:wordWrap/>
        <w:overflowPunct/>
        <w:topLinePunct w:val="0"/>
        <w:autoSpaceDE w:val="0"/>
        <w:autoSpaceDN w:val="0"/>
        <w:bidi w:val="0"/>
        <w:adjustRightInd w:val="0"/>
        <w:snapToGrid w:val="0"/>
        <w:spacing w:line="360" w:lineRule="auto"/>
        <w:ind w:left="0" w:right="0"/>
        <w:rPr>
          <w:rFonts w:hint="eastAsia"/>
          <w:color w:val="auto"/>
          <w:highlight w:val="none"/>
          <w:lang w:val="en-US" w:eastAsia="zh-CN"/>
        </w:rPr>
      </w:pPr>
      <w:r>
        <w:rPr>
          <w:rFonts w:hint="eastAsia"/>
          <w:color w:val="auto"/>
          <w:highlight w:val="none"/>
        </w:rPr>
        <w:t>项目地下水污染防治措施和对策坚持“源头控制、分区防渗、污染监控”的原则，根据《危险废物贮存污染控制标准》（GB18597-20</w:t>
      </w:r>
      <w:r>
        <w:rPr>
          <w:rFonts w:hint="eastAsia"/>
          <w:color w:val="auto"/>
          <w:highlight w:val="none"/>
          <w:lang w:val="en-US" w:eastAsia="zh-CN"/>
        </w:rPr>
        <w:t>23</w:t>
      </w:r>
      <w:r>
        <w:rPr>
          <w:rFonts w:hint="eastAsia"/>
          <w:color w:val="auto"/>
          <w:highlight w:val="none"/>
          <w:lang w:eastAsia="zh-CN"/>
        </w:rPr>
        <w:t>）</w:t>
      </w:r>
      <w:r>
        <w:rPr>
          <w:rFonts w:hint="eastAsia"/>
          <w:color w:val="auto"/>
          <w:highlight w:val="none"/>
        </w:rPr>
        <w:t>、《环境影响评价技术导则-地下水环境》（HJ610-2016）等相关规定，具体防治措施如下：</w:t>
      </w:r>
    </w:p>
    <w:p>
      <w:pPr>
        <w:keepNext w:val="0"/>
        <w:keepLines w:val="0"/>
        <w:pageBreakBefore w:val="0"/>
        <w:wordWrap/>
        <w:overflowPunct/>
        <w:topLinePunct w:val="0"/>
        <w:autoSpaceDE w:val="0"/>
        <w:autoSpaceDN w:val="0"/>
        <w:bidi w:val="0"/>
        <w:adjustRightInd w:val="0"/>
        <w:snapToGrid w:val="0"/>
        <w:spacing w:line="360" w:lineRule="auto"/>
        <w:ind w:left="0" w:right="0"/>
        <w:rPr>
          <w:rFonts w:hint="eastAsia"/>
          <w:color w:val="auto"/>
          <w:highlight w:val="none"/>
          <w:lang w:val="en-US" w:eastAsia="zh-CN"/>
        </w:rPr>
      </w:pPr>
      <w:r>
        <w:rPr>
          <w:rFonts w:hint="eastAsia"/>
          <w:color w:val="auto"/>
          <w:highlight w:val="none"/>
          <w:lang w:val="en-US" w:eastAsia="zh-CN"/>
        </w:rPr>
        <w:t>①源头控制</w:t>
      </w:r>
    </w:p>
    <w:p>
      <w:pPr>
        <w:keepNext w:val="0"/>
        <w:keepLines w:val="0"/>
        <w:pageBreakBefore w:val="0"/>
        <w:wordWrap/>
        <w:overflowPunct/>
        <w:topLinePunct w:val="0"/>
        <w:autoSpaceDE w:val="0"/>
        <w:autoSpaceDN w:val="0"/>
        <w:bidi w:val="0"/>
        <w:adjustRightInd w:val="0"/>
        <w:snapToGrid w:val="0"/>
        <w:spacing w:line="360" w:lineRule="auto"/>
        <w:ind w:left="0" w:right="0"/>
        <w:rPr>
          <w:rFonts w:hint="eastAsia"/>
          <w:color w:val="auto"/>
          <w:highlight w:val="none"/>
        </w:rPr>
      </w:pPr>
      <w:r>
        <w:rPr>
          <w:rFonts w:hint="eastAsia"/>
          <w:color w:val="auto"/>
          <w:highlight w:val="none"/>
        </w:rPr>
        <w:t>本项目严格按照国家相关规范要求，对工艺、管道、设备、污水储存、危废暂存间采取相应的措施，以防止和降低污染物的跑、冒、滴、漏，将污染物泄漏的环境风险事故降低到最低程度。</w:t>
      </w:r>
    </w:p>
    <w:p>
      <w:pPr>
        <w:keepNext w:val="0"/>
        <w:keepLines w:val="0"/>
        <w:pageBreakBefore w:val="0"/>
        <w:wordWrap/>
        <w:overflowPunct/>
        <w:topLinePunct w:val="0"/>
        <w:autoSpaceDE w:val="0"/>
        <w:autoSpaceDN w:val="0"/>
        <w:bidi w:val="0"/>
        <w:adjustRightInd w:val="0"/>
        <w:snapToGrid w:val="0"/>
        <w:spacing w:line="360" w:lineRule="auto"/>
        <w:ind w:left="0" w:right="0"/>
        <w:rPr>
          <w:rFonts w:hint="eastAsia"/>
          <w:color w:val="auto"/>
          <w:highlight w:val="none"/>
          <w:lang w:val="en-US" w:eastAsia="zh-CN"/>
        </w:rPr>
      </w:pPr>
      <w:r>
        <w:rPr>
          <w:rFonts w:hint="eastAsia"/>
          <w:color w:val="auto"/>
          <w:highlight w:val="none"/>
          <w:lang w:val="en-US" w:eastAsia="zh-CN"/>
        </w:rPr>
        <w:t>②分区防渗</w:t>
      </w:r>
    </w:p>
    <w:p>
      <w:pPr>
        <w:keepNext w:val="0"/>
        <w:keepLines w:val="0"/>
        <w:pageBreakBefore w:val="0"/>
        <w:wordWrap/>
        <w:overflowPunct/>
        <w:topLinePunct w:val="0"/>
        <w:autoSpaceDE w:val="0"/>
        <w:autoSpaceDN w:val="0"/>
        <w:bidi w:val="0"/>
        <w:adjustRightInd w:val="0"/>
        <w:snapToGrid w:val="0"/>
        <w:spacing w:line="360" w:lineRule="auto"/>
        <w:ind w:left="0" w:right="0" w:firstLine="480" w:firstLineChars="200"/>
        <w:rPr>
          <w:rFonts w:hint="eastAsia" w:cs="Arial"/>
          <w:color w:val="auto"/>
          <w:sz w:val="24"/>
          <w:highlight w:val="none"/>
        </w:rPr>
      </w:pPr>
      <w:r>
        <w:rPr>
          <w:rFonts w:hint="eastAsia" w:cs="Arial"/>
          <w:color w:val="auto"/>
          <w:sz w:val="24"/>
          <w:highlight w:val="none"/>
        </w:rPr>
        <w:t>为了进一步保护地下水资源，本工程在设计上对</w:t>
      </w:r>
      <w:r>
        <w:rPr>
          <w:rFonts w:hint="eastAsia" w:cs="Arial"/>
          <w:color w:val="auto"/>
          <w:sz w:val="24"/>
          <w:highlight w:val="none"/>
          <w:lang w:eastAsia="zh-CN"/>
        </w:rPr>
        <w:t>沉淀池、脱硫水池、锅炉房、危废暂存间</w:t>
      </w:r>
      <w:r>
        <w:rPr>
          <w:rFonts w:hint="eastAsia" w:cs="Arial"/>
          <w:color w:val="auto"/>
          <w:sz w:val="24"/>
          <w:highlight w:val="none"/>
        </w:rPr>
        <w:t>等</w:t>
      </w:r>
      <w:r>
        <w:rPr>
          <w:rFonts w:hint="eastAsia" w:cs="Arial"/>
          <w:color w:val="auto"/>
          <w:sz w:val="24"/>
          <w:highlight w:val="none"/>
          <w:lang w:eastAsia="zh-CN"/>
        </w:rPr>
        <w:t>应参照“表</w:t>
      </w:r>
      <w:r>
        <w:rPr>
          <w:rFonts w:hint="eastAsia" w:cs="Arial"/>
          <w:color w:val="auto"/>
          <w:sz w:val="24"/>
          <w:highlight w:val="none"/>
          <w:lang w:val="en-US" w:eastAsia="zh-CN"/>
        </w:rPr>
        <w:t>5.3-1地下水防渗分区参照表”</w:t>
      </w:r>
      <w:r>
        <w:rPr>
          <w:rFonts w:hint="eastAsia" w:cs="Arial"/>
          <w:color w:val="auto"/>
          <w:sz w:val="24"/>
          <w:highlight w:val="none"/>
        </w:rPr>
        <w:t>采取以下防渗处理措施：</w:t>
      </w:r>
    </w:p>
    <w:p>
      <w:pPr>
        <w:spacing w:line="240" w:lineRule="auto"/>
        <w:ind w:firstLine="422" w:firstLineChars="200"/>
        <w:jc w:val="center"/>
        <w:rPr>
          <w:rFonts w:hint="eastAsia" w:eastAsia="宋体"/>
          <w:b/>
          <w:color w:val="auto"/>
          <w:sz w:val="21"/>
          <w:szCs w:val="20"/>
          <w:highlight w:val="none"/>
          <w:lang w:val="en-GB" w:eastAsia="zh-CN"/>
        </w:rPr>
      </w:pPr>
      <w:r>
        <w:rPr>
          <w:rFonts w:hint="eastAsia"/>
          <w:b/>
          <w:color w:val="auto"/>
          <w:sz w:val="21"/>
          <w:szCs w:val="20"/>
          <w:highlight w:val="none"/>
          <w:lang w:val="en-GB"/>
        </w:rPr>
        <w:t>表</w:t>
      </w:r>
      <w:r>
        <w:rPr>
          <w:rFonts w:hint="eastAsia"/>
          <w:b/>
          <w:color w:val="auto"/>
          <w:sz w:val="21"/>
          <w:szCs w:val="20"/>
          <w:highlight w:val="none"/>
          <w:lang w:val="en-US" w:eastAsia="zh-CN"/>
        </w:rPr>
        <w:t>5.3-1</w:t>
      </w:r>
      <w:r>
        <w:rPr>
          <w:rFonts w:hint="eastAsia"/>
          <w:b/>
          <w:color w:val="auto"/>
          <w:sz w:val="21"/>
          <w:szCs w:val="20"/>
          <w:highlight w:val="none"/>
          <w:lang w:val="en-GB"/>
        </w:rPr>
        <w:t xml:space="preserve"> </w:t>
      </w:r>
      <w:r>
        <w:rPr>
          <w:rFonts w:hint="eastAsia"/>
          <w:b/>
          <w:color w:val="auto"/>
          <w:sz w:val="21"/>
          <w:szCs w:val="20"/>
          <w:highlight w:val="none"/>
          <w:lang w:val="en-US" w:eastAsia="zh-CN"/>
        </w:rPr>
        <w:t xml:space="preserve">   </w:t>
      </w:r>
      <w:r>
        <w:rPr>
          <w:rFonts w:hint="eastAsia"/>
          <w:b/>
          <w:color w:val="auto"/>
          <w:sz w:val="21"/>
          <w:szCs w:val="20"/>
          <w:highlight w:val="none"/>
          <w:lang w:val="en-GB"/>
        </w:rPr>
        <w:t>地下水防渗分区参照</w:t>
      </w:r>
      <w:r>
        <w:rPr>
          <w:rFonts w:hint="eastAsia"/>
          <w:b/>
          <w:color w:val="auto"/>
          <w:sz w:val="21"/>
          <w:szCs w:val="20"/>
          <w:highlight w:val="none"/>
          <w:lang w:val="en-US" w:eastAsia="zh-CN"/>
        </w:rPr>
        <w:t>表</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880"/>
        <w:gridCol w:w="1431"/>
        <w:gridCol w:w="1151"/>
        <w:gridCol w:w="1862"/>
        <w:gridCol w:w="31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b/>
                <w:color w:val="auto"/>
                <w:sz w:val="21"/>
                <w:szCs w:val="18"/>
                <w:highlight w:val="none"/>
              </w:rPr>
            </w:pPr>
            <w:r>
              <w:rPr>
                <w:rFonts w:ascii="Times New Roman"/>
                <w:b/>
                <w:color w:val="auto"/>
                <w:sz w:val="21"/>
                <w:szCs w:val="18"/>
                <w:highlight w:val="none"/>
              </w:rPr>
              <w:t>防渗分区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b/>
                <w:color w:val="auto"/>
                <w:sz w:val="21"/>
                <w:szCs w:val="18"/>
                <w:highlight w:val="none"/>
              </w:rPr>
            </w:pPr>
            <w:r>
              <w:rPr>
                <w:rFonts w:ascii="Times New Roman"/>
                <w:b/>
                <w:color w:val="auto"/>
                <w:sz w:val="21"/>
                <w:szCs w:val="18"/>
                <w:highlight w:val="none"/>
              </w:rPr>
              <w:t>天然包气带防污性能</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b/>
                <w:color w:val="auto"/>
                <w:sz w:val="21"/>
                <w:szCs w:val="18"/>
                <w:highlight w:val="none"/>
              </w:rPr>
            </w:pPr>
            <w:r>
              <w:rPr>
                <w:rFonts w:ascii="Times New Roman"/>
                <w:b/>
                <w:color w:val="auto"/>
                <w:sz w:val="21"/>
                <w:szCs w:val="18"/>
                <w:highlight w:val="none"/>
              </w:rPr>
              <w:t>污染控制难易程度</w:t>
            </w:r>
          </w:p>
        </w:tc>
        <w:tc>
          <w:tcPr>
            <w:tcW w:w="1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b/>
                <w:color w:val="auto"/>
                <w:sz w:val="21"/>
                <w:szCs w:val="18"/>
                <w:highlight w:val="none"/>
              </w:rPr>
            </w:pPr>
            <w:r>
              <w:rPr>
                <w:rFonts w:ascii="Times New Roman"/>
                <w:b/>
                <w:color w:val="auto"/>
                <w:sz w:val="21"/>
                <w:szCs w:val="18"/>
                <w:highlight w:val="none"/>
              </w:rPr>
              <w:t>污染物类型</w:t>
            </w:r>
          </w:p>
        </w:tc>
        <w:tc>
          <w:tcPr>
            <w:tcW w:w="3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b/>
                <w:color w:val="auto"/>
                <w:sz w:val="21"/>
                <w:szCs w:val="18"/>
                <w:highlight w:val="none"/>
              </w:rPr>
            </w:pPr>
            <w:r>
              <w:rPr>
                <w:rFonts w:ascii="Times New Roman"/>
                <w:b/>
                <w:color w:val="auto"/>
                <w:sz w:val="21"/>
                <w:szCs w:val="18"/>
                <w:highlight w:val="none"/>
              </w:rPr>
              <w:t>防渗技术要求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重点防渗区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弱</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难</w:t>
            </w:r>
          </w:p>
        </w:tc>
        <w:tc>
          <w:tcPr>
            <w:tcW w:w="18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重金属、持久性有机物污染物</w:t>
            </w:r>
          </w:p>
        </w:tc>
        <w:tc>
          <w:tcPr>
            <w:tcW w:w="31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20"/>
                <w:highlight w:val="none"/>
              </w:rPr>
              <w:t>等效黏土防渗层Mb≥6.0m，K≤1.0×10</w:t>
            </w:r>
            <w:r>
              <w:rPr>
                <w:rFonts w:ascii="Times New Roman"/>
                <w:color w:val="auto"/>
                <w:sz w:val="21"/>
                <w:szCs w:val="20"/>
                <w:highlight w:val="none"/>
                <w:vertAlign w:val="superscript"/>
              </w:rPr>
              <w:t>-7</w:t>
            </w:r>
            <w:r>
              <w:rPr>
                <w:rFonts w:ascii="Times New Roman"/>
                <w:color w:val="auto"/>
                <w:sz w:val="21"/>
                <w:szCs w:val="20"/>
                <w:highlight w:val="none"/>
              </w:rPr>
              <w:t>cm/s；或参照GB18598执行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中-强</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难</w:t>
            </w:r>
          </w:p>
        </w:tc>
        <w:tc>
          <w:tcPr>
            <w:tcW w:w="18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31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弱</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易</w:t>
            </w:r>
          </w:p>
        </w:tc>
        <w:tc>
          <w:tcPr>
            <w:tcW w:w="18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31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一般防渗区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18"/>
                <w:highlight w:val="none"/>
              </w:rPr>
              <w:t>弱</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易-难</w:t>
            </w:r>
          </w:p>
        </w:tc>
        <w:tc>
          <w:tcPr>
            <w:tcW w:w="18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其他类型</w:t>
            </w:r>
          </w:p>
        </w:tc>
        <w:tc>
          <w:tcPr>
            <w:tcW w:w="31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20"/>
                <w:highlight w:val="none"/>
              </w:rPr>
              <w:t>等效黏土防渗层Mb≥1.5m，K≤1.0×10</w:t>
            </w:r>
            <w:r>
              <w:rPr>
                <w:rFonts w:ascii="Times New Roman"/>
                <w:color w:val="auto"/>
                <w:sz w:val="21"/>
                <w:szCs w:val="20"/>
                <w:highlight w:val="none"/>
                <w:vertAlign w:val="superscript"/>
              </w:rPr>
              <w:t>-7</w:t>
            </w:r>
            <w:r>
              <w:rPr>
                <w:rFonts w:ascii="Times New Roman"/>
                <w:color w:val="auto"/>
                <w:sz w:val="21"/>
                <w:szCs w:val="20"/>
                <w:highlight w:val="none"/>
              </w:rPr>
              <w:t>cm/s；或参照GB18598执行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18"/>
                <w:highlight w:val="none"/>
              </w:rPr>
              <w:t>中-强</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难</w:t>
            </w:r>
          </w:p>
        </w:tc>
        <w:tc>
          <w:tcPr>
            <w:tcW w:w="18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31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18"/>
                <w:highlight w:val="none"/>
              </w:rPr>
              <w:t>中</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易</w:t>
            </w:r>
          </w:p>
        </w:tc>
        <w:tc>
          <w:tcPr>
            <w:tcW w:w="18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18"/>
                <w:highlight w:val="none"/>
              </w:rPr>
              <w:t>重金属、持久性有机物污染物</w:t>
            </w:r>
          </w:p>
        </w:tc>
        <w:tc>
          <w:tcPr>
            <w:tcW w:w="31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18"/>
                <w:highlight w:val="none"/>
              </w:rPr>
              <w:t>强</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易</w:t>
            </w:r>
          </w:p>
        </w:tc>
        <w:tc>
          <w:tcPr>
            <w:tcW w:w="18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c>
          <w:tcPr>
            <w:tcW w:w="31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340" w:hRule="atLeast"/>
          <w:jc w:val="center"/>
        </w:trPr>
        <w:tc>
          <w:tcPr>
            <w:tcW w:w="8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简单防渗区</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18"/>
                <w:highlight w:val="none"/>
              </w:rPr>
              <w:t>中-强</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易</w:t>
            </w:r>
          </w:p>
        </w:tc>
        <w:tc>
          <w:tcPr>
            <w:tcW w:w="18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color w:val="auto"/>
                <w:sz w:val="21"/>
                <w:szCs w:val="18"/>
                <w:highlight w:val="none"/>
              </w:rPr>
            </w:pPr>
            <w:r>
              <w:rPr>
                <w:rFonts w:ascii="Times New Roman"/>
                <w:color w:val="auto"/>
                <w:sz w:val="21"/>
                <w:szCs w:val="18"/>
                <w:highlight w:val="none"/>
              </w:rPr>
              <w:t>其他类型</w:t>
            </w:r>
          </w:p>
        </w:tc>
        <w:tc>
          <w:tcPr>
            <w:tcW w:w="31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eastAsia="宋体"/>
                <w:color w:val="auto"/>
                <w:sz w:val="21"/>
                <w:szCs w:val="18"/>
                <w:highlight w:val="none"/>
              </w:rPr>
            </w:pPr>
            <w:r>
              <w:rPr>
                <w:rFonts w:ascii="Times New Roman"/>
                <w:color w:val="auto"/>
                <w:sz w:val="21"/>
                <w:szCs w:val="18"/>
                <w:highlight w:val="none"/>
              </w:rPr>
              <w:t>一般地面硬化</w:t>
            </w:r>
          </w:p>
        </w:tc>
      </w:tr>
    </w:tbl>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2" w:firstLineChars="200"/>
        <w:jc w:val="center"/>
        <w:textAlignment w:val="auto"/>
        <w:rPr>
          <w:rFonts w:hint="default" w:eastAsia="宋体"/>
          <w:b/>
          <w:color w:val="auto"/>
          <w:sz w:val="21"/>
          <w:szCs w:val="21"/>
          <w:highlight w:val="none"/>
          <w:lang w:val="en-US" w:eastAsia="zh-CN"/>
        </w:rPr>
      </w:pPr>
      <w:r>
        <w:rPr>
          <w:rFonts w:hint="eastAsia"/>
          <w:b/>
          <w:color w:val="auto"/>
          <w:sz w:val="21"/>
          <w:szCs w:val="21"/>
          <w:highlight w:val="none"/>
          <w:lang w:val="en-GB"/>
        </w:rPr>
        <w:t>表</w:t>
      </w:r>
      <w:r>
        <w:rPr>
          <w:rFonts w:hint="eastAsia"/>
          <w:b/>
          <w:color w:val="auto"/>
          <w:sz w:val="21"/>
          <w:szCs w:val="21"/>
          <w:highlight w:val="none"/>
          <w:lang w:val="en-US" w:eastAsia="zh-CN"/>
        </w:rPr>
        <w:t>5.3-2</w:t>
      </w:r>
      <w:r>
        <w:rPr>
          <w:rFonts w:hint="eastAsia"/>
          <w:b/>
          <w:color w:val="auto"/>
          <w:sz w:val="21"/>
          <w:szCs w:val="21"/>
          <w:highlight w:val="none"/>
          <w:lang w:val="en-GB"/>
        </w:rPr>
        <w:t xml:space="preserve"> </w:t>
      </w:r>
      <w:r>
        <w:rPr>
          <w:rFonts w:hint="eastAsia"/>
          <w:b/>
          <w:color w:val="auto"/>
          <w:sz w:val="21"/>
          <w:szCs w:val="21"/>
          <w:highlight w:val="none"/>
          <w:lang w:val="en-US" w:eastAsia="zh-CN"/>
        </w:rPr>
        <w:t xml:space="preserve">   本项目主要防渗分区一览表</w:t>
      </w:r>
    </w:p>
    <w:tbl>
      <w:tblPr>
        <w:tblStyle w:val="31"/>
        <w:tblW w:w="502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57" w:type="dxa"/>
          <w:bottom w:w="0" w:type="dxa"/>
          <w:right w:w="57" w:type="dxa"/>
        </w:tblCellMar>
      </w:tblPr>
      <w:tblGrid>
        <w:gridCol w:w="3016"/>
        <w:gridCol w:w="3016"/>
        <w:gridCol w:w="24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426" w:hRule="atLeast"/>
          <w:jc w:val="center"/>
        </w:trPr>
        <w:tc>
          <w:tcPr>
            <w:tcW w:w="1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b/>
                <w:color w:val="auto"/>
                <w:sz w:val="21"/>
                <w:szCs w:val="21"/>
                <w:highlight w:val="none"/>
                <w:lang w:val="en-US" w:eastAsia="zh-CN"/>
              </w:rPr>
            </w:pPr>
            <w:r>
              <w:rPr>
                <w:rFonts w:hint="eastAsia" w:ascii="Times New Roman"/>
                <w:b/>
                <w:color w:val="auto"/>
                <w:sz w:val="21"/>
                <w:szCs w:val="21"/>
                <w:highlight w:val="none"/>
                <w:lang w:val="en-US" w:eastAsia="zh-CN"/>
              </w:rPr>
              <w:t>装置、单元名称</w:t>
            </w:r>
          </w:p>
        </w:tc>
        <w:tc>
          <w:tcPr>
            <w:tcW w:w="1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b/>
                <w:color w:val="auto"/>
                <w:sz w:val="21"/>
                <w:szCs w:val="21"/>
                <w:highlight w:val="none"/>
                <w:lang w:val="en-US" w:eastAsia="zh-CN"/>
              </w:rPr>
            </w:pPr>
            <w:r>
              <w:rPr>
                <w:rFonts w:hint="eastAsia" w:ascii="Times New Roman" w:eastAsia="宋体"/>
                <w:b/>
                <w:color w:val="auto"/>
                <w:sz w:val="21"/>
                <w:szCs w:val="21"/>
                <w:highlight w:val="none"/>
                <w:lang w:val="en-US" w:eastAsia="zh-CN"/>
              </w:rPr>
              <w:t>污染治理区域及部位</w:t>
            </w:r>
          </w:p>
        </w:tc>
        <w:tc>
          <w:tcPr>
            <w:tcW w:w="14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b/>
                <w:color w:val="auto"/>
                <w:sz w:val="21"/>
                <w:szCs w:val="21"/>
                <w:highlight w:val="none"/>
                <w:lang w:val="en-US" w:eastAsia="zh-CN"/>
              </w:rPr>
            </w:pPr>
            <w:r>
              <w:rPr>
                <w:rFonts w:hint="eastAsia" w:ascii="Times New Roman" w:eastAsia="宋体"/>
                <w:b/>
                <w:color w:val="auto"/>
                <w:sz w:val="21"/>
                <w:szCs w:val="21"/>
                <w:highlight w:val="none"/>
                <w:lang w:val="en-US" w:eastAsia="zh-CN"/>
              </w:rPr>
              <w:t>防渗区类别</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426" w:hRule="atLeast"/>
          <w:jc w:val="center"/>
        </w:trPr>
        <w:tc>
          <w:tcPr>
            <w:tcW w:w="1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锅炉房、储煤场、灰渣场</w:t>
            </w:r>
          </w:p>
        </w:tc>
        <w:tc>
          <w:tcPr>
            <w:tcW w:w="1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地面</w:t>
            </w:r>
          </w:p>
        </w:tc>
        <w:tc>
          <w:tcPr>
            <w:tcW w:w="14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简单防渗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426" w:hRule="atLeast"/>
          <w:jc w:val="center"/>
        </w:trPr>
        <w:tc>
          <w:tcPr>
            <w:tcW w:w="1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脱硫水池、循环水池、沉淀池</w:t>
            </w:r>
          </w:p>
        </w:tc>
        <w:tc>
          <w:tcPr>
            <w:tcW w:w="1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水池、池壁、管线</w:t>
            </w:r>
          </w:p>
        </w:tc>
        <w:tc>
          <w:tcPr>
            <w:tcW w:w="14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一般防渗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cantSplit/>
          <w:trHeight w:val="450" w:hRule="atLeast"/>
          <w:jc w:val="center"/>
        </w:trPr>
        <w:tc>
          <w:tcPr>
            <w:tcW w:w="1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危废暂存间</w:t>
            </w:r>
          </w:p>
        </w:tc>
        <w:tc>
          <w:tcPr>
            <w:tcW w:w="1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危废暂存间地面</w:t>
            </w:r>
          </w:p>
        </w:tc>
        <w:tc>
          <w:tcPr>
            <w:tcW w:w="14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重点防渗</w:t>
            </w:r>
          </w:p>
        </w:tc>
      </w:tr>
    </w:tbl>
    <w:p>
      <w:pPr>
        <w:bidi w:val="0"/>
        <w:rPr>
          <w:rFonts w:hint="eastAsia"/>
          <w:color w:val="auto"/>
          <w:highlight w:val="none"/>
          <w:lang w:val="en-US" w:eastAsia="zh-CN"/>
        </w:rPr>
      </w:pPr>
      <w:r>
        <w:rPr>
          <w:rFonts w:hint="eastAsia"/>
          <w:color w:val="auto"/>
          <w:highlight w:val="none"/>
          <w:lang w:eastAsia="zh-CN"/>
        </w:rPr>
        <w:t>参照上表，</w:t>
      </w:r>
      <w:r>
        <w:rPr>
          <w:rFonts w:hint="eastAsia"/>
          <w:color w:val="auto"/>
          <w:highlight w:val="none"/>
          <w:lang w:val="en-US" w:eastAsia="zh-CN"/>
        </w:rPr>
        <w:t>本项目锅炉房、煤场、灰渣场采取简单防渗，采用C30混凝土硬化；脱硫水池、循环水池、</w:t>
      </w:r>
      <w:r>
        <w:rPr>
          <w:rFonts w:hint="eastAsia"/>
          <w:color w:val="auto"/>
          <w:highlight w:val="none"/>
          <w:lang w:eastAsia="zh-CN"/>
        </w:rPr>
        <w:t>沉淀池底部和侧面应按一般防渗区采取防渗措施：水池</w:t>
      </w:r>
      <w:r>
        <w:rPr>
          <w:color w:val="auto"/>
          <w:highlight w:val="none"/>
        </w:rPr>
        <w:t>防渗粘土层上部及侧面铺设1.0mm 高密度聚乙烯（HDPE）防渗膜，等效黏土Mb≥1.5m，满足渗透系数K≤1.0×10</w:t>
      </w:r>
      <w:r>
        <w:rPr>
          <w:color w:val="auto"/>
          <w:highlight w:val="none"/>
          <w:vertAlign w:val="superscript"/>
        </w:rPr>
        <w:t>-7</w:t>
      </w:r>
      <w:r>
        <w:rPr>
          <w:color w:val="auto"/>
          <w:highlight w:val="none"/>
        </w:rPr>
        <w:t>cm/s</w:t>
      </w:r>
      <w:r>
        <w:rPr>
          <w:rFonts w:hint="eastAsia"/>
          <w:color w:val="auto"/>
          <w:highlight w:val="none"/>
          <w:lang w:eastAsia="zh-CN"/>
        </w:rPr>
        <w:t>，在做好基层防渗的基础上进行水泥硬化。</w:t>
      </w:r>
      <w:r>
        <w:rPr>
          <w:rFonts w:hint="eastAsia"/>
          <w:color w:val="auto"/>
          <w:highlight w:val="none"/>
          <w:lang w:val="en-US" w:eastAsia="zh-CN"/>
        </w:rPr>
        <w:t>项目危废暂存间为重点防渗区，要求建设必须做好防渗措施，防渗层防渗性能不低于6m厚，渗透系数</w:t>
      </w:r>
      <w:r>
        <w:rPr>
          <w:rFonts w:hint="eastAsia"/>
          <w:color w:val="auto"/>
          <w:highlight w:val="none"/>
          <w:lang w:eastAsia="zh-CN"/>
        </w:rPr>
        <w:t>K≤1.0×10</w:t>
      </w:r>
      <w:r>
        <w:rPr>
          <w:rFonts w:hint="eastAsia"/>
          <w:color w:val="auto"/>
          <w:highlight w:val="none"/>
          <w:vertAlign w:val="superscript"/>
          <w:lang w:eastAsia="zh-CN"/>
        </w:rPr>
        <w:t>-7</w:t>
      </w:r>
      <w:r>
        <w:rPr>
          <w:rFonts w:hint="eastAsia"/>
          <w:color w:val="auto"/>
          <w:highlight w:val="none"/>
          <w:lang w:eastAsia="zh-CN"/>
        </w:rPr>
        <w:t>cm/s</w:t>
      </w:r>
      <w:r>
        <w:rPr>
          <w:rFonts w:hint="eastAsia"/>
          <w:color w:val="auto"/>
          <w:highlight w:val="none"/>
          <w:lang w:val="en-US" w:eastAsia="zh-CN"/>
        </w:rPr>
        <w:t>，的防渗性能，防止泄漏污染地下水；危废暂存间应严格按照《危险废物贮存污染控制标准》（GB18957-2023）中有关规定进行建设</w:t>
      </w:r>
      <w:r>
        <w:rPr>
          <w:rFonts w:hint="eastAsia"/>
          <w:color w:val="auto"/>
          <w:highlight w:val="none"/>
          <w:lang w:eastAsia="zh-CN"/>
        </w:rPr>
        <w:t>。</w:t>
      </w:r>
      <w:r>
        <w:rPr>
          <w:rFonts w:hint="eastAsia"/>
          <w:color w:val="auto"/>
          <w:highlight w:val="none"/>
          <w:lang w:val="en-US" w:eastAsia="zh-CN"/>
        </w:rPr>
        <w:t>项目区分区防渗图见图5.3-1。</w:t>
      </w:r>
    </w:p>
    <w:p>
      <w:pPr>
        <w:bidi w:val="0"/>
        <w:rPr>
          <w:rFonts w:hint="eastAsia"/>
          <w:color w:val="auto"/>
          <w:highlight w:val="none"/>
        </w:rPr>
      </w:pPr>
      <w:r>
        <w:rPr>
          <w:rFonts w:hint="eastAsia"/>
          <w:color w:val="auto"/>
          <w:highlight w:val="none"/>
          <w:lang w:eastAsia="zh-CN"/>
        </w:rPr>
        <w:t>同时</w:t>
      </w:r>
      <w:r>
        <w:rPr>
          <w:rFonts w:hint="eastAsia"/>
          <w:color w:val="auto"/>
          <w:highlight w:val="none"/>
        </w:rPr>
        <w:t>本项目配备专职技术人员，加强环境管理，定期对</w:t>
      </w:r>
      <w:r>
        <w:rPr>
          <w:rFonts w:hint="eastAsia"/>
          <w:color w:val="auto"/>
          <w:highlight w:val="none"/>
          <w:lang w:eastAsia="zh-CN"/>
        </w:rPr>
        <w:t>危废间、循环水池</w:t>
      </w:r>
      <w:r>
        <w:rPr>
          <w:rFonts w:hint="eastAsia"/>
          <w:color w:val="auto"/>
          <w:highlight w:val="none"/>
        </w:rPr>
        <w:t>、</w:t>
      </w:r>
      <w:r>
        <w:rPr>
          <w:rFonts w:hint="eastAsia"/>
          <w:color w:val="auto"/>
          <w:highlight w:val="none"/>
          <w:lang w:eastAsia="zh-CN"/>
        </w:rPr>
        <w:t>脱硫</w:t>
      </w:r>
      <w:r>
        <w:rPr>
          <w:rFonts w:hint="eastAsia"/>
          <w:color w:val="auto"/>
          <w:highlight w:val="none"/>
        </w:rPr>
        <w:t>水池和</w:t>
      </w:r>
      <w:r>
        <w:rPr>
          <w:rFonts w:hint="eastAsia"/>
          <w:color w:val="auto"/>
          <w:highlight w:val="none"/>
          <w:lang w:eastAsia="zh-CN"/>
        </w:rPr>
        <w:t>沉淀</w:t>
      </w:r>
      <w:r>
        <w:rPr>
          <w:rFonts w:hint="eastAsia"/>
          <w:color w:val="auto"/>
          <w:highlight w:val="none"/>
        </w:rPr>
        <w:t>池等环节进行检漏工作，确保各防渗漏措施运行的长期性、稳定性和可靠性。</w:t>
      </w:r>
    </w:p>
    <w:p>
      <w:pPr>
        <w:bidi w:val="0"/>
        <w:rPr>
          <w:color w:val="auto"/>
          <w:highlight w:val="none"/>
        </w:rPr>
      </w:pPr>
      <w:r>
        <w:rPr>
          <w:rFonts w:hint="eastAsia"/>
          <w:color w:val="auto"/>
          <w:highlight w:val="none"/>
        </w:rPr>
        <w:t>综上所述，本项目通过建设防渗、防污措施，因此本项目几乎不对地下水产生影响。</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lang w:val="en-US" w:eastAsia="zh-CN"/>
        </w:rPr>
      </w:pPr>
      <w:r>
        <w:rPr>
          <w:rFonts w:ascii="宋体" w:hAnsi="宋体"/>
        </w:rPr>
        <w:pict>
          <v:shape id="_x0000_s1247" o:spid="_x0000_s1247" o:spt="75" type="#_x0000_t75" style="position:absolute;left:0pt;margin-left:-45pt;margin-top:13.85pt;height:295.8pt;width:501.7pt;z-index:251697152;mso-width-relative:page;mso-height-relative:page;" o:ole="t" filled="f" o:preferrelative="t" stroked="f" coordsize="21600,21600">
            <v:path/>
            <v:fill on="f" focussize="0,0"/>
            <v:stroke on="f"/>
            <v:imagedata r:id="rId59" croptop="19451f" o:title=""/>
            <o:lock v:ext="edit" aspectratio="t"/>
          </v:shape>
          <o:OLEObject Type="Embed" ProgID="Visio.Drawing.11" ShapeID="_x0000_s1247" DrawAspect="Content" ObjectID="_1468075731" r:id="rId58">
            <o:LockedField>false</o:LockedField>
          </o:OLEObject>
        </w:pict>
      </w:r>
    </w:p>
    <w:p>
      <w:pPr>
        <w:bidi w:val="0"/>
        <w:rPr>
          <w:rFonts w:hint="default"/>
          <w:lang w:val="en-US" w:eastAsia="zh-CN"/>
        </w:rPr>
      </w:pPr>
    </w:p>
    <w:p>
      <w:pPr>
        <w:bidi w:val="0"/>
        <w:rPr>
          <w:rFonts w:hint="default"/>
          <w:lang w:val="en-US" w:eastAsia="zh-CN"/>
        </w:rPr>
      </w:pPr>
      <w:r>
        <w:rPr>
          <w:color w:val="auto"/>
          <w:sz w:val="24"/>
          <w:highlight w:val="none"/>
        </w:rPr>
        <w:pict>
          <v:rect id="_x0000_s1250" o:spid="_x0000_s1250" o:spt="1" style="position:absolute;left:0pt;margin-left:113.9pt;margin-top:13.8pt;height:107.25pt;width:38.25pt;z-index:251700224;mso-width-relative:page;mso-height-relative:page;" fillcolor="#FFFFFF" filled="t" stroked="t" coordsize="21600,21600">
            <v:path/>
            <v:fill on="t" color2="#FFFFFF" opacity="0f" focussize="0,0"/>
            <v:stroke weight="2pt" color="#0000FF" joinstyle="miter"/>
            <v:imagedata o:title=""/>
            <o:lock v:ext="edit" aspectratio="f"/>
          </v:rect>
        </w:pict>
      </w:r>
    </w:p>
    <w:p>
      <w:pPr>
        <w:bidi w:val="0"/>
        <w:rPr>
          <w:rFonts w:hint="default"/>
          <w:lang w:val="en-US" w:eastAsia="zh-CN"/>
        </w:rPr>
      </w:pPr>
    </w:p>
    <w:p>
      <w:pPr>
        <w:bidi w:val="0"/>
        <w:rPr>
          <w:rFonts w:hint="default"/>
          <w:lang w:val="en-US" w:eastAsia="zh-CN"/>
        </w:rPr>
      </w:pPr>
      <w:r>
        <w:rPr>
          <w:sz w:val="24"/>
        </w:rPr>
        <w:pict>
          <v:group id="_x0000_s1263" o:spid="_x0000_s1263" o:spt="203" style="position:absolute;left:0pt;margin-left:301.25pt;margin-top:20.55pt;height:107.9pt;width:131.9pt;z-index:251706368;mso-width-relative:page;mso-height-relative:page;" coordorigin="11590,1390839" coordsize="2638,2158">
            <o:lock v:ext="edit" aspectratio="f"/>
            <v:shape id="_x0000_s1259" o:spid="_x0000_s1259" o:spt="202" type="#_x0000_t202" style="position:absolute;left:11590;top:1390839;height:2158;width:2639;" fillcolor="#FFFFFF" filled="t" stroked="t" coordsize="21600,21600">
              <v:path/>
              <v:fill on="t" color2="#FFFFFF" focussize="0,0"/>
              <v:stroke color="#000000" joinstyle="miter"/>
              <v:imagedata o:title=""/>
              <o:lock v:ext="edit" aspectratio="f"/>
              <v:textbox>
                <w:txbxContent>
                  <w:p>
                    <w:pPr>
                      <w:keepNext w:val="0"/>
                      <w:keepLines w:val="0"/>
                      <w:pageBreakBefore w:val="0"/>
                      <w:kinsoku/>
                      <w:wordWrap/>
                      <w:overflowPunct/>
                      <w:topLinePunct w:val="0"/>
                      <w:bidi w:val="0"/>
                      <w:adjustRightInd w:val="0"/>
                      <w:snapToGrid w:val="0"/>
                      <w:spacing w:line="360" w:lineRule="auto"/>
                      <w:ind w:left="0" w:leftChars="0" w:firstLine="0" w:firstLineChars="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图例</w:t>
                    </w:r>
                  </w:p>
                  <w:p>
                    <w:pPr>
                      <w:keepNext w:val="0"/>
                      <w:keepLines w:val="0"/>
                      <w:pageBreakBefore w:val="0"/>
                      <w:kinsoku/>
                      <w:wordWrap/>
                      <w:overflowPunct/>
                      <w:topLinePunct w:val="0"/>
                      <w:bidi w:val="0"/>
                      <w:adjustRightInd w:val="0"/>
                      <w:snapToGrid w:val="0"/>
                      <w:spacing w:line="360" w:lineRule="auto"/>
                      <w:ind w:left="0" w:leftChars="0" w:firstLine="0" w:firstLineChars="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重点防渗区</w:t>
                    </w:r>
                  </w:p>
                  <w:p>
                    <w:pPr>
                      <w:keepNext w:val="0"/>
                      <w:keepLines w:val="0"/>
                      <w:pageBreakBefore w:val="0"/>
                      <w:kinsoku/>
                      <w:wordWrap/>
                      <w:overflowPunct/>
                      <w:topLinePunct w:val="0"/>
                      <w:bidi w:val="0"/>
                      <w:adjustRightInd w:val="0"/>
                      <w:snapToGrid w:val="0"/>
                      <w:spacing w:line="360" w:lineRule="auto"/>
                      <w:ind w:left="0" w:leftChars="0" w:firstLine="0" w:firstLineChars="0"/>
                      <w:textAlignment w:val="auto"/>
                      <w:rPr>
                        <w:rFonts w:hint="eastAsia"/>
                        <w:lang w:eastAsia="zh-CN"/>
                      </w:rPr>
                    </w:pPr>
                    <w:r>
                      <w:rPr>
                        <w:rFonts w:hint="eastAsia"/>
                        <w:lang w:eastAsia="zh-CN"/>
                      </w:rPr>
                      <w:t>一般防渗区</w:t>
                    </w:r>
                  </w:p>
                  <w:p>
                    <w:pPr>
                      <w:pStyle w:val="82"/>
                      <w:keepNext w:val="0"/>
                      <w:keepLines w:val="0"/>
                      <w:pageBreakBefore w:val="0"/>
                      <w:kinsoku/>
                      <w:wordWrap/>
                      <w:overflowPunct/>
                      <w:topLinePunct w:val="0"/>
                      <w:bidi w:val="0"/>
                      <w:adjustRightInd w:val="0"/>
                      <w:snapToGrid w:val="0"/>
                      <w:spacing w:line="360" w:lineRule="auto"/>
                      <w:ind w:firstLine="0" w:firstLineChars="0"/>
                      <w:textAlignment w:val="auto"/>
                      <w:rPr>
                        <w:rFonts w:hint="eastAsia"/>
                        <w:lang w:eastAsia="zh-CN"/>
                      </w:rPr>
                    </w:pPr>
                    <w:r>
                      <w:rPr>
                        <w:rFonts w:hint="eastAsia"/>
                        <w:lang w:eastAsia="zh-CN"/>
                      </w:rPr>
                      <w:t>简单防渗区</w:t>
                    </w:r>
                  </w:p>
                </w:txbxContent>
              </v:textbox>
            </v:shape>
            <v:rect id="_x0000_s1262" o:spid="_x0000_s1262" o:spt="1" style="position:absolute;left:13074;top:1391451;height:180;width:600;" fillcolor="#FFFFFF" filled="t" stroked="t" coordsize="21600,21600">
              <v:path/>
              <v:fill on="t" color2="#FFFFFF" focussize="0,0"/>
              <v:stroke weight="2pt" color="#FF0000" joinstyle="miter"/>
              <v:imagedata o:title=""/>
              <o:lock v:ext="edit" aspectratio="f"/>
            </v:rect>
            <v:rect id="_x0000_s1261" o:spid="_x0000_s1261" o:spt="1" style="position:absolute;left:13089;top:1391916;height:180;width:600;" fillcolor="#FFFFFF" filled="t" stroked="t" coordsize="21600,21600">
              <v:path/>
              <v:fill on="t" color2="#FFFFFF" focussize="0,0"/>
              <v:stroke weight="2pt" color="#00B050" joinstyle="miter"/>
              <v:imagedata o:title=""/>
              <o:lock v:ext="edit" aspectratio="f"/>
            </v:rect>
            <v:rect id="_x0000_s1260" o:spid="_x0000_s1260" o:spt="1" style="position:absolute;left:13119;top:1392411;height:180;width:600;" fillcolor="#FFFFFF" filled="t" stroked="t" coordsize="21600,21600">
              <v:path/>
              <v:fill on="t" color2="#FFFFFF" focussize="0,0"/>
              <v:stroke weight="2pt" color="#0000FF" joinstyle="miter"/>
              <v:imagedata o:title=""/>
              <o:lock v:ext="edit" aspectratio="f"/>
            </v:rect>
          </v:group>
        </w:pict>
      </w:r>
      <w:r>
        <w:rPr>
          <w:sz w:val="24"/>
        </w:rPr>
        <w:pict>
          <v:shape id="_x0000_s1256" o:spid="_x0000_s1256" o:spt="62" type="#_x0000_t62" style="position:absolute;left:0pt;margin-left:205.75pt;margin-top:17.95pt;height:26.25pt;width:88.45pt;z-index:251704320;mso-width-relative:page;mso-height-relative:page;" fillcolor="#FFFFFF" filled="t" stroked="t" coordsize="21600,21600" adj="2271,39497">
            <v:path/>
            <v:fill on="t" color2="#FFFFFF" focussize="0,0"/>
            <v:stroke color="#000000"/>
            <v:imagedata o:title=""/>
            <o:lock v:ext="edit" aspectratio="f"/>
            <v:textbox>
              <w:txbxContent>
                <w:p>
                  <w:pPr>
                    <w:ind w:left="0" w:leftChars="0" w:firstLine="0" w:firstLineChars="0"/>
                    <w:rPr>
                      <w:rFonts w:hint="eastAsia" w:eastAsia="宋体"/>
                      <w:lang w:eastAsia="zh-CN"/>
                    </w:rPr>
                  </w:pPr>
                  <w:r>
                    <w:rPr>
                      <w:rFonts w:hint="eastAsia"/>
                      <w:lang w:eastAsia="zh-CN"/>
                    </w:rPr>
                    <w:t>拟建锅炉房</w:t>
                  </w:r>
                </w:p>
              </w:txbxContent>
            </v:textbox>
          </v:shape>
        </w:pict>
      </w:r>
    </w:p>
    <w:p>
      <w:pPr>
        <w:bidi w:val="0"/>
        <w:rPr>
          <w:rFonts w:hint="default"/>
          <w:lang w:val="en-US" w:eastAsia="zh-CN"/>
        </w:rPr>
      </w:pPr>
    </w:p>
    <w:p>
      <w:pPr>
        <w:bidi w:val="0"/>
        <w:rPr>
          <w:rFonts w:hint="default"/>
          <w:lang w:val="en-US" w:eastAsia="zh-CN"/>
        </w:rPr>
      </w:pPr>
    </w:p>
    <w:p>
      <w:pPr>
        <w:bidi w:val="0"/>
        <w:rPr>
          <w:rFonts w:hint="default"/>
          <w:lang w:val="en-US" w:eastAsia="zh-CN"/>
        </w:rPr>
      </w:pPr>
      <w:r>
        <w:rPr>
          <w:color w:val="auto"/>
          <w:sz w:val="24"/>
          <w:highlight w:val="none"/>
        </w:rPr>
        <w:pict>
          <v:rect id="_x0000_s1249" o:spid="_x0000_s1249" o:spt="1" style="position:absolute;left:0pt;margin-left:212.15pt;margin-top:2.55pt;height:35.25pt;width:11.25pt;z-index:251699200;mso-width-relative:page;mso-height-relative:page;" fillcolor="#FFFFFF" filled="t" stroked="t" coordsize="21600,21600">
            <v:path/>
            <v:fill on="t" color2="#FFFFFF" focussize="0,0"/>
            <v:stroke weight="2pt" color="#0000FF" joinstyle="miter"/>
            <v:imagedata o:title=""/>
            <o:lock v:ext="edit" aspectratio="f"/>
          </v:rect>
        </w:pict>
      </w:r>
    </w:p>
    <w:p>
      <w:pPr>
        <w:bidi w:val="0"/>
        <w:rPr>
          <w:rFonts w:hint="default"/>
          <w:lang w:val="en-US" w:eastAsia="zh-CN"/>
        </w:rPr>
      </w:pPr>
      <w:r>
        <w:rPr>
          <w:color w:val="auto"/>
          <w:sz w:val="24"/>
          <w:highlight w:val="none"/>
        </w:rPr>
        <w:pict>
          <v:rect id="_x0000_s1251" o:spid="_x0000_s1251" o:spt="1" style="position:absolute;left:0pt;margin-left:183.65pt;margin-top:11.15pt;height:8.25pt;width:37.5pt;z-index:251701248;mso-width-relative:page;mso-height-relative:page;" fillcolor="#FFFFFF" filled="t" stroked="t" coordsize="21600,21600">
            <v:path/>
            <v:fill on="t" color2="#FFFFFF" focussize="0,0"/>
            <v:stroke weight="2pt" color="#00B050" joinstyle="miter"/>
            <v:imagedata o:title=""/>
            <o:lock v:ext="edit" aspectratio="f"/>
          </v:rect>
        </w:pict>
      </w:r>
    </w:p>
    <w:p>
      <w:pPr>
        <w:bidi w:val="0"/>
        <w:rPr>
          <w:rFonts w:hint="default"/>
          <w:lang w:val="en-US" w:eastAsia="zh-CN"/>
        </w:rPr>
      </w:pPr>
      <w:r>
        <w:rPr>
          <w:sz w:val="24"/>
        </w:rPr>
        <w:pict>
          <v:shape id="_x0000_s1257" o:spid="_x0000_s1257" o:spt="62" type="#_x0000_t62" style="position:absolute;left:0pt;margin-left:119.5pt;margin-top:8.25pt;height:26.25pt;width:121.45pt;z-index:251702272;mso-width-relative:page;mso-height-relative:page;" fillcolor="#FFFFFF" filled="t" stroked="t" coordsize="21600,21600" adj="14557,-6788">
            <v:path/>
            <v:fill on="t" color2="#FFFFFF" focussize="0,0"/>
            <v:stroke color="#000000" joinstyle="miter"/>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沉淀池、循环水池</w:t>
                  </w:r>
                </w:p>
              </w:txbxContent>
            </v:textbox>
          </v:shape>
        </w:pict>
      </w:r>
    </w:p>
    <w:p>
      <w:pPr>
        <w:bidi w:val="0"/>
        <w:rPr>
          <w:rFonts w:hint="default"/>
          <w:lang w:val="en-US" w:eastAsia="zh-CN"/>
        </w:rPr>
      </w:pPr>
      <w:r>
        <w:rPr>
          <w:sz w:val="24"/>
        </w:rPr>
        <w:pict>
          <v:shape id="_x0000_s1258" o:spid="_x0000_s1258" o:spt="62" type="#_x0000_t62" style="position:absolute;left:0pt;margin-left:261.5pt;margin-top:7.4pt;height:26.25pt;width:68.95pt;z-index:251703296;mso-width-relative:page;mso-height-relative:page;" fillcolor="#FFFFFF" filled="t" stroked="t" coordsize="21600,21600" adj="29072,32215">
            <v:path/>
            <v:fill on="t" color2="#FFFFFF" focussize="0,0"/>
            <v:stroke color="#000000" joinstyle="miter"/>
            <v:imagedata o:title=""/>
            <o:lock v:ext="edit" aspectratio="f"/>
            <v:textbox>
              <w:txbxContent>
                <w:p>
                  <w:pPr>
                    <w:ind w:left="0" w:leftChars="0" w:firstLine="0" w:firstLineChars="0"/>
                    <w:rPr>
                      <w:rFonts w:hint="eastAsia" w:eastAsia="宋体"/>
                      <w:lang w:eastAsia="zh-CN"/>
                    </w:rPr>
                  </w:pPr>
                  <w:r>
                    <w:rPr>
                      <w:rFonts w:hint="eastAsia"/>
                      <w:lang w:eastAsia="zh-CN"/>
                    </w:rPr>
                    <w:t>危废间</w:t>
                  </w:r>
                </w:p>
              </w:txbxContent>
            </v:textbox>
          </v:shape>
        </w:pict>
      </w:r>
    </w:p>
    <w:p>
      <w:pPr>
        <w:bidi w:val="0"/>
        <w:rPr>
          <w:rFonts w:hint="default"/>
          <w:lang w:val="en-US" w:eastAsia="zh-CN"/>
        </w:rPr>
      </w:pPr>
    </w:p>
    <w:p>
      <w:pPr>
        <w:bidi w:val="0"/>
        <w:rPr>
          <w:rFonts w:hint="default"/>
          <w:lang w:val="en-US" w:eastAsia="zh-CN"/>
        </w:rPr>
      </w:pPr>
      <w:r>
        <w:rPr>
          <w:color w:val="auto"/>
          <w:sz w:val="24"/>
          <w:highlight w:val="none"/>
        </w:rPr>
        <w:pict>
          <v:rect id="_x0000_s1248" o:spid="_x0000_s1248" o:spt="1" style="position:absolute;left:0pt;margin-left:355.15pt;margin-top:3.05pt;height:8.15pt;width:10.9pt;z-index:251698176;mso-width-relative:page;mso-height-relative:page;" fillcolor="#FFFFFF" filled="t" stroked="t" coordsize="21600,21600">
            <v:path/>
            <v:fill on="t" color2="#FFFFFF" focussize="0,0"/>
            <v:stroke weight="2pt" color="#FF0000" joinstyle="miter"/>
            <v:imagedata o:title=""/>
            <o:lock v:ext="edit" aspectratio="f"/>
          </v:rect>
        </w:pic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b/>
          <w:bCs/>
          <w:color w:val="auto"/>
          <w:sz w:val="21"/>
          <w:szCs w:val="20"/>
          <w:highlight w:val="none"/>
          <w:lang w:val="en-US" w:eastAsia="zh-CN"/>
        </w:rPr>
      </w:pPr>
      <w:r>
        <w:rPr>
          <w:color w:val="auto"/>
          <w:sz w:val="24"/>
          <w:highlight w:val="none"/>
        </w:rPr>
        <w:pict>
          <v:rect id="_x0000_s1234" o:spid="_x0000_s1234" o:spt="1" style="position:absolute;left:0pt;margin-left:395.15pt;margin-top:620.5pt;height:9pt;width:30pt;z-index:251696128;mso-width-relative:page;mso-height-relative:page;" fillcolor="#FFFFFF" filled="t" stroked="t" coordsize="21600,21600">
            <v:path/>
            <v:fill on="t" color2="#FFFFFF" focussize="0,0"/>
            <v:stroke weight="2pt" color="#0000FF" joinstyle="miter"/>
            <v:imagedata o:title=""/>
            <o:lock v:ext="edit" aspectratio="f"/>
          </v:rect>
        </w:pict>
      </w:r>
      <w:r>
        <w:rPr>
          <w:color w:val="auto"/>
          <w:sz w:val="24"/>
          <w:highlight w:val="none"/>
        </w:rPr>
        <w:pict>
          <v:rect id="_x0000_s1235" o:spid="_x0000_s1235" o:spt="1" style="position:absolute;left:0pt;margin-left:394.4pt;margin-top:598pt;height:9pt;width:30pt;z-index:251695104;mso-width-relative:page;mso-height-relative:page;" fillcolor="#FFFFFF" filled="t" stroked="t" coordsize="21600,21600">
            <v:path/>
            <v:fill on="t" color2="#FFFFFF" focussize="0,0"/>
            <v:stroke weight="2pt" color="#00B050" joinstyle="miter"/>
            <v:imagedata o:title=""/>
            <o:lock v:ext="edit" aspectratio="f"/>
          </v:rect>
        </w:pict>
      </w:r>
      <w:r>
        <w:rPr>
          <w:color w:val="auto"/>
          <w:sz w:val="24"/>
          <w:highlight w:val="none"/>
        </w:rPr>
        <w:pict>
          <v:rect id="_x0000_s1236" o:spid="_x0000_s1236" o:spt="1" style="position:absolute;left:0pt;margin-left:394.4pt;margin-top:574.75pt;height:9pt;width:30pt;z-index:251694080;mso-width-relative:page;mso-height-relative:page;" fillcolor="#FFFFFF" filled="t" stroked="t" coordsize="21600,21600">
            <v:path/>
            <v:fill on="t" color2="#FFFFFF" focussize="0,0"/>
            <v:stroke weight="2pt" color="#FF0000"/>
            <v:imagedata o:title=""/>
            <o:lock v:ext="edit" aspectratio="f"/>
          </v:rect>
        </w:pict>
      </w:r>
      <w:r>
        <w:rPr>
          <w:rFonts w:hint="eastAsia"/>
          <w:b/>
          <w:bCs/>
          <w:color w:val="auto"/>
          <w:sz w:val="21"/>
          <w:szCs w:val="20"/>
          <w:highlight w:val="none"/>
          <w:lang w:eastAsia="zh-CN"/>
        </w:rPr>
        <w:t>图</w:t>
      </w:r>
      <w:r>
        <w:rPr>
          <w:rFonts w:hint="eastAsia"/>
          <w:b/>
          <w:bCs/>
          <w:color w:val="auto"/>
          <w:sz w:val="21"/>
          <w:szCs w:val="20"/>
          <w:highlight w:val="none"/>
          <w:lang w:val="en-US" w:eastAsia="zh-CN"/>
        </w:rPr>
        <w:t>5.3-2    分区防渗图</w:t>
      </w:r>
    </w:p>
    <w:p>
      <w:pPr>
        <w:pStyle w:val="5"/>
        <w:adjustRightInd w:val="0"/>
        <w:snapToGrid w:val="0"/>
        <w:spacing w:before="0" w:after="0" w:line="360" w:lineRule="auto"/>
        <w:rPr>
          <w:rFonts w:ascii="Times New Roman" w:hAnsi="Times New Roman" w:eastAsia="宋体"/>
          <w:bCs w:val="0"/>
          <w:color w:val="auto"/>
          <w:kern w:val="0"/>
          <w:sz w:val="28"/>
          <w:szCs w:val="24"/>
          <w:highlight w:val="none"/>
        </w:rPr>
      </w:pPr>
      <w:bookmarkStart w:id="208" w:name="_Toc12209"/>
      <w:bookmarkStart w:id="209" w:name="_Toc413055423"/>
      <w:bookmarkStart w:id="210" w:name="_Toc19457"/>
      <w:bookmarkStart w:id="211" w:name="_Toc14371"/>
      <w:bookmarkStart w:id="212" w:name="_Toc14498"/>
      <w:bookmarkStart w:id="213" w:name="_Toc26424"/>
      <w:bookmarkStart w:id="214" w:name="_Toc8390"/>
      <w:bookmarkStart w:id="215" w:name="_Toc20346"/>
      <w:bookmarkStart w:id="216" w:name="_Toc4462"/>
      <w:bookmarkStart w:id="217" w:name="_Toc27491"/>
      <w:bookmarkStart w:id="218" w:name="_Toc8772"/>
      <w:bookmarkStart w:id="219" w:name="_Toc15609"/>
      <w:bookmarkStart w:id="220" w:name="_Toc24669"/>
      <w:bookmarkStart w:id="221" w:name="_Toc29664"/>
      <w:bookmarkStart w:id="222" w:name="_Toc320"/>
      <w:bookmarkStart w:id="223" w:name="_Toc524464446"/>
      <w:r>
        <w:rPr>
          <w:rFonts w:hint="eastAsia"/>
          <w:bCs w:val="0"/>
          <w:color w:val="auto"/>
          <w:kern w:val="0"/>
          <w:sz w:val="28"/>
          <w:szCs w:val="24"/>
          <w:highlight w:val="none"/>
          <w:lang w:val="en-US" w:eastAsia="zh-CN"/>
        </w:rPr>
        <w:t>5.4</w:t>
      </w:r>
      <w:r>
        <w:rPr>
          <w:rFonts w:ascii="Times New Roman" w:hAnsi="Times New Roman" w:eastAsia="宋体"/>
          <w:bCs w:val="0"/>
          <w:color w:val="auto"/>
          <w:kern w:val="0"/>
          <w:sz w:val="28"/>
          <w:szCs w:val="24"/>
          <w:highlight w:val="none"/>
        </w:rPr>
        <w:t>噪声环境影响分析</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5.4.1噪声源强</w:t>
      </w:r>
    </w:p>
    <w:p>
      <w:pPr>
        <w:adjustRightInd w:val="0"/>
        <w:snapToGrid w:val="0"/>
        <w:spacing w:line="360" w:lineRule="auto"/>
        <w:ind w:firstLine="480" w:firstLineChars="200"/>
        <w:rPr>
          <w:color w:val="auto"/>
          <w:sz w:val="24"/>
          <w:szCs w:val="24"/>
          <w:highlight w:val="none"/>
        </w:rPr>
      </w:pPr>
      <w:r>
        <w:rPr>
          <w:color w:val="auto"/>
          <w:sz w:val="24"/>
          <w:szCs w:val="24"/>
          <w:highlight w:val="none"/>
        </w:rPr>
        <w:t>通过声环境现状调查与评价，分析项目的噪声污染源对周围声环境的影响情况。本项目主要噪声源情况见表5.4-1</w:t>
      </w:r>
      <w:r>
        <w:rPr>
          <w:rFonts w:hint="eastAsia"/>
          <w:color w:val="auto"/>
          <w:sz w:val="24"/>
          <w:szCs w:val="24"/>
          <w:highlight w:val="none"/>
          <w:lang w:eastAsia="zh-CN"/>
        </w:rPr>
        <w:t>和</w:t>
      </w:r>
      <w:r>
        <w:rPr>
          <w:rFonts w:hint="eastAsia"/>
          <w:color w:val="auto"/>
          <w:sz w:val="24"/>
          <w:szCs w:val="24"/>
          <w:highlight w:val="none"/>
          <w:lang w:val="en-US" w:eastAsia="zh-CN"/>
        </w:rPr>
        <w:t>5.4-2</w:t>
      </w:r>
      <w:r>
        <w:rPr>
          <w:color w:val="auto"/>
          <w:sz w:val="24"/>
          <w:szCs w:val="24"/>
          <w:highlight w:val="none"/>
        </w:rPr>
        <w:t>。</w:t>
      </w:r>
    </w:p>
    <w:p>
      <w:pPr>
        <w:keepNext w:val="0"/>
        <w:keepLines w:val="0"/>
        <w:pageBreakBefore w:val="0"/>
        <w:widowControl w:val="0"/>
        <w:suppressLineNumbers w:val="0"/>
        <w:wordWrap/>
        <w:autoSpaceDE w:val="0"/>
        <w:autoSpaceDN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zh-CN" w:eastAsia="zh-CN" w:bidi="ar-SA"/>
        </w:rPr>
      </w:pPr>
      <w:bookmarkStart w:id="224" w:name="_Toc9064"/>
      <w:r>
        <w:rPr>
          <w:rFonts w:hint="default" w:ascii="Times New Roman" w:hAnsi="Times New Roman" w:eastAsia="宋体" w:cs="Times New Roman"/>
          <w:b/>
          <w:color w:val="auto"/>
          <w:kern w:val="2"/>
          <w:sz w:val="21"/>
          <w:szCs w:val="21"/>
          <w:highlight w:val="none"/>
          <w:lang w:val="zh-CN" w:eastAsia="zh-CN" w:bidi="ar-SA"/>
        </w:rPr>
        <w:t>表</w:t>
      </w:r>
      <w:r>
        <w:rPr>
          <w:rFonts w:hint="eastAsia" w:ascii="Times New Roman" w:hAnsi="Times New Roman" w:eastAsia="宋体" w:cs="Times New Roman"/>
          <w:b/>
          <w:color w:val="auto"/>
          <w:kern w:val="2"/>
          <w:sz w:val="21"/>
          <w:szCs w:val="21"/>
          <w:highlight w:val="none"/>
          <w:lang w:val="en-US" w:eastAsia="zh-CN" w:bidi="ar-SA"/>
        </w:rPr>
        <w:t>5.4-1</w:t>
      </w:r>
      <w:r>
        <w:rPr>
          <w:rFonts w:hint="default" w:ascii="Times New Roman" w:hAnsi="Times New Roman" w:eastAsia="宋体" w:cs="Times New Roman"/>
          <w:b/>
          <w:color w:val="auto"/>
          <w:kern w:val="2"/>
          <w:sz w:val="21"/>
          <w:szCs w:val="21"/>
          <w:highlight w:val="none"/>
          <w:lang w:val="zh-CN" w:eastAsia="zh-CN" w:bidi="ar-SA"/>
        </w:rPr>
        <w:t xml:space="preserve">  工业企业噪声源强调查清单（室内声源）</w:t>
      </w:r>
    </w:p>
    <w:tbl>
      <w:tblPr>
        <w:tblStyle w:val="31"/>
        <w:tblW w:w="8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
        <w:gridCol w:w="409"/>
        <w:gridCol w:w="589"/>
        <w:gridCol w:w="644"/>
        <w:gridCol w:w="1342"/>
        <w:gridCol w:w="454"/>
        <w:gridCol w:w="374"/>
        <w:gridCol w:w="367"/>
        <w:gridCol w:w="502"/>
        <w:gridCol w:w="644"/>
        <w:gridCol w:w="1099"/>
        <w:gridCol w:w="644"/>
        <w:gridCol w:w="644"/>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序号</w:t>
            </w:r>
          </w:p>
        </w:tc>
        <w:tc>
          <w:tcPr>
            <w:tcW w:w="24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建筑物名称</w:t>
            </w:r>
          </w:p>
        </w:tc>
        <w:tc>
          <w:tcPr>
            <w:tcW w:w="3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声源</w:t>
            </w:r>
          </w:p>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名称</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声</w:t>
            </w:r>
            <w:r>
              <w:rPr>
                <w:rFonts w:hint="eastAsia" w:cs="宋体"/>
                <w:b/>
                <w:bCs/>
                <w:i w:val="0"/>
                <w:iCs w:val="0"/>
                <w:color w:val="auto"/>
                <w:sz w:val="21"/>
                <w:szCs w:val="21"/>
                <w:highlight w:val="none"/>
                <w:u w:val="none"/>
                <w:lang w:val="en-US" w:eastAsia="zh-CN"/>
              </w:rPr>
              <w:t>源</w:t>
            </w:r>
            <w:r>
              <w:rPr>
                <w:rFonts w:hint="eastAsia" w:ascii="Times New Roman" w:hAnsi="Times New Roman" w:eastAsia="宋体" w:cs="宋体"/>
                <w:b/>
                <w:bCs/>
                <w:i w:val="0"/>
                <w:iCs w:val="0"/>
                <w:color w:val="auto"/>
                <w:sz w:val="21"/>
                <w:szCs w:val="21"/>
                <w:highlight w:val="none"/>
                <w:u w:val="none"/>
                <w:lang w:val="en-US" w:eastAsia="zh-CN"/>
              </w:rPr>
              <w:t>强</w:t>
            </w:r>
          </w:p>
        </w:tc>
        <w:tc>
          <w:tcPr>
            <w:tcW w:w="79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声源控制措施</w:t>
            </w:r>
          </w:p>
        </w:tc>
        <w:tc>
          <w:tcPr>
            <w:tcW w:w="70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空间相对位置/m</w:t>
            </w:r>
          </w:p>
        </w:tc>
        <w:tc>
          <w:tcPr>
            <w:tcW w:w="29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距室内边界距离/m</w:t>
            </w:r>
          </w:p>
        </w:tc>
        <w:tc>
          <w:tcPr>
            <w:tcW w:w="3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室内边界声级/dB(A)</w:t>
            </w:r>
          </w:p>
        </w:tc>
        <w:tc>
          <w:tcPr>
            <w:tcW w:w="64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运行时段</w:t>
            </w:r>
          </w:p>
        </w:tc>
        <w:tc>
          <w:tcPr>
            <w:tcW w:w="3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建筑物插入损失/dB(A)</w:t>
            </w:r>
          </w:p>
        </w:tc>
        <w:tc>
          <w:tcPr>
            <w:tcW w:w="6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p>
        </w:tc>
        <w:tc>
          <w:tcPr>
            <w:tcW w:w="3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声功率级/dB(A)</w:t>
            </w:r>
          </w:p>
        </w:tc>
        <w:tc>
          <w:tcPr>
            <w:tcW w:w="79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X</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Y</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Z</w:t>
            </w:r>
          </w:p>
        </w:tc>
        <w:tc>
          <w:tcPr>
            <w:tcW w:w="29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声压级/dB(A)</w:t>
            </w:r>
          </w:p>
        </w:tc>
        <w:tc>
          <w:tcPr>
            <w:tcW w:w="29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b/>
                <w:bCs/>
                <w:i w:val="0"/>
                <w:iCs w:val="0"/>
                <w:color w:val="auto"/>
                <w:sz w:val="21"/>
                <w:szCs w:val="21"/>
                <w:highlight w:val="none"/>
                <w:u w:val="none"/>
                <w:lang w:val="en-US" w:eastAsia="zh-CN"/>
              </w:rPr>
            </w:pPr>
            <w:r>
              <w:rPr>
                <w:rFonts w:hint="eastAsia" w:ascii="Times New Roman" w:hAnsi="Times New Roman" w:eastAsia="宋体" w:cs="宋体"/>
                <w:b/>
                <w:bCs/>
                <w:i w:val="0"/>
                <w:iCs w:val="0"/>
                <w:color w:val="auto"/>
                <w:sz w:val="21"/>
                <w:szCs w:val="21"/>
                <w:highlight w:val="none"/>
                <w:u w:val="no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15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1</w:t>
            </w:r>
          </w:p>
        </w:tc>
        <w:tc>
          <w:tcPr>
            <w:tcW w:w="24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锅炉房</w:t>
            </w: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燃煤锅炉</w:t>
            </w: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ascii="Times New Roman" w:hAnsi="Times New Roman" w:eastAsia="宋体" w:cs="Times New Roman"/>
                <w:color w:val="auto"/>
                <w:sz w:val="21"/>
                <w:szCs w:val="21"/>
                <w:highlight w:val="none"/>
              </w:rPr>
              <w:t>85</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30</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45</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ascii="Times New Roman" w:hAnsi="Times New Roman" w:eastAsia="宋体" w:cs="Times New Roman"/>
                <w:color w:val="auto"/>
                <w:sz w:val="21"/>
                <w:szCs w:val="21"/>
                <w:highlight w:val="none"/>
              </w:rPr>
              <w:t>85</w:t>
            </w:r>
          </w:p>
        </w:tc>
        <w:tc>
          <w:tcPr>
            <w:tcW w:w="64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0:00-2</w:t>
            </w:r>
            <w:r>
              <w:rPr>
                <w:rFonts w:hint="eastAsia" w:cs="宋体"/>
                <w:i w:val="0"/>
                <w:iCs w:val="0"/>
                <w:color w:val="auto"/>
                <w:sz w:val="21"/>
                <w:szCs w:val="21"/>
                <w:highlight w:val="none"/>
                <w:u w:val="none"/>
                <w:lang w:val="en-US" w:eastAsia="zh-CN"/>
              </w:rPr>
              <w:t>4</w:t>
            </w:r>
            <w:r>
              <w:rPr>
                <w:rFonts w:hint="eastAsia" w:ascii="Times New Roman" w:hAnsi="Times New Roman" w:eastAsia="宋体" w:cs="宋体"/>
                <w:i w:val="0"/>
                <w:iCs w:val="0"/>
                <w:color w:val="auto"/>
                <w:sz w:val="21"/>
                <w:szCs w:val="21"/>
                <w:highlight w:val="none"/>
                <w:u w:val="none"/>
                <w:lang w:val="en-US" w:eastAsia="zh-CN"/>
              </w:rPr>
              <w:t>:00</w:t>
            </w:r>
          </w:p>
        </w:tc>
        <w:tc>
          <w:tcPr>
            <w:tcW w:w="3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25</w:t>
            </w:r>
          </w:p>
        </w:tc>
        <w:tc>
          <w:tcPr>
            <w:tcW w:w="3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70</w:t>
            </w:r>
          </w:p>
        </w:tc>
        <w:tc>
          <w:tcPr>
            <w:tcW w:w="29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引风机</w:t>
            </w: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cs="Times New Roman"/>
                <w:color w:val="auto"/>
                <w:sz w:val="21"/>
                <w:szCs w:val="21"/>
                <w:highlight w:val="none"/>
                <w:lang w:val="en-US" w:eastAsia="zh-CN"/>
              </w:rPr>
              <w:t>85</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kern w:val="2"/>
                <w:sz w:val="21"/>
                <w:szCs w:val="21"/>
                <w:highlight w:val="none"/>
                <w:u w:val="none"/>
                <w:lang w:val="en-US" w:eastAsia="zh-CN" w:bidi="ar-SA"/>
              </w:rPr>
            </w:pPr>
            <w:r>
              <w:rPr>
                <w:rFonts w:hint="eastAsia" w:ascii="Times New Roman" w:hAnsi="Times New Roman" w:eastAsia="宋体" w:cs="宋体"/>
                <w:i w:val="0"/>
                <w:iCs w:val="0"/>
                <w:color w:val="auto"/>
                <w:kern w:val="2"/>
                <w:sz w:val="21"/>
                <w:szCs w:val="21"/>
                <w:highlight w:val="none"/>
                <w:u w:val="none"/>
                <w:lang w:val="en-US" w:eastAsia="zh-CN" w:bidi="ar-SA"/>
              </w:rPr>
              <w:t>30</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65</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鼓风机</w:t>
            </w: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35</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50</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5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2</w:t>
            </w:r>
          </w:p>
        </w:tc>
        <w:tc>
          <w:tcPr>
            <w:tcW w:w="24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泵房</w:t>
            </w: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color w:val="auto"/>
                <w:kern w:val="0"/>
                <w:sz w:val="21"/>
                <w:szCs w:val="21"/>
                <w:highlight w:val="none"/>
              </w:rPr>
            </w:pPr>
            <w:r>
              <w:rPr>
                <w:rFonts w:hint="eastAsia"/>
                <w:color w:val="auto"/>
                <w:sz w:val="21"/>
                <w:szCs w:val="21"/>
                <w:highlight w:val="none"/>
                <w:lang w:eastAsia="zh-CN"/>
              </w:rPr>
              <w:t>循环水泵</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w:t>
            </w:r>
            <w:r>
              <w:rPr>
                <w:rFonts w:hint="eastAsia" w:cs="宋体"/>
                <w:i w:val="0"/>
                <w:iCs w:val="0"/>
                <w:color w:val="auto"/>
                <w:sz w:val="21"/>
                <w:szCs w:val="21"/>
                <w:highlight w:val="none"/>
                <w:u w:val="none"/>
                <w:lang w:val="en-US" w:eastAsia="zh-CN"/>
              </w:rPr>
              <w:t>0</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55</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100</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85</w:t>
            </w:r>
          </w:p>
        </w:tc>
        <w:tc>
          <w:tcPr>
            <w:tcW w:w="64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0:00-24:00</w:t>
            </w:r>
          </w:p>
        </w:tc>
        <w:tc>
          <w:tcPr>
            <w:tcW w:w="3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20</w:t>
            </w:r>
          </w:p>
        </w:tc>
        <w:tc>
          <w:tcPr>
            <w:tcW w:w="38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73</w:t>
            </w:r>
          </w:p>
        </w:tc>
        <w:tc>
          <w:tcPr>
            <w:tcW w:w="29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color w:val="auto"/>
                <w:kern w:val="0"/>
                <w:sz w:val="21"/>
                <w:szCs w:val="21"/>
                <w:highlight w:val="none"/>
              </w:rPr>
            </w:pPr>
            <w:r>
              <w:rPr>
                <w:rFonts w:hint="eastAsia"/>
                <w:color w:val="auto"/>
                <w:sz w:val="21"/>
                <w:szCs w:val="21"/>
                <w:highlight w:val="none"/>
                <w:lang w:eastAsia="zh-CN"/>
              </w:rPr>
              <w:t>循环水泵</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w:t>
            </w:r>
            <w:r>
              <w:rPr>
                <w:rFonts w:hint="eastAsia" w:cs="宋体"/>
                <w:i w:val="0"/>
                <w:iCs w:val="0"/>
                <w:color w:val="auto"/>
                <w:sz w:val="21"/>
                <w:szCs w:val="21"/>
                <w:highlight w:val="none"/>
                <w:u w:val="none"/>
                <w:lang w:val="en-US" w:eastAsia="zh-CN"/>
              </w:rPr>
              <w:t>0</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56</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100</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85</w:t>
            </w: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color w:val="auto"/>
                <w:kern w:val="0"/>
                <w:sz w:val="21"/>
                <w:szCs w:val="21"/>
                <w:highlight w:val="none"/>
              </w:rPr>
            </w:pPr>
            <w:r>
              <w:rPr>
                <w:rFonts w:hint="eastAsia"/>
                <w:color w:val="auto"/>
                <w:sz w:val="21"/>
                <w:szCs w:val="21"/>
                <w:highlight w:val="none"/>
                <w:lang w:eastAsia="zh-CN"/>
              </w:rPr>
              <w:t>补水泵</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w:t>
            </w:r>
            <w:r>
              <w:rPr>
                <w:rFonts w:hint="eastAsia" w:cs="宋体"/>
                <w:i w:val="0"/>
                <w:iCs w:val="0"/>
                <w:color w:val="auto"/>
                <w:sz w:val="21"/>
                <w:szCs w:val="21"/>
                <w:highlight w:val="none"/>
                <w:u w:val="none"/>
                <w:lang w:val="en-US" w:eastAsia="zh-CN"/>
              </w:rPr>
              <w:t>0</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54</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101</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85</w:t>
            </w: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color w:val="auto"/>
                <w:kern w:val="0"/>
                <w:sz w:val="21"/>
                <w:szCs w:val="21"/>
                <w:highlight w:val="none"/>
              </w:rPr>
            </w:pPr>
            <w:r>
              <w:rPr>
                <w:rFonts w:hint="eastAsia"/>
                <w:color w:val="auto"/>
                <w:sz w:val="21"/>
                <w:szCs w:val="21"/>
                <w:highlight w:val="none"/>
                <w:lang w:eastAsia="zh-CN"/>
              </w:rPr>
              <w:t>浆液循环泵</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w:t>
            </w:r>
            <w:r>
              <w:rPr>
                <w:rFonts w:hint="eastAsia" w:cs="宋体"/>
                <w:i w:val="0"/>
                <w:iCs w:val="0"/>
                <w:color w:val="auto"/>
                <w:sz w:val="21"/>
                <w:szCs w:val="21"/>
                <w:highlight w:val="none"/>
                <w:u w:val="none"/>
                <w:lang w:val="en-US" w:eastAsia="zh-CN"/>
              </w:rPr>
              <w:t>0</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53</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100</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85</w:t>
            </w: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color w:val="auto"/>
                <w:kern w:val="0"/>
                <w:sz w:val="21"/>
                <w:szCs w:val="21"/>
                <w:highlight w:val="none"/>
              </w:rPr>
            </w:pPr>
            <w:r>
              <w:rPr>
                <w:rFonts w:hint="eastAsia"/>
                <w:color w:val="auto"/>
                <w:sz w:val="21"/>
                <w:szCs w:val="21"/>
                <w:highlight w:val="none"/>
                <w:lang w:eastAsia="zh-CN"/>
              </w:rPr>
              <w:t>浆液循环泵</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w:t>
            </w:r>
            <w:r>
              <w:rPr>
                <w:rFonts w:hint="eastAsia" w:cs="宋体"/>
                <w:i w:val="0"/>
                <w:iCs w:val="0"/>
                <w:color w:val="auto"/>
                <w:sz w:val="21"/>
                <w:szCs w:val="21"/>
                <w:highlight w:val="none"/>
                <w:u w:val="none"/>
                <w:lang w:val="en-US" w:eastAsia="zh-CN"/>
              </w:rPr>
              <w:t>0</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52</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100</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85</w:t>
            </w: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color w:val="auto"/>
                <w:kern w:val="0"/>
                <w:sz w:val="21"/>
                <w:szCs w:val="21"/>
                <w:highlight w:val="none"/>
              </w:rPr>
            </w:pPr>
            <w:r>
              <w:rPr>
                <w:rFonts w:hint="eastAsia"/>
                <w:color w:val="auto"/>
                <w:sz w:val="21"/>
                <w:szCs w:val="21"/>
                <w:highlight w:val="none"/>
                <w:lang w:eastAsia="zh-CN"/>
              </w:rPr>
              <w:t>浆液循环泵</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w:t>
            </w:r>
            <w:r>
              <w:rPr>
                <w:rFonts w:hint="eastAsia" w:cs="宋体"/>
                <w:i w:val="0"/>
                <w:iCs w:val="0"/>
                <w:color w:val="auto"/>
                <w:sz w:val="21"/>
                <w:szCs w:val="21"/>
                <w:highlight w:val="none"/>
                <w:u w:val="none"/>
                <w:lang w:val="en-US" w:eastAsia="zh-CN"/>
              </w:rPr>
              <w:t>0</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51</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100</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85</w:t>
            </w: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color w:val="auto"/>
                <w:kern w:val="0"/>
                <w:sz w:val="21"/>
                <w:szCs w:val="21"/>
                <w:highlight w:val="none"/>
              </w:rPr>
            </w:pPr>
            <w:r>
              <w:rPr>
                <w:rFonts w:hint="eastAsia"/>
                <w:color w:val="auto"/>
                <w:sz w:val="21"/>
                <w:szCs w:val="21"/>
                <w:highlight w:val="none"/>
                <w:lang w:eastAsia="zh-CN"/>
              </w:rPr>
              <w:t>反冲洗水泵</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w:t>
            </w:r>
            <w:r>
              <w:rPr>
                <w:rFonts w:hint="eastAsia" w:cs="宋体"/>
                <w:i w:val="0"/>
                <w:iCs w:val="0"/>
                <w:color w:val="auto"/>
                <w:sz w:val="21"/>
                <w:szCs w:val="21"/>
                <w:highlight w:val="none"/>
                <w:u w:val="none"/>
                <w:lang w:val="en-US" w:eastAsia="zh-CN"/>
              </w:rPr>
              <w:t>0</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建筑物隔声、基础减振</w:t>
            </w:r>
          </w:p>
        </w:tc>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52</w:t>
            </w:r>
          </w:p>
        </w:tc>
        <w:tc>
          <w:tcPr>
            <w:tcW w:w="2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102</w:t>
            </w:r>
          </w:p>
        </w:tc>
        <w:tc>
          <w:tcPr>
            <w:tcW w:w="21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29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cs="宋体"/>
                <w:i w:val="0"/>
                <w:iCs w:val="0"/>
                <w:color w:val="auto"/>
                <w:sz w:val="21"/>
                <w:szCs w:val="21"/>
                <w:highlight w:val="none"/>
                <w:u w:val="none"/>
                <w:lang w:val="en-US" w:eastAsia="zh-CN"/>
              </w:rPr>
              <w:t>1</w:t>
            </w:r>
          </w:p>
        </w:tc>
        <w:tc>
          <w:tcPr>
            <w:tcW w:w="6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default" w:cs="宋体"/>
                <w:i w:val="0"/>
                <w:iCs w:val="0"/>
                <w:color w:val="auto"/>
                <w:sz w:val="21"/>
                <w:szCs w:val="21"/>
                <w:highlight w:val="none"/>
                <w:u w:val="none"/>
                <w:lang w:val="en-US" w:eastAsia="zh-CN"/>
              </w:rPr>
            </w:pPr>
            <w:r>
              <w:rPr>
                <w:rFonts w:hint="eastAsia" w:ascii="Times New Roman" w:hAnsi="Times New Roman" w:eastAsia="宋体" w:cs="宋体"/>
                <w:i w:val="0"/>
                <w:iCs w:val="0"/>
                <w:color w:val="auto"/>
                <w:sz w:val="21"/>
                <w:szCs w:val="21"/>
                <w:highlight w:val="none"/>
                <w:u w:val="none"/>
                <w:lang w:val="en-US" w:eastAsia="zh-CN"/>
              </w:rPr>
              <w:t>85</w:t>
            </w: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c>
          <w:tcPr>
            <w:tcW w:w="2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rFonts w:hint="eastAsia" w:ascii="Times New Roman" w:hAnsi="Times New Roman" w:eastAsia="宋体" w:cs="宋体"/>
                <w:i w:val="0"/>
                <w:iCs w:val="0"/>
                <w:color w:val="auto"/>
                <w:sz w:val="21"/>
                <w:szCs w:val="21"/>
                <w:highlight w:val="none"/>
                <w:u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ascii="Times New Roman" w:hAnsi="Times New Roman" w:eastAsia="宋体" w:cs="Times New Roman"/>
          <w:b/>
          <w:color w:val="auto"/>
          <w:kern w:val="2"/>
          <w:sz w:val="21"/>
          <w:szCs w:val="21"/>
          <w:highlight w:val="none"/>
          <w:lang w:val="zh-CN" w:eastAsia="zh-CN" w:bidi="ar-SA"/>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color w:val="auto"/>
          <w:highlight w:val="none"/>
        </w:rPr>
      </w:pPr>
      <w:r>
        <w:rPr>
          <w:rFonts w:hint="default" w:ascii="Times New Roman" w:hAnsi="Times New Roman" w:eastAsia="宋体" w:cs="Times New Roman"/>
          <w:b/>
          <w:color w:val="auto"/>
          <w:kern w:val="2"/>
          <w:sz w:val="21"/>
          <w:szCs w:val="21"/>
          <w:highlight w:val="none"/>
          <w:lang w:val="zh-CN" w:eastAsia="zh-CN" w:bidi="ar-SA"/>
        </w:rPr>
        <w:t>表</w:t>
      </w:r>
      <w:r>
        <w:rPr>
          <w:rFonts w:hint="eastAsia" w:ascii="Times New Roman" w:hAnsi="Times New Roman" w:eastAsia="宋体" w:cs="Times New Roman"/>
          <w:b/>
          <w:color w:val="auto"/>
          <w:kern w:val="2"/>
          <w:sz w:val="21"/>
          <w:szCs w:val="21"/>
          <w:highlight w:val="none"/>
          <w:lang w:val="en-US" w:eastAsia="zh-CN" w:bidi="ar-SA"/>
        </w:rPr>
        <w:t>5.4-2</w:t>
      </w:r>
      <w:r>
        <w:rPr>
          <w:rFonts w:hint="default" w:ascii="Times New Roman" w:hAnsi="Times New Roman" w:eastAsia="宋体" w:cs="Times New Roman"/>
          <w:b/>
          <w:color w:val="auto"/>
          <w:kern w:val="2"/>
          <w:sz w:val="21"/>
          <w:szCs w:val="21"/>
          <w:highlight w:val="none"/>
          <w:lang w:val="zh-CN" w:eastAsia="zh-CN" w:bidi="ar-SA"/>
        </w:rPr>
        <w:t xml:space="preserve">  工业企业噪声源强调查清单（室</w:t>
      </w:r>
      <w:r>
        <w:rPr>
          <w:rFonts w:hint="eastAsia" w:ascii="Times New Roman" w:hAnsi="Times New Roman" w:eastAsia="宋体" w:cs="Times New Roman"/>
          <w:b/>
          <w:color w:val="auto"/>
          <w:kern w:val="2"/>
          <w:sz w:val="21"/>
          <w:szCs w:val="21"/>
          <w:highlight w:val="none"/>
          <w:lang w:val="zh-CN" w:eastAsia="zh-CN" w:bidi="ar-SA"/>
        </w:rPr>
        <w:t>外</w:t>
      </w:r>
      <w:r>
        <w:rPr>
          <w:rFonts w:hint="default" w:ascii="Times New Roman" w:hAnsi="Times New Roman" w:eastAsia="宋体" w:cs="Times New Roman"/>
          <w:b/>
          <w:color w:val="auto"/>
          <w:kern w:val="2"/>
          <w:sz w:val="21"/>
          <w:szCs w:val="21"/>
          <w:highlight w:val="none"/>
          <w:lang w:val="zh-CN" w:eastAsia="zh-CN" w:bidi="ar-SA"/>
        </w:rPr>
        <w:t>声源）</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960"/>
        <w:gridCol w:w="990"/>
        <w:gridCol w:w="705"/>
        <w:gridCol w:w="615"/>
        <w:gridCol w:w="615"/>
        <w:gridCol w:w="1830"/>
        <w:gridCol w:w="1345"/>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51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序号</w:t>
            </w:r>
          </w:p>
        </w:tc>
        <w:tc>
          <w:tcPr>
            <w:tcW w:w="96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vertAlign w:val="baseline"/>
              </w:rPr>
            </w:pPr>
            <w:r>
              <w:rPr>
                <w:rFonts w:hint="eastAsia"/>
                <w:color w:val="auto"/>
                <w:sz w:val="21"/>
                <w:szCs w:val="21"/>
                <w:highlight w:val="none"/>
                <w:vertAlign w:val="baseline"/>
              </w:rPr>
              <w:t>声源</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r>
              <w:rPr>
                <w:rFonts w:hint="eastAsia"/>
                <w:color w:val="auto"/>
                <w:sz w:val="21"/>
                <w:szCs w:val="21"/>
                <w:highlight w:val="none"/>
                <w:vertAlign w:val="baseline"/>
              </w:rPr>
              <w:t>名称</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color w:val="auto"/>
                <w:sz w:val="21"/>
                <w:szCs w:val="21"/>
                <w:highlight w:val="none"/>
                <w:vertAlign w:val="baseline"/>
              </w:rPr>
            </w:pPr>
            <w:r>
              <w:rPr>
                <w:rFonts w:hint="eastAsia" w:ascii="Times New Roman" w:hAnsi="Times New Roman" w:eastAsia="宋体" w:cs="宋体"/>
                <w:b w:val="0"/>
                <w:bCs w:val="0"/>
                <w:i w:val="0"/>
                <w:iCs w:val="0"/>
                <w:color w:val="auto"/>
                <w:sz w:val="21"/>
                <w:szCs w:val="21"/>
                <w:highlight w:val="none"/>
                <w:u w:val="none"/>
                <w:lang w:val="en-US" w:eastAsia="zh-CN"/>
              </w:rPr>
              <w:t>声</w:t>
            </w:r>
            <w:r>
              <w:rPr>
                <w:rFonts w:hint="eastAsia" w:cs="宋体"/>
                <w:b w:val="0"/>
                <w:bCs w:val="0"/>
                <w:i w:val="0"/>
                <w:iCs w:val="0"/>
                <w:color w:val="auto"/>
                <w:sz w:val="21"/>
                <w:szCs w:val="21"/>
                <w:highlight w:val="none"/>
                <w:u w:val="none"/>
                <w:lang w:val="en-US" w:eastAsia="zh-CN"/>
              </w:rPr>
              <w:t>源</w:t>
            </w:r>
            <w:r>
              <w:rPr>
                <w:rFonts w:hint="eastAsia" w:ascii="Times New Roman" w:hAnsi="Times New Roman" w:eastAsia="宋体" w:cs="宋体"/>
                <w:b w:val="0"/>
                <w:bCs w:val="0"/>
                <w:i w:val="0"/>
                <w:iCs w:val="0"/>
                <w:color w:val="auto"/>
                <w:sz w:val="21"/>
                <w:szCs w:val="21"/>
                <w:highlight w:val="none"/>
                <w:u w:val="none"/>
                <w:lang w:val="en-US" w:eastAsia="zh-CN"/>
              </w:rPr>
              <w:t>强</w:t>
            </w:r>
          </w:p>
        </w:tc>
        <w:tc>
          <w:tcPr>
            <w:tcW w:w="193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color w:val="auto"/>
                <w:sz w:val="21"/>
                <w:szCs w:val="21"/>
                <w:highlight w:val="none"/>
                <w:vertAlign w:val="baseline"/>
              </w:rPr>
            </w:pPr>
            <w:r>
              <w:rPr>
                <w:rFonts w:hint="eastAsia" w:ascii="Times New Roman" w:hAnsi="Times New Roman" w:eastAsia="宋体" w:cs="宋体"/>
                <w:b w:val="0"/>
                <w:bCs w:val="0"/>
                <w:i w:val="0"/>
                <w:iCs w:val="0"/>
                <w:color w:val="auto"/>
                <w:sz w:val="21"/>
                <w:szCs w:val="21"/>
                <w:highlight w:val="none"/>
                <w:u w:val="none"/>
                <w:lang w:val="en-US" w:eastAsia="zh-CN"/>
              </w:rPr>
              <w:t>空间相对位置/m</w:t>
            </w:r>
          </w:p>
        </w:tc>
        <w:tc>
          <w:tcPr>
            <w:tcW w:w="183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r>
              <w:rPr>
                <w:rFonts w:hint="eastAsia" w:ascii="Times New Roman" w:hAnsi="Times New Roman" w:eastAsia="宋体" w:cs="宋体"/>
                <w:b w:val="0"/>
                <w:bCs w:val="0"/>
                <w:i w:val="0"/>
                <w:iCs w:val="0"/>
                <w:color w:val="auto"/>
                <w:sz w:val="21"/>
                <w:szCs w:val="21"/>
                <w:highlight w:val="none"/>
                <w:u w:val="none"/>
                <w:lang w:val="en-US" w:eastAsia="zh-CN"/>
              </w:rPr>
              <w:t>声源控制措施</w:t>
            </w:r>
          </w:p>
        </w:tc>
        <w:tc>
          <w:tcPr>
            <w:tcW w:w="13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r>
              <w:rPr>
                <w:rFonts w:hint="eastAsia" w:ascii="Times New Roman" w:hAnsi="Times New Roman" w:eastAsia="宋体" w:cs="宋体"/>
                <w:b w:val="0"/>
                <w:bCs w:val="0"/>
                <w:i w:val="0"/>
                <w:iCs w:val="0"/>
                <w:color w:val="auto"/>
                <w:sz w:val="21"/>
                <w:szCs w:val="21"/>
                <w:highlight w:val="none"/>
                <w:u w:val="none"/>
                <w:lang w:val="en-US" w:eastAsia="zh-CN"/>
              </w:rPr>
              <w:t>运行时段</w:t>
            </w:r>
          </w:p>
        </w:tc>
        <w:tc>
          <w:tcPr>
            <w:tcW w:w="94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宋体"/>
                <w:b w:val="0"/>
                <w:bCs w:val="0"/>
                <w:i w:val="0"/>
                <w:iCs w:val="0"/>
                <w:color w:val="auto"/>
                <w:sz w:val="21"/>
                <w:szCs w:val="21"/>
                <w:highlight w:val="none"/>
                <w:u w:val="none"/>
                <w:lang w:val="en-US" w:eastAsia="zh-CN"/>
              </w:rPr>
            </w:pPr>
            <w:r>
              <w:rPr>
                <w:bCs/>
                <w:color w:val="auto"/>
                <w:sz w:val="21"/>
                <w:szCs w:val="21"/>
                <w:highlight w:val="none"/>
              </w:rPr>
              <w:t>降噪后噪声值</w:t>
            </w:r>
            <w:r>
              <w:rPr>
                <w:rFonts w:hint="eastAsia" w:ascii="Times New Roman" w:hAnsi="Times New Roman" w:eastAsia="宋体" w:cs="宋体"/>
                <w:b w:val="0"/>
                <w:bCs w:val="0"/>
                <w:i w:val="0"/>
                <w:iCs w:val="0"/>
                <w:color w:val="auto"/>
                <w:sz w:val="21"/>
                <w:szCs w:val="21"/>
                <w:highlight w:val="none"/>
                <w:u w:val="no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1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p>
        </w:tc>
        <w:tc>
          <w:tcPr>
            <w:tcW w:w="96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color w:val="auto"/>
                <w:sz w:val="21"/>
                <w:szCs w:val="21"/>
                <w:highlight w:val="none"/>
                <w:vertAlign w:val="baseline"/>
              </w:rPr>
            </w:pPr>
            <w:r>
              <w:rPr>
                <w:rFonts w:hint="eastAsia" w:ascii="Times New Roman" w:hAnsi="Times New Roman" w:eastAsia="宋体" w:cs="宋体"/>
                <w:b w:val="0"/>
                <w:bCs w:val="0"/>
                <w:i w:val="0"/>
                <w:iCs w:val="0"/>
                <w:color w:val="auto"/>
                <w:sz w:val="21"/>
                <w:szCs w:val="21"/>
                <w:highlight w:val="none"/>
                <w:u w:val="none"/>
                <w:lang w:val="en-US" w:eastAsia="zh-CN"/>
              </w:rPr>
              <w:t>声功率级/dB(A)</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color w:val="auto"/>
                <w:sz w:val="21"/>
                <w:szCs w:val="21"/>
                <w:highlight w:val="none"/>
                <w:vertAlign w:val="baseline"/>
              </w:rPr>
            </w:pPr>
            <w:r>
              <w:rPr>
                <w:rFonts w:hint="eastAsia" w:ascii="Times New Roman" w:hAnsi="Times New Roman" w:eastAsia="宋体" w:cs="宋体"/>
                <w:b w:val="0"/>
                <w:bCs w:val="0"/>
                <w:i w:val="0"/>
                <w:iCs w:val="0"/>
                <w:color w:val="auto"/>
                <w:sz w:val="21"/>
                <w:szCs w:val="21"/>
                <w:highlight w:val="none"/>
                <w:u w:val="none"/>
                <w:lang w:val="en-US" w:eastAsia="zh-CN"/>
              </w:rPr>
              <w:t>X</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color w:val="auto"/>
                <w:sz w:val="21"/>
                <w:szCs w:val="21"/>
                <w:highlight w:val="none"/>
                <w:vertAlign w:val="baseline"/>
              </w:rPr>
            </w:pPr>
            <w:r>
              <w:rPr>
                <w:rFonts w:hint="eastAsia" w:ascii="Times New Roman" w:hAnsi="Times New Roman" w:eastAsia="宋体" w:cs="宋体"/>
                <w:b w:val="0"/>
                <w:bCs w:val="0"/>
                <w:i w:val="0"/>
                <w:iCs w:val="0"/>
                <w:color w:val="auto"/>
                <w:sz w:val="21"/>
                <w:szCs w:val="21"/>
                <w:highlight w:val="none"/>
                <w:u w:val="none"/>
                <w:lang w:val="en-US" w:eastAsia="zh-CN"/>
              </w:rPr>
              <w:t>Y</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13" w:leftChars="-47" w:right="-103" w:rightChars="-43" w:firstLine="0" w:firstLineChars="0"/>
              <w:jc w:val="center"/>
              <w:textAlignment w:val="auto"/>
              <w:rPr>
                <w:color w:val="auto"/>
                <w:sz w:val="21"/>
                <w:szCs w:val="21"/>
                <w:highlight w:val="none"/>
                <w:vertAlign w:val="baseline"/>
              </w:rPr>
            </w:pPr>
            <w:r>
              <w:rPr>
                <w:rFonts w:hint="eastAsia" w:ascii="Times New Roman" w:hAnsi="Times New Roman" w:eastAsia="宋体" w:cs="宋体"/>
                <w:b w:val="0"/>
                <w:bCs w:val="0"/>
                <w:i w:val="0"/>
                <w:iCs w:val="0"/>
                <w:color w:val="auto"/>
                <w:sz w:val="21"/>
                <w:szCs w:val="21"/>
                <w:highlight w:val="none"/>
                <w:u w:val="none"/>
                <w:lang w:val="en-US" w:eastAsia="zh-CN"/>
              </w:rPr>
              <w:t>Z</w:t>
            </w:r>
          </w:p>
        </w:tc>
        <w:tc>
          <w:tcPr>
            <w:tcW w:w="183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p>
        </w:tc>
        <w:tc>
          <w:tcPr>
            <w:tcW w:w="13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p>
        </w:tc>
        <w:tc>
          <w:tcPr>
            <w:tcW w:w="94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9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r>
              <w:rPr>
                <w:color w:val="auto"/>
                <w:sz w:val="21"/>
                <w:szCs w:val="21"/>
                <w:highlight w:val="none"/>
              </w:rPr>
              <w:t>锅炉排</w:t>
            </w:r>
            <w:r>
              <w:rPr>
                <w:rFonts w:hint="eastAsia"/>
                <w:color w:val="auto"/>
                <w:sz w:val="21"/>
                <w:szCs w:val="21"/>
                <w:highlight w:val="none"/>
                <w:lang w:eastAsia="zh-CN"/>
              </w:rPr>
              <w:t>汽</w:t>
            </w:r>
            <w:r>
              <w:rPr>
                <w:color w:val="auto"/>
                <w:sz w:val="21"/>
                <w:szCs w:val="21"/>
                <w:highlight w:val="none"/>
              </w:rPr>
              <w:t>口</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110</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35</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60</w:t>
            </w:r>
          </w:p>
        </w:tc>
        <w:tc>
          <w:tcPr>
            <w:tcW w:w="6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w:t>
            </w:r>
          </w:p>
        </w:tc>
        <w:tc>
          <w:tcPr>
            <w:tcW w:w="18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vertAlign w:val="baseline"/>
              </w:rPr>
            </w:pPr>
            <w:r>
              <w:rPr>
                <w:rFonts w:hint="eastAsia"/>
                <w:color w:val="auto"/>
                <w:sz w:val="21"/>
                <w:szCs w:val="21"/>
                <w:highlight w:val="none"/>
                <w:vertAlign w:val="baseline"/>
              </w:rPr>
              <w:t>加装高效消声器，避免事故性排气</w:t>
            </w:r>
          </w:p>
        </w:tc>
        <w:tc>
          <w:tcPr>
            <w:tcW w:w="13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偶发</w:t>
            </w:r>
          </w:p>
        </w:tc>
        <w:tc>
          <w:tcPr>
            <w:tcW w:w="9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80</w:t>
            </w:r>
          </w:p>
        </w:tc>
      </w:tr>
    </w:tbl>
    <w:p>
      <w:pPr>
        <w:pStyle w:val="63"/>
        <w:spacing w:line="360" w:lineRule="auto"/>
        <w:rPr>
          <w:rFonts w:hint="default" w:ascii="Times New Roman" w:hAnsi="Times New Roman" w:eastAsia="宋体" w:cs="Times New Roman"/>
          <w:color w:val="auto"/>
          <w:highlight w:val="none"/>
          <w:lang w:val="en-US" w:eastAsia="zh-CN"/>
        </w:rPr>
      </w:pP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5.4.</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预测</w:t>
      </w:r>
      <w:bookmarkEnd w:id="224"/>
      <w:r>
        <w:rPr>
          <w:rFonts w:hint="eastAsia" w:ascii="Times New Roman" w:hAnsi="Times New Roman" w:cs="Times New Roman"/>
          <w:color w:val="auto"/>
          <w:highlight w:val="none"/>
          <w:lang w:eastAsia="zh-CN"/>
        </w:rPr>
        <w:t>内容</w:t>
      </w:r>
    </w:p>
    <w:p>
      <w:pPr>
        <w:pStyle w:val="63"/>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根据拟建工程噪声源的位置，预测本工程建成后的厂界噪声贡献值及叠加背景值后的昼、夜噪声等效声级，评价厂界和环境噪声</w:t>
      </w:r>
      <w:r>
        <w:rPr>
          <w:rFonts w:hint="eastAsia" w:cs="Times New Roman"/>
          <w:color w:val="auto"/>
          <w:highlight w:val="none"/>
          <w:lang w:eastAsia="zh-CN"/>
        </w:rPr>
        <w:t>敏感</w:t>
      </w:r>
      <w:r>
        <w:rPr>
          <w:rFonts w:hint="default" w:ascii="Times New Roman" w:hAnsi="Times New Roman" w:cs="Times New Roman"/>
          <w:color w:val="auto"/>
          <w:highlight w:val="none"/>
        </w:rPr>
        <w:t>点的噪声污染水平。</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5.4.</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预测模型</w:t>
      </w:r>
    </w:p>
    <w:p>
      <w:pPr>
        <w:pStyle w:val="63"/>
        <w:spacing w:line="360" w:lineRule="auto"/>
        <w:rPr>
          <w:rFonts w:cs="Times New Roman"/>
          <w:color w:val="auto"/>
          <w:highlight w:val="none"/>
        </w:rPr>
      </w:pPr>
      <w:r>
        <w:rPr>
          <w:rFonts w:cs="Times New Roman"/>
          <w:color w:val="auto"/>
          <w:highlight w:val="none"/>
        </w:rPr>
        <w:t>本项目噪声源分为室外</w:t>
      </w:r>
      <w:r>
        <w:rPr>
          <w:rFonts w:hint="eastAsia" w:cs="Times New Roman"/>
          <w:color w:val="auto"/>
          <w:highlight w:val="none"/>
        </w:rPr>
        <w:t>、</w:t>
      </w:r>
      <w:r>
        <w:rPr>
          <w:rFonts w:cs="Times New Roman"/>
          <w:color w:val="auto"/>
          <w:highlight w:val="none"/>
        </w:rPr>
        <w:t>室内两种声源。噪声声波在传播过程中，将通过距离衰减，空气吸收衰减达到各预测点。另外，雨、雪、雾和温度梯度等因素忽略不计，作为满足预测精度前提下的一定安全保证值。以保证未来实际噪声环境较预测结果优越。</w:t>
      </w:r>
    </w:p>
    <w:p>
      <w:pPr>
        <w:pStyle w:val="74"/>
        <w:autoSpaceDE w:val="0"/>
        <w:autoSpaceDN w:val="0"/>
        <w:ind w:firstLine="480"/>
        <w:rPr>
          <w:rFonts w:hint="default" w:cs="Times New Roman"/>
          <w:color w:val="auto"/>
          <w:highlight w:val="none"/>
        </w:rPr>
      </w:pPr>
      <w:r>
        <w:rPr>
          <w:rFonts w:hint="default" w:cs="Times New Roman"/>
          <w:color w:val="auto"/>
          <w:highlight w:val="none"/>
        </w:rPr>
        <w:t>根据《环境影响评价技术导则 声环境》（</w:t>
      </w:r>
      <w:r>
        <w:rPr>
          <w:rFonts w:hint="default" w:cs="Times New Roman"/>
          <w:color w:val="auto"/>
          <w:highlight w:val="none"/>
          <w:lang w:eastAsia="zh-CN"/>
        </w:rPr>
        <w:t>HJ 2.4-2021</w:t>
      </w:r>
      <w:r>
        <w:rPr>
          <w:rFonts w:hint="default" w:cs="Times New Roman"/>
          <w:color w:val="auto"/>
          <w:highlight w:val="none"/>
        </w:rPr>
        <w:t>）对室内声源的预测方法，声源位于室内，室内声源可采用等效室外声源声功率级法进行计算。</w:t>
      </w:r>
    </w:p>
    <w:p>
      <w:pPr>
        <w:pStyle w:val="74"/>
        <w:autoSpaceDE w:val="0"/>
        <w:autoSpaceDN w:val="0"/>
        <w:ind w:firstLine="480"/>
        <w:rPr>
          <w:rFonts w:hint="default" w:cs="Times New Roman"/>
          <w:color w:val="auto"/>
          <w:highlight w:val="none"/>
        </w:rPr>
      </w:pPr>
      <w:r>
        <w:rPr>
          <w:rFonts w:hint="default" w:cs="Times New Roman"/>
          <w:color w:val="auto"/>
          <w:highlight w:val="none"/>
          <w:lang w:val="en-US" w:eastAsia="zh-CN"/>
        </w:rPr>
        <w:t>①</w:t>
      </w:r>
      <w:r>
        <w:rPr>
          <w:rFonts w:hint="default" w:cs="Times New Roman"/>
          <w:color w:val="auto"/>
          <w:highlight w:val="none"/>
        </w:rPr>
        <w:t>计算某一室内声源靠近围护结构处产生的倍频带声压级：</w:t>
      </w:r>
    </w:p>
    <w:p>
      <w:pPr>
        <w:pStyle w:val="74"/>
        <w:autoSpaceDE w:val="0"/>
        <w:autoSpaceDN w:val="0"/>
        <w:ind w:firstLine="480"/>
        <w:jc w:val="center"/>
        <w:rPr>
          <w:rFonts w:hint="default" w:cs="Times New Roman"/>
          <w:color w:val="auto"/>
          <w:highlight w:val="none"/>
        </w:rPr>
      </w:pPr>
      <w:r>
        <w:rPr>
          <w:rFonts w:hint="default" w:cs="Times New Roman"/>
          <w:color w:val="auto"/>
          <w:highlight w:val="none"/>
        </w:rPr>
        <w:object>
          <v:shape id="_x0000_i1031" o:spt="75" type="#_x0000_t75" style="height:31.5pt;width:134.25pt;" o:ole="t" filled="f" o:preferrelative="t" stroked="f" coordsize="21600,21600">
            <v:path/>
            <v:fill on="f" focussize="0,0"/>
            <v:stroke on="f" joinstyle="miter"/>
            <v:imagedata r:id="rId61" o:title=""/>
            <o:lock v:ext="edit" aspectratio="t"/>
            <w10:wrap type="none"/>
            <w10:anchorlock/>
          </v:shape>
          <o:OLEObject Type="Embed" ProgID="Equation.3" ShapeID="_x0000_i1031" DrawAspect="Content" ObjectID="_1468075732" r:id="rId60">
            <o:LockedField>false</o:LockedField>
          </o:OLEObject>
        </w:object>
      </w:r>
    </w:p>
    <w:p>
      <w:pPr>
        <w:pStyle w:val="74"/>
        <w:autoSpaceDE w:val="0"/>
        <w:autoSpaceDN w:val="0"/>
        <w:ind w:firstLine="480"/>
        <w:rPr>
          <w:rFonts w:hint="default" w:cs="Times New Roman"/>
          <w:color w:val="auto"/>
          <w:highlight w:val="none"/>
        </w:rPr>
      </w:pPr>
      <w:r>
        <w:rPr>
          <w:rFonts w:hint="default" w:cs="Times New Roman"/>
          <w:color w:val="auto"/>
          <w:highlight w:val="none"/>
        </w:rPr>
        <w:t>式中：Q——指向性因子：通常对无指向性声源，当声源放在房间中心时，Q=1；当放在一面墙的中心时，Q=2；当放在两面墙夹角时，Q=4；当放在三面墙夹角处时，Q=8。</w:t>
      </w:r>
    </w:p>
    <w:p>
      <w:pPr>
        <w:pStyle w:val="74"/>
        <w:autoSpaceDE w:val="0"/>
        <w:autoSpaceDN w:val="0"/>
        <w:ind w:firstLine="1200" w:firstLineChars="500"/>
        <w:rPr>
          <w:rFonts w:hint="default" w:cs="Times New Roman"/>
          <w:color w:val="auto"/>
          <w:highlight w:val="none"/>
        </w:rPr>
      </w:pPr>
      <w:r>
        <w:rPr>
          <w:rFonts w:hint="default" w:cs="Times New Roman"/>
          <w:color w:val="auto"/>
          <w:highlight w:val="none"/>
        </w:rPr>
        <w:t>R——房间常数：R=Sa/（1-a），S为房间内表面面积，m2；a为平均吸声系数。</w:t>
      </w:r>
    </w:p>
    <w:p>
      <w:pPr>
        <w:pStyle w:val="74"/>
        <w:autoSpaceDE w:val="0"/>
        <w:autoSpaceDN w:val="0"/>
        <w:ind w:firstLine="1200" w:firstLineChars="500"/>
        <w:rPr>
          <w:rFonts w:hint="default" w:cs="Times New Roman"/>
          <w:color w:val="auto"/>
          <w:highlight w:val="none"/>
        </w:rPr>
      </w:pPr>
      <w:r>
        <w:rPr>
          <w:rFonts w:hint="default" w:cs="Times New Roman"/>
          <w:color w:val="auto"/>
          <w:highlight w:val="none"/>
        </w:rPr>
        <w:t>r——声源到靠近围护结构某点处的距离，m。</w:t>
      </w:r>
    </w:p>
    <w:p>
      <w:pPr>
        <w:pStyle w:val="74"/>
        <w:autoSpaceDE w:val="0"/>
        <w:autoSpaceDN w:val="0"/>
        <w:ind w:firstLine="480"/>
        <w:rPr>
          <w:rFonts w:hint="default" w:cs="Times New Roman"/>
          <w:color w:val="auto"/>
          <w:highlight w:val="none"/>
        </w:rPr>
      </w:pPr>
      <w:r>
        <w:rPr>
          <w:rFonts w:hint="default" w:cs="Times New Roman"/>
          <w:color w:val="auto"/>
          <w:highlight w:val="none"/>
          <w:lang w:val="en-US" w:eastAsia="zh-CN"/>
        </w:rPr>
        <w:t>②</w:t>
      </w:r>
      <w:r>
        <w:rPr>
          <w:rFonts w:hint="default" w:cs="Times New Roman"/>
          <w:color w:val="auto"/>
          <w:highlight w:val="none"/>
        </w:rPr>
        <w:t>计算出所有室内声源在围护结构处产生的i倍频带叠加声压级：</w:t>
      </w:r>
    </w:p>
    <w:p>
      <w:pPr>
        <w:pStyle w:val="74"/>
        <w:autoSpaceDE w:val="0"/>
        <w:autoSpaceDN w:val="0"/>
        <w:ind w:firstLine="480"/>
        <w:jc w:val="center"/>
        <w:rPr>
          <w:rFonts w:hint="default" w:cs="Times New Roman"/>
          <w:color w:val="auto"/>
          <w:highlight w:val="none"/>
        </w:rPr>
      </w:pPr>
      <w:r>
        <w:rPr>
          <w:rFonts w:hint="default" w:cs="Times New Roman"/>
          <w:color w:val="auto"/>
          <w:highlight w:val="none"/>
        </w:rPr>
        <w:object>
          <v:shape id="_x0000_i1032" o:spt="75" type="#_x0000_t75" style="height:32.25pt;width:119.25pt;" o:ole="t" filled="f" o:preferrelative="t" stroked="f" coordsize="21600,21600">
            <v:path/>
            <v:fill on="f" focussize="0,0"/>
            <v:stroke on="f" joinstyle="miter"/>
            <v:imagedata r:id="rId63" o:title=""/>
            <o:lock v:ext="edit" aspectratio="t"/>
            <w10:wrap type="none"/>
            <w10:anchorlock/>
          </v:shape>
          <o:OLEObject Type="Embed" ProgID="Equation.3" ShapeID="_x0000_i1032" DrawAspect="Content" ObjectID="_1468075733" r:id="rId62">
            <o:LockedField>false</o:LockedField>
          </o:OLEObject>
        </w:object>
      </w:r>
    </w:p>
    <w:p>
      <w:pPr>
        <w:pStyle w:val="74"/>
        <w:autoSpaceDE w:val="0"/>
        <w:autoSpaceDN w:val="0"/>
        <w:ind w:firstLine="480"/>
        <w:rPr>
          <w:rFonts w:hint="default" w:cs="Times New Roman"/>
          <w:color w:val="auto"/>
          <w:highlight w:val="none"/>
        </w:rPr>
      </w:pPr>
      <w:r>
        <w:rPr>
          <w:rFonts w:hint="default" w:cs="Times New Roman"/>
          <w:color w:val="auto"/>
          <w:highlight w:val="none"/>
        </w:rPr>
        <w:t>式中：Lp1i（T）——靠近围护结构处室内N个声源i倍频带的叠加声压级，dB；</w:t>
      </w:r>
    </w:p>
    <w:p>
      <w:pPr>
        <w:pStyle w:val="74"/>
        <w:autoSpaceDE w:val="0"/>
        <w:autoSpaceDN w:val="0"/>
        <w:ind w:firstLine="1200" w:firstLineChars="500"/>
        <w:rPr>
          <w:rFonts w:hint="default" w:cs="Times New Roman"/>
          <w:color w:val="auto"/>
          <w:highlight w:val="none"/>
        </w:rPr>
      </w:pPr>
      <w:r>
        <w:rPr>
          <w:rFonts w:hint="default" w:cs="Times New Roman"/>
          <w:color w:val="auto"/>
          <w:highlight w:val="none"/>
        </w:rPr>
        <w:t>Lp1ij——室内j声源i倍频带的声压级，dB；</w:t>
      </w:r>
    </w:p>
    <w:p>
      <w:pPr>
        <w:pStyle w:val="74"/>
        <w:autoSpaceDE w:val="0"/>
        <w:autoSpaceDN w:val="0"/>
        <w:ind w:firstLine="480"/>
        <w:rPr>
          <w:rFonts w:hint="default" w:cs="Times New Roman"/>
          <w:color w:val="auto"/>
          <w:highlight w:val="none"/>
        </w:rPr>
      </w:pPr>
      <w:r>
        <w:rPr>
          <w:rFonts w:hint="default" w:cs="Times New Roman"/>
          <w:color w:val="auto"/>
          <w:highlight w:val="none"/>
          <w:lang w:val="en-US" w:eastAsia="zh-CN"/>
        </w:rPr>
        <w:t>③</w:t>
      </w:r>
      <w:r>
        <w:rPr>
          <w:rFonts w:hint="default" w:cs="Times New Roman"/>
          <w:color w:val="auto"/>
          <w:highlight w:val="none"/>
        </w:rPr>
        <w:t>在室内近似为扩散声场地，按下式计算出靠近室外围护结构处的声压级：</w:t>
      </w:r>
    </w:p>
    <w:p>
      <w:pPr>
        <w:pStyle w:val="74"/>
        <w:autoSpaceDE w:val="0"/>
        <w:autoSpaceDN w:val="0"/>
        <w:ind w:firstLine="480"/>
        <w:jc w:val="center"/>
        <w:rPr>
          <w:rFonts w:hint="default" w:cs="Times New Roman"/>
          <w:color w:val="auto"/>
          <w:highlight w:val="none"/>
        </w:rPr>
      </w:pPr>
      <w:r>
        <w:rPr>
          <w:rFonts w:hint="default" w:cs="Times New Roman"/>
          <w:color w:val="auto"/>
          <w:highlight w:val="none"/>
        </w:rPr>
        <w:object>
          <v:shape id="_x0000_i1033" o:spt="75" type="#_x0000_t75" style="height:21.75pt;width:150.75pt;" o:ole="t" filled="f" o:preferrelative="t" stroked="f" coordsize="21600,21600">
            <v:path/>
            <v:fill on="f" focussize="0,0"/>
            <v:stroke on="f" joinstyle="miter"/>
            <v:imagedata r:id="rId65" o:title=""/>
            <o:lock v:ext="edit" aspectratio="t"/>
            <w10:wrap type="none"/>
            <w10:anchorlock/>
          </v:shape>
          <o:OLEObject Type="Embed" ProgID="Equation.3" ShapeID="_x0000_i1033" DrawAspect="Content" ObjectID="_1468075734" r:id="rId64">
            <o:LockedField>false</o:LockedField>
          </o:OLEObject>
        </w:object>
      </w:r>
    </w:p>
    <w:p>
      <w:pPr>
        <w:pStyle w:val="74"/>
        <w:autoSpaceDE w:val="0"/>
        <w:autoSpaceDN w:val="0"/>
        <w:ind w:firstLine="480"/>
        <w:rPr>
          <w:rFonts w:hint="default" w:cs="Times New Roman"/>
          <w:color w:val="auto"/>
          <w:highlight w:val="none"/>
        </w:rPr>
      </w:pPr>
      <w:r>
        <w:rPr>
          <w:rFonts w:hint="default" w:cs="Times New Roman"/>
          <w:color w:val="auto"/>
          <w:highlight w:val="none"/>
        </w:rPr>
        <w:t>式中：Lp2i（T）——靠近围护结构处室外N个声源i倍频带的叠加声压级，dB；</w:t>
      </w:r>
    </w:p>
    <w:p>
      <w:pPr>
        <w:pStyle w:val="74"/>
        <w:autoSpaceDE w:val="0"/>
        <w:autoSpaceDN w:val="0"/>
        <w:ind w:firstLine="480"/>
        <w:rPr>
          <w:rFonts w:hint="default" w:cs="Times New Roman"/>
          <w:color w:val="auto"/>
          <w:highlight w:val="none"/>
        </w:rPr>
      </w:pPr>
      <w:r>
        <w:rPr>
          <w:rFonts w:hint="default" w:cs="Times New Roman"/>
          <w:color w:val="auto"/>
          <w:highlight w:val="none"/>
        </w:rPr>
        <w:t>TLi——围护结构i倍频带的隔声量，dB；</w:t>
      </w:r>
    </w:p>
    <w:p>
      <w:pPr>
        <w:pStyle w:val="74"/>
        <w:autoSpaceDE w:val="0"/>
        <w:autoSpaceDN w:val="0"/>
        <w:ind w:firstLine="480"/>
        <w:rPr>
          <w:rFonts w:hint="default" w:cs="Times New Roman"/>
          <w:color w:val="auto"/>
          <w:highlight w:val="none"/>
        </w:rPr>
      </w:pPr>
      <w:r>
        <w:rPr>
          <w:rFonts w:hint="default" w:cs="Times New Roman"/>
          <w:color w:val="auto"/>
          <w:highlight w:val="none"/>
          <w:lang w:val="en-US" w:eastAsia="zh-CN"/>
        </w:rPr>
        <w:t>④</w:t>
      </w:r>
      <w:r>
        <w:rPr>
          <w:rFonts w:hint="default" w:cs="Times New Roman"/>
          <w:color w:val="auto"/>
          <w:highlight w:val="none"/>
        </w:rPr>
        <w:t>将室外声源的声压级和透过面积换算成等效的室外声源，计算出中心位</w:t>
      </w:r>
      <w:r>
        <w:rPr>
          <w:rFonts w:hint="default" w:cs="Times New Roman"/>
          <w:color w:val="auto"/>
          <w:highlight w:val="none"/>
          <w:lang w:eastAsia="zh-CN"/>
        </w:rPr>
        <w:t>置为的透声</w:t>
      </w:r>
      <w:r>
        <w:rPr>
          <w:rFonts w:hint="default" w:cs="Times New Roman"/>
          <w:color w:val="auto"/>
          <w:highlight w:val="none"/>
        </w:rPr>
        <w:t>面积（S）处的等效声源的倍频带声功率级。</w:t>
      </w:r>
    </w:p>
    <w:p>
      <w:pPr>
        <w:pStyle w:val="74"/>
        <w:autoSpaceDE w:val="0"/>
        <w:autoSpaceDN w:val="0"/>
        <w:ind w:firstLine="480"/>
        <w:jc w:val="center"/>
        <w:rPr>
          <w:rFonts w:hint="default" w:cs="Times New Roman"/>
          <w:color w:val="auto"/>
          <w:highlight w:val="none"/>
        </w:rPr>
      </w:pPr>
      <w:r>
        <w:rPr>
          <w:rFonts w:hint="default" w:cs="Times New Roman"/>
          <w:color w:val="auto"/>
          <w:highlight w:val="none"/>
        </w:rPr>
        <w:object>
          <v:shape id="_x0000_i1034" o:spt="75" type="#_x0000_t75" style="height:32.25pt;width:118.5pt;" o:ole="t" filled="f" o:preferrelative="t" stroked="f" coordsize="21600,21600">
            <v:path/>
            <v:fill on="f" focussize="0,0"/>
            <v:stroke on="f" joinstyle="miter"/>
            <v:imagedata r:id="rId63" o:title=""/>
            <o:lock v:ext="edit" aspectratio="t"/>
            <w10:wrap type="none"/>
            <w10:anchorlock/>
          </v:shape>
          <o:OLEObject Type="Embed" ProgID="Equation.3" ShapeID="_x0000_i1034" DrawAspect="Content" ObjectID="_1468075735" r:id="rId66">
            <o:LockedField>false</o:LockedField>
          </o:OLEObject>
        </w:object>
      </w:r>
    </w:p>
    <w:p>
      <w:pPr>
        <w:pStyle w:val="74"/>
        <w:autoSpaceDE w:val="0"/>
        <w:autoSpaceDN w:val="0"/>
        <w:ind w:firstLine="480"/>
        <w:rPr>
          <w:rFonts w:hint="default" w:cs="Times New Roman"/>
          <w:color w:val="auto"/>
          <w:highlight w:val="none"/>
        </w:rPr>
      </w:pPr>
      <w:r>
        <w:rPr>
          <w:rFonts w:hint="default" w:cs="Times New Roman"/>
          <w:color w:val="auto"/>
          <w:highlight w:val="none"/>
          <w:lang w:val="en-US" w:eastAsia="zh-CN"/>
        </w:rPr>
        <w:t>⑤</w:t>
      </w:r>
      <w:r>
        <w:rPr>
          <w:rFonts w:hint="default" w:cs="Times New Roman"/>
          <w:color w:val="auto"/>
          <w:highlight w:val="none"/>
        </w:rPr>
        <w:t>按室外声源预测方法计算预测点处的A声级。</w:t>
      </w:r>
    </w:p>
    <w:p>
      <w:pPr>
        <w:pStyle w:val="74"/>
        <w:autoSpaceDE w:val="0"/>
        <w:autoSpaceDN w:val="0"/>
        <w:ind w:firstLine="480"/>
        <w:rPr>
          <w:rFonts w:hint="default" w:cs="Times New Roman"/>
          <w:color w:val="auto"/>
          <w:highlight w:val="none"/>
        </w:rPr>
      </w:pPr>
      <w:r>
        <w:rPr>
          <w:rFonts w:hint="default" w:cs="Times New Roman"/>
          <w:color w:val="auto"/>
          <w:highlight w:val="none"/>
        </w:rPr>
        <w:t>设第i个室外声源在预</w:t>
      </w:r>
      <w:r>
        <w:rPr>
          <w:rFonts w:hint="default" w:cs="Times New Roman"/>
          <w:color w:val="auto"/>
          <w:highlight w:val="none"/>
          <w:lang w:eastAsia="zh-CN"/>
        </w:rPr>
        <w:t>试点</w:t>
      </w:r>
      <w:r>
        <w:rPr>
          <w:rFonts w:hint="default" w:cs="Times New Roman"/>
          <w:color w:val="auto"/>
          <w:highlight w:val="none"/>
        </w:rPr>
        <w:t>产生的A声级为LAi，在T时间内该声源工作时间为ti；第j个等效室外声源在预测点产生的A声级为LAj，在T时间内该声源工作时间为tj，则拟建工程声源对预测点产生的贡献值（Leqg）为：</w:t>
      </w:r>
    </w:p>
    <w:p>
      <w:pPr>
        <w:pStyle w:val="74"/>
        <w:autoSpaceDE w:val="0"/>
        <w:autoSpaceDN w:val="0"/>
        <w:ind w:firstLine="480"/>
        <w:jc w:val="center"/>
        <w:rPr>
          <w:rFonts w:hint="default" w:cs="Times New Roman"/>
          <w:color w:val="auto"/>
          <w:highlight w:val="none"/>
        </w:rPr>
      </w:pPr>
      <w:r>
        <w:rPr>
          <w:rFonts w:hint="default" w:cs="Times New Roman"/>
          <w:color w:val="auto"/>
          <w:highlight w:val="none"/>
        </w:rPr>
        <w:object>
          <v:shape id="_x0000_i1035" o:spt="75" type="#_x0000_t75" style="height:39pt;width:196.5pt;" o:ole="t" filled="f" o:preferrelative="t" stroked="f" coordsize="21600,21600">
            <v:path/>
            <v:fill on="f" focussize="0,0"/>
            <v:stroke on="f" joinstyle="miter"/>
            <v:imagedata r:id="rId68" o:title=""/>
            <o:lock v:ext="edit" aspectratio="t"/>
            <w10:wrap type="none"/>
            <w10:anchorlock/>
          </v:shape>
          <o:OLEObject Type="Embed" ProgID="Visio.Drawing.11" ShapeID="_x0000_i1035" DrawAspect="Content" ObjectID="_1468075736" r:id="rId67">
            <o:LockedField>false</o:LockedField>
          </o:OLEObject>
        </w:object>
      </w:r>
    </w:p>
    <w:p>
      <w:pPr>
        <w:pStyle w:val="74"/>
        <w:autoSpaceDE w:val="0"/>
        <w:autoSpaceDN w:val="0"/>
        <w:ind w:firstLine="480"/>
        <w:rPr>
          <w:rFonts w:hint="default" w:cs="Times New Roman"/>
          <w:color w:val="auto"/>
          <w:highlight w:val="none"/>
        </w:rPr>
      </w:pPr>
      <w:r>
        <w:rPr>
          <w:rFonts w:hint="default" w:cs="Times New Roman"/>
          <w:color w:val="auto"/>
          <w:highlight w:val="none"/>
        </w:rPr>
        <w:t>式中：tj——在T时间内j声源工作时间，s；</w:t>
      </w:r>
    </w:p>
    <w:p>
      <w:pPr>
        <w:pStyle w:val="74"/>
        <w:autoSpaceDE w:val="0"/>
        <w:autoSpaceDN w:val="0"/>
        <w:ind w:firstLine="1200" w:firstLineChars="500"/>
        <w:rPr>
          <w:rFonts w:hint="default" w:cs="Times New Roman"/>
          <w:color w:val="auto"/>
          <w:highlight w:val="none"/>
        </w:rPr>
      </w:pPr>
      <w:r>
        <w:rPr>
          <w:rFonts w:hint="default" w:cs="Times New Roman"/>
          <w:color w:val="auto"/>
          <w:highlight w:val="none"/>
        </w:rPr>
        <w:t>ti——在T时间内i声源工作时间，s；</w:t>
      </w:r>
    </w:p>
    <w:p>
      <w:pPr>
        <w:pStyle w:val="74"/>
        <w:autoSpaceDE w:val="0"/>
        <w:autoSpaceDN w:val="0"/>
        <w:ind w:firstLine="1200" w:firstLineChars="500"/>
        <w:rPr>
          <w:rFonts w:hint="default" w:cs="Times New Roman"/>
          <w:color w:val="auto"/>
          <w:highlight w:val="none"/>
        </w:rPr>
      </w:pPr>
      <w:r>
        <w:rPr>
          <w:rFonts w:hint="default" w:cs="Times New Roman"/>
          <w:color w:val="auto"/>
          <w:highlight w:val="none"/>
        </w:rPr>
        <w:t>T——用于计算等效声级的时间，s；</w:t>
      </w:r>
    </w:p>
    <w:p>
      <w:pPr>
        <w:pStyle w:val="74"/>
        <w:autoSpaceDE w:val="0"/>
        <w:autoSpaceDN w:val="0"/>
        <w:ind w:firstLine="1200" w:firstLineChars="500"/>
        <w:rPr>
          <w:rFonts w:hint="default" w:cs="Times New Roman"/>
          <w:color w:val="auto"/>
          <w:highlight w:val="none"/>
        </w:rPr>
      </w:pPr>
      <w:r>
        <w:rPr>
          <w:rFonts w:hint="default" w:cs="Times New Roman"/>
          <w:color w:val="auto"/>
          <w:highlight w:val="none"/>
        </w:rPr>
        <w:t>N——室外声源个数；</w:t>
      </w:r>
    </w:p>
    <w:p>
      <w:pPr>
        <w:pStyle w:val="74"/>
        <w:autoSpaceDE w:val="0"/>
        <w:autoSpaceDN w:val="0"/>
        <w:ind w:firstLine="1200" w:firstLineChars="500"/>
        <w:rPr>
          <w:rFonts w:hint="default" w:cs="Times New Roman"/>
          <w:color w:val="auto"/>
          <w:highlight w:val="none"/>
        </w:rPr>
      </w:pPr>
      <w:r>
        <w:rPr>
          <w:rFonts w:hint="default" w:cs="Times New Roman"/>
          <w:color w:val="auto"/>
          <w:highlight w:val="none"/>
        </w:rPr>
        <w:t>M——等效室外声源个数；</w:t>
      </w:r>
    </w:p>
    <w:p>
      <w:pPr>
        <w:pStyle w:val="74"/>
        <w:ind w:firstLine="480"/>
        <w:rPr>
          <w:color w:val="auto"/>
          <w:szCs w:val="24"/>
          <w:highlight w:val="none"/>
        </w:rPr>
      </w:pPr>
      <w:r>
        <w:rPr>
          <w:color w:val="auto"/>
          <w:szCs w:val="24"/>
          <w:highlight w:val="none"/>
        </w:rPr>
        <w:t>根据实际情况，把各具体复杂的噪声源叠加简化为一个点声源进行计算，再将噪声值进行能量叠加</w:t>
      </w:r>
      <w:r>
        <w:rPr>
          <w:rFonts w:hint="eastAsia"/>
          <w:color w:val="auto"/>
          <w:szCs w:val="24"/>
          <w:highlight w:val="none"/>
          <w:lang w:eastAsia="zh-CN"/>
        </w:rPr>
        <w:t>。</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5.4.</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预测结果</w:t>
      </w:r>
      <w:r>
        <w:rPr>
          <w:rFonts w:hint="eastAsia" w:ascii="Times New Roman" w:hAnsi="Times New Roman" w:cs="Times New Roman"/>
          <w:color w:val="auto"/>
          <w:highlight w:val="none"/>
          <w:lang w:eastAsia="zh-CN"/>
        </w:rPr>
        <w:t>及评价</w:t>
      </w:r>
    </w:p>
    <w:p>
      <w:pPr>
        <w:pStyle w:val="63"/>
        <w:spacing w:line="360" w:lineRule="auto"/>
        <w:rPr>
          <w:rFonts w:hint="eastAsia" w:eastAsia="宋体" w:cs="Times New Roman"/>
          <w:color w:val="auto"/>
          <w:highlight w:val="none"/>
          <w:lang w:eastAsia="zh-CN"/>
        </w:rPr>
      </w:pPr>
      <w:r>
        <w:rPr>
          <w:rFonts w:hint="eastAsia" w:cs="Times New Roman"/>
          <w:color w:val="auto"/>
          <w:highlight w:val="none"/>
        </w:rPr>
        <w:t>（1）</w:t>
      </w:r>
      <w:r>
        <w:rPr>
          <w:rFonts w:hint="eastAsia" w:cs="Times New Roman"/>
          <w:color w:val="auto"/>
          <w:highlight w:val="none"/>
          <w:lang w:eastAsia="zh-CN"/>
        </w:rPr>
        <w:t>厂</w:t>
      </w:r>
      <w:r>
        <w:rPr>
          <w:rFonts w:hint="eastAsia" w:cs="Times New Roman"/>
          <w:color w:val="auto"/>
          <w:highlight w:val="none"/>
        </w:rPr>
        <w:t>界环境噪</w:t>
      </w:r>
      <w:r>
        <w:rPr>
          <w:rFonts w:cs="Times New Roman"/>
          <w:color w:val="auto"/>
          <w:highlight w:val="none"/>
        </w:rPr>
        <w:t>声</w:t>
      </w:r>
      <w:r>
        <w:rPr>
          <w:rFonts w:hint="eastAsia" w:cs="Times New Roman"/>
          <w:color w:val="auto"/>
          <w:highlight w:val="none"/>
          <w:lang w:eastAsia="zh-CN"/>
        </w:rPr>
        <w:t>预测评价</w:t>
      </w:r>
    </w:p>
    <w:p>
      <w:pPr>
        <w:bidi w:val="0"/>
        <w:rPr>
          <w:color w:val="auto"/>
          <w:highlight w:val="none"/>
        </w:rPr>
      </w:pPr>
      <w:r>
        <w:rPr>
          <w:color w:val="auto"/>
          <w:highlight w:val="none"/>
        </w:rPr>
        <w:t>本项目建成后，各噪声源对项目边界的最大噪声贡献值为</w:t>
      </w:r>
      <w:r>
        <w:rPr>
          <w:rFonts w:hint="eastAsia"/>
          <w:color w:val="auto"/>
          <w:highlight w:val="none"/>
          <w:lang w:val="en-US" w:eastAsia="zh-CN"/>
        </w:rPr>
        <w:t>40.3</w:t>
      </w:r>
      <w:r>
        <w:rPr>
          <w:color w:val="auto"/>
          <w:highlight w:val="none"/>
        </w:rPr>
        <w:t>dB（A），出现在项目</w:t>
      </w:r>
      <w:r>
        <w:rPr>
          <w:rFonts w:hint="eastAsia"/>
          <w:color w:val="auto"/>
          <w:highlight w:val="none"/>
          <w:lang w:eastAsia="zh-CN"/>
        </w:rPr>
        <w:t>区西</w:t>
      </w:r>
      <w:r>
        <w:rPr>
          <w:color w:val="auto"/>
          <w:highlight w:val="none"/>
        </w:rPr>
        <w:t>侧。项目边界噪声预测结果见表5.4-</w:t>
      </w:r>
      <w:r>
        <w:rPr>
          <w:rFonts w:hint="eastAsia"/>
          <w:color w:val="auto"/>
          <w:highlight w:val="none"/>
          <w:lang w:val="en-US" w:eastAsia="zh-CN"/>
        </w:rPr>
        <w:t>3</w:t>
      </w:r>
      <w:r>
        <w:rPr>
          <w:color w:val="auto"/>
          <w:highlight w:val="none"/>
        </w:rPr>
        <w:t>。</w:t>
      </w:r>
    </w:p>
    <w:p>
      <w:pPr>
        <w:pStyle w:val="67"/>
        <w:spacing w:line="240" w:lineRule="auto"/>
        <w:ind w:firstLine="422"/>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表5.4-</w:t>
      </w:r>
      <w:r>
        <w:rPr>
          <w:rFonts w:hint="eastAsia" w:ascii="Times New Roman" w:hAnsi="Times New Roman" w:eastAsia="宋体" w:cs="Times New Roman"/>
          <w:color w:val="auto"/>
          <w:kern w:val="2"/>
          <w:sz w:val="21"/>
          <w:szCs w:val="21"/>
          <w:highlight w:val="none"/>
          <w:lang w:val="en-US" w:eastAsia="zh-CN"/>
        </w:rPr>
        <w:t>3</w:t>
      </w:r>
      <w:r>
        <w:rPr>
          <w:rFonts w:ascii="Times New Roman" w:hAnsi="Times New Roman" w:eastAsia="宋体" w:cs="Times New Roman"/>
          <w:color w:val="auto"/>
          <w:kern w:val="2"/>
          <w:sz w:val="21"/>
          <w:szCs w:val="21"/>
          <w:highlight w:val="none"/>
        </w:rPr>
        <w:t xml:space="preserve">  </w:t>
      </w:r>
      <w:r>
        <w:rPr>
          <w:rFonts w:hint="eastAsia" w:ascii="Times New Roman" w:hAnsi="Times New Roman" w:eastAsia="宋体" w:cs="Times New Roman"/>
          <w:color w:val="auto"/>
          <w:kern w:val="2"/>
          <w:sz w:val="21"/>
          <w:szCs w:val="21"/>
          <w:highlight w:val="none"/>
        </w:rPr>
        <w:t xml:space="preserve">   </w:t>
      </w:r>
      <w:r>
        <w:rPr>
          <w:rFonts w:ascii="Times New Roman" w:hAnsi="Times New Roman" w:eastAsia="宋体" w:cs="Times New Roman"/>
          <w:color w:val="auto"/>
          <w:kern w:val="2"/>
          <w:sz w:val="21"/>
          <w:szCs w:val="21"/>
          <w:highlight w:val="none"/>
        </w:rPr>
        <w:t xml:space="preserve">厂界噪声预测结果一览表  </w:t>
      </w:r>
      <w:r>
        <w:rPr>
          <w:rFonts w:hint="eastAsia" w:ascii="Times New Roman" w:hAnsi="Times New Roman" w:eastAsia="宋体" w:cs="Times New Roman"/>
          <w:color w:val="auto"/>
          <w:kern w:val="2"/>
          <w:sz w:val="21"/>
          <w:szCs w:val="21"/>
          <w:highlight w:val="none"/>
        </w:rPr>
        <w:t xml:space="preserve">  </w:t>
      </w:r>
      <w:r>
        <w:rPr>
          <w:rFonts w:ascii="Times New Roman" w:hAnsi="Times New Roman" w:eastAsia="宋体" w:cs="Times New Roman"/>
          <w:color w:val="auto"/>
          <w:kern w:val="2"/>
          <w:sz w:val="21"/>
          <w:szCs w:val="21"/>
          <w:highlight w:val="none"/>
        </w:rPr>
        <w:t xml:space="preserve"> 单位：dB（A）</w:t>
      </w:r>
    </w:p>
    <w:tbl>
      <w:tblPr>
        <w:tblStyle w:val="31"/>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826"/>
        <w:gridCol w:w="832"/>
        <w:gridCol w:w="826"/>
        <w:gridCol w:w="832"/>
        <w:gridCol w:w="826"/>
        <w:gridCol w:w="833"/>
        <w:gridCol w:w="82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厂界噪声</w:t>
            </w:r>
          </w:p>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dB（A）</w:t>
            </w:r>
          </w:p>
        </w:tc>
        <w:tc>
          <w:tcPr>
            <w:tcW w:w="1658"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东厂界</w:t>
            </w:r>
          </w:p>
        </w:tc>
        <w:tc>
          <w:tcPr>
            <w:tcW w:w="1658"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南厂界</w:t>
            </w:r>
          </w:p>
        </w:tc>
        <w:tc>
          <w:tcPr>
            <w:tcW w:w="1659"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西厂界</w:t>
            </w:r>
          </w:p>
        </w:tc>
        <w:tc>
          <w:tcPr>
            <w:tcW w:w="1659"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昼</w:t>
            </w:r>
          </w:p>
        </w:tc>
        <w:tc>
          <w:tcPr>
            <w:tcW w:w="832"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夜</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昼</w:t>
            </w:r>
          </w:p>
        </w:tc>
        <w:tc>
          <w:tcPr>
            <w:tcW w:w="832"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夜</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昼</w:t>
            </w:r>
          </w:p>
        </w:tc>
        <w:tc>
          <w:tcPr>
            <w:tcW w:w="83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夜</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昼</w:t>
            </w:r>
          </w:p>
        </w:tc>
        <w:tc>
          <w:tcPr>
            <w:tcW w:w="83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背景值</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43.7</w:t>
            </w:r>
          </w:p>
        </w:tc>
        <w:tc>
          <w:tcPr>
            <w:tcW w:w="832"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37.5</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44.6</w:t>
            </w:r>
          </w:p>
        </w:tc>
        <w:tc>
          <w:tcPr>
            <w:tcW w:w="832"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37.3</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42.4</w:t>
            </w:r>
          </w:p>
        </w:tc>
        <w:tc>
          <w:tcPr>
            <w:tcW w:w="83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36.6</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43.8</w:t>
            </w:r>
          </w:p>
        </w:tc>
        <w:tc>
          <w:tcPr>
            <w:tcW w:w="83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贡献值</w:t>
            </w:r>
          </w:p>
        </w:tc>
        <w:tc>
          <w:tcPr>
            <w:tcW w:w="1658"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37.2</w:t>
            </w:r>
          </w:p>
        </w:tc>
        <w:tc>
          <w:tcPr>
            <w:tcW w:w="1658"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34.1</w:t>
            </w:r>
          </w:p>
        </w:tc>
        <w:tc>
          <w:tcPr>
            <w:tcW w:w="1659"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40.3</w:t>
            </w:r>
          </w:p>
        </w:tc>
        <w:tc>
          <w:tcPr>
            <w:tcW w:w="1659"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标准值</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65</w:t>
            </w:r>
          </w:p>
        </w:tc>
        <w:tc>
          <w:tcPr>
            <w:tcW w:w="832"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55</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65</w:t>
            </w:r>
          </w:p>
        </w:tc>
        <w:tc>
          <w:tcPr>
            <w:tcW w:w="832"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55</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65</w:t>
            </w:r>
          </w:p>
        </w:tc>
        <w:tc>
          <w:tcPr>
            <w:tcW w:w="83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55</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65</w:t>
            </w:r>
          </w:p>
        </w:tc>
        <w:tc>
          <w:tcPr>
            <w:tcW w:w="83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达标情况</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832"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832"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83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826"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83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r>
    </w:tbl>
    <w:p>
      <w:pPr>
        <w:pStyle w:val="63"/>
        <w:keepNext w:val="0"/>
        <w:keepLines w:val="0"/>
        <w:pageBreakBefore w:val="0"/>
        <w:widowControl/>
        <w:kinsoku/>
        <w:wordWrap/>
        <w:overflowPunct/>
        <w:topLinePunct w:val="0"/>
        <w:autoSpaceDE w:val="0"/>
        <w:autoSpaceDN w:val="0"/>
        <w:bidi w:val="0"/>
        <w:adjustRightInd/>
        <w:snapToGrid/>
        <w:spacing w:before="0" w:beforeLines="50" w:line="360" w:lineRule="auto"/>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）敏感点噪声预测结果</w:t>
      </w:r>
    </w:p>
    <w:p>
      <w:pPr>
        <w:pStyle w:val="63"/>
        <w:keepNext w:val="0"/>
        <w:keepLines w:val="0"/>
        <w:pageBreakBefore w:val="0"/>
        <w:widowControl/>
        <w:kinsoku/>
        <w:wordWrap/>
        <w:overflowPunct/>
        <w:topLinePunct w:val="0"/>
        <w:autoSpaceDE w:val="0"/>
        <w:autoSpaceDN w:val="0"/>
        <w:bidi w:val="0"/>
        <w:adjustRightInd/>
        <w:snapToGrid/>
        <w:spacing w:before="0" w:beforeLines="50" w:line="36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项目区周围敏感点噪声预测结果见表</w:t>
      </w:r>
      <w:r>
        <w:rPr>
          <w:rFonts w:hint="eastAsia" w:ascii="Times New Roman" w:hAnsi="Times New Roman" w:eastAsia="宋体" w:cs="Times New Roman"/>
          <w:color w:val="auto"/>
          <w:highlight w:val="none"/>
          <w:lang w:val="en-US" w:eastAsia="zh-CN"/>
        </w:rPr>
        <w:t>5.4-4。</w:t>
      </w:r>
    </w:p>
    <w:p>
      <w:pPr>
        <w:pStyle w:val="67"/>
        <w:keepNext w:val="0"/>
        <w:keepLines w:val="0"/>
        <w:pageBreakBefore w:val="0"/>
        <w:widowControl/>
        <w:kinsoku/>
        <w:wordWrap/>
        <w:overflowPunct/>
        <w:topLinePunct w:val="0"/>
        <w:autoSpaceDE/>
        <w:autoSpaceDN/>
        <w:bidi w:val="0"/>
        <w:adjustRightInd w:val="0"/>
        <w:snapToGrid w:val="0"/>
        <w:spacing w:before="157" w:beforeLines="50" w:line="240" w:lineRule="auto"/>
        <w:ind w:firstLine="422"/>
        <w:textAlignment w:val="auto"/>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表5.4-</w:t>
      </w:r>
      <w:r>
        <w:rPr>
          <w:rFonts w:hint="eastAsia" w:ascii="Times New Roman" w:hAnsi="Times New Roman" w:eastAsia="宋体" w:cs="Times New Roman"/>
          <w:color w:val="auto"/>
          <w:kern w:val="2"/>
          <w:sz w:val="21"/>
          <w:szCs w:val="21"/>
          <w:highlight w:val="none"/>
          <w:lang w:val="en-US" w:eastAsia="zh-CN"/>
        </w:rPr>
        <w:t>4</w:t>
      </w:r>
      <w:r>
        <w:rPr>
          <w:rFonts w:ascii="Times New Roman" w:hAnsi="Times New Roman" w:eastAsia="宋体" w:cs="Times New Roman"/>
          <w:color w:val="auto"/>
          <w:kern w:val="2"/>
          <w:sz w:val="21"/>
          <w:szCs w:val="21"/>
          <w:highlight w:val="none"/>
        </w:rPr>
        <w:t xml:space="preserve">  </w:t>
      </w:r>
      <w:r>
        <w:rPr>
          <w:rFonts w:hint="eastAsia" w:ascii="Times New Roman" w:hAnsi="Times New Roman" w:eastAsia="宋体" w:cs="Times New Roman"/>
          <w:color w:val="auto"/>
          <w:kern w:val="2"/>
          <w:sz w:val="21"/>
          <w:szCs w:val="21"/>
          <w:highlight w:val="none"/>
        </w:rPr>
        <w:t xml:space="preserve">   </w:t>
      </w:r>
      <w:r>
        <w:rPr>
          <w:rFonts w:hint="eastAsia" w:ascii="Times New Roman" w:hAnsi="Times New Roman" w:eastAsia="宋体" w:cs="Times New Roman"/>
          <w:color w:val="auto"/>
          <w:kern w:val="2"/>
          <w:sz w:val="21"/>
          <w:szCs w:val="21"/>
          <w:highlight w:val="none"/>
          <w:lang w:eastAsia="zh-CN"/>
        </w:rPr>
        <w:t>敏感点</w:t>
      </w:r>
      <w:r>
        <w:rPr>
          <w:rFonts w:ascii="Times New Roman" w:hAnsi="Times New Roman" w:eastAsia="宋体" w:cs="Times New Roman"/>
          <w:color w:val="auto"/>
          <w:kern w:val="2"/>
          <w:sz w:val="21"/>
          <w:szCs w:val="21"/>
          <w:highlight w:val="none"/>
        </w:rPr>
        <w:t xml:space="preserve">噪声预测结果一览表  </w:t>
      </w:r>
      <w:r>
        <w:rPr>
          <w:rFonts w:hint="eastAsia" w:ascii="Times New Roman" w:hAnsi="Times New Roman" w:eastAsia="宋体" w:cs="Times New Roman"/>
          <w:color w:val="auto"/>
          <w:kern w:val="2"/>
          <w:sz w:val="21"/>
          <w:szCs w:val="21"/>
          <w:highlight w:val="none"/>
        </w:rPr>
        <w:t xml:space="preserve">  </w:t>
      </w:r>
      <w:r>
        <w:rPr>
          <w:rFonts w:ascii="Times New Roman" w:hAnsi="Times New Roman" w:eastAsia="宋体" w:cs="Times New Roman"/>
          <w:color w:val="auto"/>
          <w:kern w:val="2"/>
          <w:sz w:val="21"/>
          <w:szCs w:val="21"/>
          <w:highlight w:val="none"/>
        </w:rPr>
        <w:t xml:space="preserve"> 单位：dB（A）</w:t>
      </w:r>
    </w:p>
    <w:tbl>
      <w:tblPr>
        <w:tblStyle w:val="31"/>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8"/>
        <w:gridCol w:w="1409"/>
        <w:gridCol w:w="6"/>
        <w:gridCol w:w="1415"/>
        <w:gridCol w:w="1409"/>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厂界噪声</w:t>
            </w:r>
          </w:p>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dB（A）</w:t>
            </w:r>
          </w:p>
        </w:tc>
        <w:tc>
          <w:tcPr>
            <w:tcW w:w="2830" w:type="dxa"/>
            <w:gridSpan w:val="3"/>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西侧-糖厂家属院</w:t>
            </w:r>
          </w:p>
        </w:tc>
        <w:tc>
          <w:tcPr>
            <w:tcW w:w="2830"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北侧-塔斯尔海村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昼</w:t>
            </w:r>
          </w:p>
        </w:tc>
        <w:tc>
          <w:tcPr>
            <w:tcW w:w="1421"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夜</w:t>
            </w: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昼</w:t>
            </w:r>
          </w:p>
        </w:tc>
        <w:tc>
          <w:tcPr>
            <w:tcW w:w="1421"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背景值</w:t>
            </w: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42.4</w:t>
            </w:r>
          </w:p>
        </w:tc>
        <w:tc>
          <w:tcPr>
            <w:tcW w:w="1421"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36.6</w:t>
            </w: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43.8</w:t>
            </w:r>
          </w:p>
        </w:tc>
        <w:tc>
          <w:tcPr>
            <w:tcW w:w="1421"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贡献值</w:t>
            </w:r>
          </w:p>
        </w:tc>
        <w:tc>
          <w:tcPr>
            <w:tcW w:w="2830" w:type="dxa"/>
            <w:gridSpan w:val="3"/>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24.1</w:t>
            </w:r>
          </w:p>
        </w:tc>
        <w:tc>
          <w:tcPr>
            <w:tcW w:w="2830"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预测值</w:t>
            </w:r>
          </w:p>
        </w:tc>
        <w:tc>
          <w:tcPr>
            <w:tcW w:w="1415"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46</w:t>
            </w:r>
          </w:p>
        </w:tc>
        <w:tc>
          <w:tcPr>
            <w:tcW w:w="1415"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43</w:t>
            </w: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46</w:t>
            </w:r>
          </w:p>
        </w:tc>
        <w:tc>
          <w:tcPr>
            <w:tcW w:w="1421"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标准值</w:t>
            </w: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55</w:t>
            </w:r>
          </w:p>
        </w:tc>
        <w:tc>
          <w:tcPr>
            <w:tcW w:w="1421"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45</w:t>
            </w: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55</w:t>
            </w:r>
          </w:p>
        </w:tc>
        <w:tc>
          <w:tcPr>
            <w:tcW w:w="1421"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达标情况</w:t>
            </w: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1421"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140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c>
          <w:tcPr>
            <w:tcW w:w="1421"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达标</w:t>
            </w:r>
          </w:p>
        </w:tc>
      </w:tr>
    </w:tbl>
    <w:p>
      <w:pPr>
        <w:keepNext w:val="0"/>
        <w:keepLines w:val="0"/>
        <w:pageBreakBefore w:val="0"/>
        <w:widowControl w:val="0"/>
        <w:kinsoku/>
        <w:wordWrap/>
        <w:overflowPunct/>
        <w:topLinePunct w:val="0"/>
        <w:autoSpaceDE w:val="0"/>
        <w:autoSpaceDN w:val="0"/>
        <w:bidi w:val="0"/>
        <w:adjustRightInd/>
        <w:snapToGrid/>
        <w:spacing w:before="0" w:beforeLines="50"/>
        <w:textAlignment w:val="auto"/>
        <w:rPr>
          <w:color w:val="auto"/>
          <w:highlight w:val="none"/>
        </w:rPr>
      </w:pPr>
      <w:r>
        <w:rPr>
          <w:color w:val="auto"/>
          <w:highlight w:val="none"/>
        </w:rPr>
        <w:t>本项目噪声</w:t>
      </w:r>
      <w:r>
        <w:rPr>
          <w:rFonts w:hint="eastAsia"/>
          <w:color w:val="auto"/>
          <w:highlight w:val="none"/>
          <w:lang w:eastAsia="zh-CN"/>
        </w:rPr>
        <w:t>预测</w:t>
      </w:r>
      <w:r>
        <w:rPr>
          <w:color w:val="auto"/>
          <w:highlight w:val="none"/>
        </w:rPr>
        <w:t>结果显示：项目建成运行后厂界噪声可以控制在</w:t>
      </w:r>
      <w:r>
        <w:rPr>
          <w:rFonts w:hint="eastAsia"/>
          <w:color w:val="auto"/>
          <w:highlight w:val="none"/>
        </w:rPr>
        <w:t>45</w:t>
      </w:r>
      <w:r>
        <w:rPr>
          <w:color w:val="auto"/>
          <w:highlight w:val="none"/>
        </w:rPr>
        <w:t>dB（A）以下，</w:t>
      </w:r>
      <w:r>
        <w:rPr>
          <w:rFonts w:hint="eastAsia"/>
          <w:color w:val="auto"/>
          <w:highlight w:val="none"/>
          <w:lang w:eastAsia="zh-CN"/>
        </w:rPr>
        <w:t>厂界噪声贡献值均满足</w:t>
      </w:r>
      <w:r>
        <w:rPr>
          <w:color w:val="auto"/>
          <w:highlight w:val="none"/>
        </w:rPr>
        <w:t>《工业企业厂界环境噪声排放标准》（GB12348－2008）中</w:t>
      </w:r>
      <w:r>
        <w:rPr>
          <w:rFonts w:hint="eastAsia"/>
          <w:color w:val="auto"/>
          <w:highlight w:val="none"/>
          <w:lang w:val="en-US" w:eastAsia="zh-CN"/>
        </w:rPr>
        <w:t>3</w:t>
      </w:r>
      <w:r>
        <w:rPr>
          <w:rFonts w:hint="eastAsia"/>
          <w:color w:val="auto"/>
          <w:highlight w:val="none"/>
        </w:rPr>
        <w:t>类</w:t>
      </w:r>
      <w:r>
        <w:rPr>
          <w:color w:val="auto"/>
          <w:highlight w:val="none"/>
        </w:rPr>
        <w:t>标准，与背景值叠加后</w:t>
      </w:r>
      <w:r>
        <w:rPr>
          <w:rFonts w:hint="eastAsia"/>
          <w:color w:val="auto"/>
          <w:highlight w:val="none"/>
          <w:lang w:eastAsia="zh-CN"/>
        </w:rPr>
        <w:t>，敏感点</w:t>
      </w:r>
      <w:r>
        <w:rPr>
          <w:color w:val="auto"/>
          <w:highlight w:val="none"/>
        </w:rPr>
        <w:t>昼间及夜间最大叠加值均达到《</w:t>
      </w:r>
      <w:r>
        <w:rPr>
          <w:rFonts w:hint="eastAsia"/>
          <w:color w:val="auto"/>
          <w:highlight w:val="none"/>
          <w:lang w:eastAsia="zh-CN"/>
        </w:rPr>
        <w:t>声环境质量标准</w:t>
      </w:r>
      <w:r>
        <w:rPr>
          <w:color w:val="auto"/>
          <w:highlight w:val="none"/>
        </w:rPr>
        <w:t>》（GB</w:t>
      </w:r>
      <w:r>
        <w:rPr>
          <w:rFonts w:hint="eastAsia"/>
          <w:color w:val="auto"/>
          <w:highlight w:val="none"/>
          <w:lang w:val="en-US" w:eastAsia="zh-CN"/>
        </w:rPr>
        <w:t>3096</w:t>
      </w:r>
      <w:r>
        <w:rPr>
          <w:color w:val="auto"/>
          <w:highlight w:val="none"/>
        </w:rPr>
        <w:t>－2008）中</w:t>
      </w:r>
      <w:r>
        <w:rPr>
          <w:rFonts w:hint="eastAsia"/>
          <w:color w:val="auto"/>
          <w:highlight w:val="none"/>
          <w:lang w:val="en-US" w:eastAsia="zh-CN"/>
        </w:rPr>
        <w:t>1</w:t>
      </w:r>
      <w:r>
        <w:rPr>
          <w:rFonts w:hint="eastAsia"/>
          <w:color w:val="auto"/>
          <w:highlight w:val="none"/>
        </w:rPr>
        <w:t>类</w:t>
      </w:r>
      <w:r>
        <w:rPr>
          <w:color w:val="auto"/>
          <w:highlight w:val="none"/>
        </w:rPr>
        <w:t>标准</w:t>
      </w:r>
      <w:r>
        <w:rPr>
          <w:rFonts w:hint="eastAsia"/>
          <w:color w:val="auto"/>
          <w:highlight w:val="none"/>
          <w:lang w:eastAsia="zh-CN"/>
        </w:rPr>
        <w:t>，</w:t>
      </w:r>
      <w:r>
        <w:rPr>
          <w:color w:val="auto"/>
          <w:highlight w:val="none"/>
        </w:rPr>
        <w:t>不会降低声环境级别。本项目在设计和建设中，通过对装置噪声源强的控制，并加强绿化措施，不会对声环境造成污染。</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5.4.5</w:t>
      </w:r>
      <w:r>
        <w:rPr>
          <w:rFonts w:hint="default" w:ascii="Times New Roman" w:hAnsi="Times New Roman" w:eastAsia="宋体" w:cs="Times New Roman"/>
          <w:color w:val="auto"/>
          <w:highlight w:val="none"/>
          <w:lang w:val="en-US" w:eastAsia="zh-CN"/>
        </w:rPr>
        <w:t>运煤、运灰道路的噪声影响分析</w:t>
      </w:r>
    </w:p>
    <w:p>
      <w:pPr>
        <w:bidi w:val="0"/>
        <w:rPr>
          <w:color w:val="auto"/>
          <w:highlight w:val="none"/>
        </w:rPr>
      </w:pPr>
      <w:r>
        <w:rPr>
          <w:color w:val="auto"/>
          <w:highlight w:val="none"/>
        </w:rPr>
        <w:t>本工程燃煤主要通过汽车输送进厂。本工程运煤车辆拟采用</w:t>
      </w:r>
      <w:r>
        <w:rPr>
          <w:rFonts w:hint="eastAsia"/>
          <w:color w:val="auto"/>
          <w:highlight w:val="none"/>
          <w:lang w:val="en-US" w:eastAsia="zh-CN"/>
        </w:rPr>
        <w:t>4</w:t>
      </w:r>
      <w:r>
        <w:rPr>
          <w:color w:val="auto"/>
          <w:highlight w:val="none"/>
        </w:rPr>
        <w:t>0t的货车，运煤车辆在一定程度上将增大道路两侧噪声级。</w:t>
      </w:r>
    </w:p>
    <w:p>
      <w:pPr>
        <w:bidi w:val="0"/>
        <w:rPr>
          <w:color w:val="auto"/>
          <w:highlight w:val="none"/>
        </w:rPr>
      </w:pPr>
      <w:r>
        <w:rPr>
          <w:color w:val="auto"/>
          <w:highlight w:val="none"/>
        </w:rPr>
        <w:t>本工程临时灰渣场位于厂区内，定期由综合利用厂家拉运</w:t>
      </w:r>
      <w:r>
        <w:rPr>
          <w:rFonts w:hint="eastAsia"/>
          <w:color w:val="auto"/>
          <w:highlight w:val="none"/>
        </w:rPr>
        <w:t>出厂</w:t>
      </w:r>
      <w:r>
        <w:rPr>
          <w:color w:val="auto"/>
          <w:highlight w:val="none"/>
        </w:rPr>
        <w:t>外。</w:t>
      </w:r>
    </w:p>
    <w:p>
      <w:pPr>
        <w:bidi w:val="0"/>
        <w:rPr>
          <w:color w:val="auto"/>
          <w:highlight w:val="none"/>
        </w:rPr>
      </w:pPr>
      <w:r>
        <w:rPr>
          <w:color w:val="auto"/>
          <w:highlight w:val="none"/>
        </w:rPr>
        <w:t>为减轻运煤及灰渣综合利用车辆对沿途居民的影响，应采取以下措施：</w:t>
      </w:r>
    </w:p>
    <w:p>
      <w:pPr>
        <w:bidi w:val="0"/>
        <w:rPr>
          <w:color w:val="auto"/>
          <w:highlight w:val="none"/>
        </w:rPr>
      </w:pPr>
      <w:r>
        <w:rPr>
          <w:color w:val="auto"/>
          <w:highlight w:val="none"/>
        </w:rPr>
        <w:t>①合理安排运输时间，避免夜间运输；</w:t>
      </w:r>
    </w:p>
    <w:p>
      <w:pPr>
        <w:bidi w:val="0"/>
        <w:rPr>
          <w:color w:val="auto"/>
          <w:highlight w:val="none"/>
        </w:rPr>
      </w:pPr>
      <w:r>
        <w:rPr>
          <w:color w:val="auto"/>
          <w:highlight w:val="none"/>
        </w:rPr>
        <w:t>②合理安排运煤车辆频率，如间断发车，避免大量车辆同时上路；</w:t>
      </w:r>
    </w:p>
    <w:p>
      <w:pPr>
        <w:bidi w:val="0"/>
        <w:rPr>
          <w:color w:val="auto"/>
          <w:highlight w:val="none"/>
        </w:rPr>
      </w:pPr>
      <w:r>
        <w:rPr>
          <w:color w:val="auto"/>
          <w:highlight w:val="none"/>
        </w:rPr>
        <w:t>③限制车速，车速不超过60km/h，车辆经过居民区时，将车速控制在20km/h以下；</w:t>
      </w:r>
    </w:p>
    <w:p>
      <w:pPr>
        <w:bidi w:val="0"/>
        <w:rPr>
          <w:color w:val="auto"/>
          <w:highlight w:val="none"/>
        </w:rPr>
      </w:pPr>
      <w:r>
        <w:rPr>
          <w:color w:val="auto"/>
          <w:highlight w:val="none"/>
        </w:rPr>
        <w:t>④及时维护路面。禁止汽车在经过居民区时鸣笛。</w:t>
      </w:r>
    </w:p>
    <w:p>
      <w:pPr>
        <w:bidi w:val="0"/>
        <w:rPr>
          <w:color w:val="auto"/>
          <w:highlight w:val="none"/>
        </w:rPr>
      </w:pPr>
      <w:r>
        <w:rPr>
          <w:color w:val="auto"/>
          <w:highlight w:val="none"/>
        </w:rPr>
        <w:t>在采取以上措施后，运煤及灰渣综合利用车辆产生的噪声对沿途环境影响较小。</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5.4.6声环境影响评价结论</w:t>
      </w:r>
    </w:p>
    <w:p>
      <w:pPr>
        <w:bidi w:val="0"/>
        <w:rPr>
          <w:color w:val="auto"/>
          <w:highlight w:val="none"/>
        </w:rPr>
      </w:pPr>
      <w:r>
        <w:rPr>
          <w:color w:val="auto"/>
          <w:highlight w:val="none"/>
        </w:rPr>
        <w:t>本工程采取降噪措施后，各厂界噪声贡献值满足《工业企业厂界环境噪声排放标准》（GB12348-2008）</w:t>
      </w:r>
      <w:r>
        <w:rPr>
          <w:rFonts w:hint="eastAsia"/>
          <w:color w:val="auto"/>
          <w:highlight w:val="none"/>
          <w:lang w:val="en-US" w:eastAsia="zh-CN"/>
        </w:rPr>
        <w:t>3</w:t>
      </w:r>
      <w:r>
        <w:rPr>
          <w:color w:val="auto"/>
          <w:highlight w:val="none"/>
        </w:rPr>
        <w:t>类标准限值要求。</w:t>
      </w:r>
    </w:p>
    <w:p>
      <w:pPr>
        <w:bidi w:val="0"/>
        <w:rPr>
          <w:color w:val="auto"/>
          <w:highlight w:val="none"/>
        </w:rPr>
      </w:pPr>
      <w:r>
        <w:rPr>
          <w:color w:val="auto"/>
          <w:highlight w:val="none"/>
        </w:rPr>
        <w:t>在采取合理安排运输时间、限制车速、维护路面等措施后，运煤及灰渣综合利用车辆产生的噪声对沿途声环境影响较小。</w:t>
      </w:r>
    </w:p>
    <w:p>
      <w:pPr>
        <w:bidi w:val="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 xml:space="preserve"> 声环境影响评价自查表见表5.4-5。</w:t>
      </w:r>
    </w:p>
    <w:p>
      <w:pPr>
        <w:keepNext w:val="0"/>
        <w:keepLines w:val="0"/>
        <w:pageBreakBefore w:val="0"/>
        <w:widowControl w:val="0"/>
        <w:kinsoku/>
        <w:wordWrap/>
        <w:overflowPunct/>
        <w:topLinePunct w:val="0"/>
        <w:autoSpaceDE/>
        <w:autoSpaceDN/>
        <w:bidi w:val="0"/>
        <w:adjustRightInd/>
        <w:snapToGrid/>
        <w:spacing w:after="0" w:afterLines="5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5.4-</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声环境影响评价自查表</w:t>
      </w:r>
    </w:p>
    <w:tbl>
      <w:tblPr>
        <w:tblStyle w:val="32"/>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477"/>
        <w:gridCol w:w="1004"/>
        <w:gridCol w:w="502"/>
        <w:gridCol w:w="387"/>
        <w:gridCol w:w="115"/>
        <w:gridCol w:w="831"/>
        <w:gridCol w:w="173"/>
        <w:gridCol w:w="1004"/>
        <w:gridCol w:w="244"/>
        <w:gridCol w:w="258"/>
        <w:gridCol w:w="502"/>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3" w:type="dxa"/>
            <w:gridSpan w:val="2"/>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工作内容</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评价等级与范围</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评价等级</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二级</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三级</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200m</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大于200m</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小于200m</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最大A声级</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计权等效连续感觉噪声级</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国家标准</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地方标准</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国外标准</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c>
          <w:tcPr>
            <w:tcW w:w="100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0类区</w:t>
            </w:r>
          </w:p>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color w:val="auto"/>
                <w:sz w:val="21"/>
                <w:szCs w:val="21"/>
                <w:highlight w:val="none"/>
              </w:rPr>
              <w:sym w:font="Wingdings" w:char="00A8"/>
            </w:r>
          </w:p>
        </w:tc>
        <w:tc>
          <w:tcPr>
            <w:tcW w:w="1004" w:type="dxa"/>
            <w:gridSpan w:val="3"/>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1类区</w:t>
            </w:r>
          </w:p>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c>
          <w:tcPr>
            <w:tcW w:w="1004" w:type="dxa"/>
            <w:gridSpan w:val="2"/>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2类区</w:t>
            </w:r>
          </w:p>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c>
          <w:tcPr>
            <w:tcW w:w="100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3类区</w:t>
            </w:r>
          </w:p>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color w:val="auto"/>
                <w:sz w:val="21"/>
                <w:szCs w:val="21"/>
                <w:highlight w:val="none"/>
              </w:rPr>
              <w:sym w:font="Wingdings" w:char="00FE"/>
            </w:r>
          </w:p>
        </w:tc>
        <w:tc>
          <w:tcPr>
            <w:tcW w:w="1004" w:type="dxa"/>
            <w:gridSpan w:val="3"/>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4a类区</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c>
          <w:tcPr>
            <w:tcW w:w="1006"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4b类区</w:t>
            </w:r>
          </w:p>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评价年度</w:t>
            </w:r>
          </w:p>
        </w:tc>
        <w:tc>
          <w:tcPr>
            <w:tcW w:w="1506" w:type="dxa"/>
            <w:gridSpan w:val="2"/>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初期</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c>
          <w:tcPr>
            <w:tcW w:w="1506" w:type="dxa"/>
            <w:gridSpan w:val="4"/>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近期</w:t>
            </w:r>
            <w:r>
              <w:rPr>
                <w:color w:val="auto"/>
                <w:sz w:val="21"/>
                <w:szCs w:val="21"/>
                <w:highlight w:val="none"/>
              </w:rPr>
              <w:sym w:font="Wingdings" w:char="00A8"/>
            </w:r>
          </w:p>
        </w:tc>
        <w:tc>
          <w:tcPr>
            <w:tcW w:w="1506" w:type="dxa"/>
            <w:gridSpan w:val="3"/>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中期</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c>
          <w:tcPr>
            <w:tcW w:w="1508" w:type="dxa"/>
            <w:gridSpan w:val="2"/>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远期</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现状调查方法</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现场实测法</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现场实测加模型计算法</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收集资料</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1893" w:type="dxa"/>
            <w:gridSpan w:val="3"/>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达标百分比</w:t>
            </w:r>
          </w:p>
        </w:tc>
        <w:tc>
          <w:tcPr>
            <w:tcW w:w="4133" w:type="dxa"/>
            <w:gridSpan w:val="8"/>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噪声源调查</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噪声源调查方法</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现场实测</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已有资料</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研究成果</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声环境影响预测与评价</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预测模型</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导则推荐模型</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其他</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预测范围</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200m</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大于200m</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小于200m</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预测因子</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eastAsia" w:cs="Times New Roman"/>
                <w:snapToGrid w:val="0"/>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最大A声级</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计权等效连续感觉噪声级</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厂界噪声贡献值</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不达标</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声环境保护目标处噪声值</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不达标</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环境监测计划</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排放监测</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厂界监测</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eastAsia" w:cs="Times New Roman"/>
                <w:snapToGrid w:val="0"/>
                <w:color w:val="auto"/>
                <w:sz w:val="21"/>
                <w:szCs w:val="21"/>
                <w:highlight w:val="none"/>
                <w:lang w:val="en-US" w:eastAsia="zh-CN"/>
              </w:rPr>
              <w:t xml:space="preserve">    </w:t>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固定位置监测</w:t>
            </w:r>
            <w:r>
              <w:rPr>
                <w:color w:val="auto"/>
                <w:sz w:val="21"/>
                <w:szCs w:val="21"/>
                <w:highlight w:val="none"/>
              </w:rPr>
              <w:sym w:font="Wingdings" w:char="00A8"/>
            </w:r>
          </w:p>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自动监测</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r>
              <w:rPr>
                <w:rFonts w:hint="eastAsia" w:cs="Times New Roman"/>
                <w:snapToGrid w:val="0"/>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手动监测</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eastAsia" w:cs="Times New Roman"/>
                <w:snapToGrid w:val="0"/>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无监测</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声环境保护目标处噪声监测</w:t>
            </w:r>
          </w:p>
        </w:tc>
        <w:tc>
          <w:tcPr>
            <w:tcW w:w="2839" w:type="dxa"/>
            <w:gridSpan w:val="5"/>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       ）</w:t>
            </w:r>
          </w:p>
        </w:tc>
        <w:tc>
          <w:tcPr>
            <w:tcW w:w="1421" w:type="dxa"/>
            <w:gridSpan w:val="3"/>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监测点位数（ ）</w:t>
            </w:r>
          </w:p>
        </w:tc>
        <w:tc>
          <w:tcPr>
            <w:tcW w:w="1766" w:type="dxa"/>
            <w:gridSpan w:val="3"/>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无监测</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6"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评价结论</w:t>
            </w:r>
          </w:p>
        </w:tc>
        <w:tc>
          <w:tcPr>
            <w:tcW w:w="147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w:t>
            </w:r>
          </w:p>
        </w:tc>
        <w:tc>
          <w:tcPr>
            <w:tcW w:w="6026" w:type="dxa"/>
            <w:gridSpan w:val="11"/>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可行</w:t>
            </w:r>
            <w:r>
              <w:rPr>
                <w:color w:val="auto"/>
                <w:sz w:val="21"/>
                <w:szCs w:val="21"/>
                <w:highlight w:val="none"/>
              </w:rPr>
              <w:sym w:font="Wingdings" w:char="00FE"/>
            </w:r>
            <w:r>
              <w:rPr>
                <w:rFonts w:hint="default" w:ascii="Times New Roman" w:hAnsi="Times New Roman" w:eastAsia="宋体" w:cs="Times New Roman"/>
                <w:snapToGrid w:val="0"/>
                <w:color w:val="auto"/>
                <w:sz w:val="21"/>
                <w:szCs w:val="21"/>
                <w:highlight w:val="none"/>
              </w:rPr>
              <w:t xml:space="preserve"> </w:t>
            </w:r>
            <w:r>
              <w:rPr>
                <w:rFonts w:hint="default" w:ascii="Times New Roman" w:hAnsi="Times New Roman" w:eastAsia="宋体" w:cs="Times New Roman"/>
                <w:color w:val="auto"/>
                <w:sz w:val="21"/>
                <w:szCs w:val="21"/>
                <w:highlight w:val="none"/>
              </w:rPr>
              <w:t xml:space="preserve">               不可行</w:t>
            </w:r>
            <w:r>
              <w:rPr>
                <w:color w:val="auto"/>
                <w:sz w:val="21"/>
                <w:szCs w:val="21"/>
                <w:highlight w:val="none"/>
              </w:rPr>
              <w:sym w:font="Wingdings" w:char="00A8"/>
            </w:r>
            <w:r>
              <w:rPr>
                <w:rFonts w:hint="default" w:ascii="Times New Roman" w:hAnsi="Times New Roman" w:eastAsia="宋体" w:cs="Times New Roman"/>
                <w:snapToGrid w:val="0"/>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39" w:type="dxa"/>
            <w:gridSpan w:val="13"/>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after="0" w:line="320" w:lineRule="exact"/>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 为勾选项 ，可√ ；“（ ）” 为内容填写项。</w:t>
            </w:r>
          </w:p>
        </w:tc>
      </w:tr>
    </w:tbl>
    <w:p>
      <w:pPr>
        <w:pStyle w:val="5"/>
        <w:keepNext/>
        <w:keepLines/>
        <w:pageBreakBefore w:val="0"/>
        <w:widowControl/>
        <w:kinsoku/>
        <w:wordWrap/>
        <w:overflowPunct/>
        <w:topLinePunct w:val="0"/>
        <w:autoSpaceDE/>
        <w:autoSpaceDN/>
        <w:bidi w:val="0"/>
        <w:adjustRightInd w:val="0"/>
        <w:snapToGrid w:val="0"/>
        <w:spacing w:after="0" w:line="360" w:lineRule="auto"/>
        <w:ind w:left="0" w:hanging="573"/>
        <w:textAlignment w:val="auto"/>
        <w:rPr>
          <w:rFonts w:ascii="Times New Roman" w:hAnsi="Times New Roman" w:eastAsia="宋体"/>
          <w:bCs w:val="0"/>
          <w:color w:val="auto"/>
          <w:kern w:val="0"/>
          <w:sz w:val="28"/>
          <w:szCs w:val="24"/>
          <w:highlight w:val="none"/>
        </w:rPr>
      </w:pPr>
      <w:bookmarkStart w:id="225" w:name="_Toc25108"/>
      <w:bookmarkStart w:id="226" w:name="_Toc3182"/>
      <w:bookmarkStart w:id="227" w:name="_Toc2341"/>
      <w:bookmarkStart w:id="228" w:name="_Toc12403"/>
      <w:bookmarkStart w:id="229" w:name="_Toc13491"/>
      <w:bookmarkStart w:id="230" w:name="_Toc18290"/>
      <w:bookmarkStart w:id="231" w:name="_Toc16885"/>
      <w:bookmarkStart w:id="232" w:name="_Toc8968"/>
      <w:bookmarkStart w:id="233" w:name="_Toc4381"/>
      <w:bookmarkStart w:id="234" w:name="_Toc13055"/>
      <w:bookmarkStart w:id="235" w:name="_Toc3943"/>
      <w:bookmarkStart w:id="236" w:name="_Toc413055424"/>
      <w:bookmarkStart w:id="237" w:name="_Toc23455"/>
      <w:bookmarkStart w:id="238" w:name="_Toc524464447"/>
      <w:bookmarkStart w:id="239" w:name="_Toc3683"/>
      <w:r>
        <w:rPr>
          <w:rFonts w:hint="eastAsia"/>
          <w:bCs w:val="0"/>
          <w:color w:val="auto"/>
          <w:kern w:val="0"/>
          <w:sz w:val="28"/>
          <w:szCs w:val="24"/>
          <w:highlight w:val="none"/>
          <w:lang w:val="en-US" w:eastAsia="zh-CN"/>
        </w:rPr>
        <w:t>5.5</w:t>
      </w:r>
      <w:r>
        <w:rPr>
          <w:rFonts w:ascii="Times New Roman" w:hAnsi="Times New Roman" w:eastAsia="宋体"/>
          <w:bCs w:val="0"/>
          <w:color w:val="auto"/>
          <w:kern w:val="0"/>
          <w:sz w:val="28"/>
          <w:szCs w:val="24"/>
          <w:highlight w:val="none"/>
        </w:rPr>
        <w:t>固废环境影响分析</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bidi w:val="0"/>
        <w:rPr>
          <w:color w:val="auto"/>
          <w:highlight w:val="none"/>
        </w:rPr>
      </w:pPr>
      <w:r>
        <w:rPr>
          <w:color w:val="auto"/>
          <w:highlight w:val="none"/>
        </w:rPr>
        <w:t>项目运营期间产生的固体废物主要为脱硫系统产生的</w:t>
      </w:r>
      <w:r>
        <w:rPr>
          <w:rFonts w:hint="eastAsia"/>
          <w:color w:val="auto"/>
          <w:highlight w:val="none"/>
          <w:lang w:eastAsia="zh-CN"/>
        </w:rPr>
        <w:t>脱硫渣、灰渣、废离子交换树脂、废弃滤袋、废润滑油及生活垃圾。</w:t>
      </w:r>
      <w:r>
        <w:rPr>
          <w:color w:val="auto"/>
          <w:highlight w:val="none"/>
        </w:rPr>
        <w:t>具体处理措施见5.5-1。</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50"/>
        <w:jc w:val="center"/>
        <w:textAlignment w:val="auto"/>
        <w:rPr>
          <w:rFonts w:hint="default" w:ascii="Times New Roman" w:hAnsi="Times New Roman" w:eastAsia="宋体" w:cs="Times New Roman"/>
          <w:b/>
          <w:bCs/>
          <w:color w:val="auto"/>
          <w:spacing w:val="-2"/>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55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表5.5-1</w:t>
      </w:r>
      <w:r>
        <w:rPr>
          <w:rFonts w:hint="default" w:ascii="Times New Roman" w:hAnsi="Times New Roman" w:eastAsia="宋体" w:cs="Times New Roman"/>
          <w:b/>
          <w:bCs/>
          <w:color w:val="auto"/>
          <w:spacing w:val="2"/>
          <w:sz w:val="21"/>
          <w:szCs w:val="21"/>
          <w:highlight w:val="none"/>
        </w:rPr>
        <w:t xml:space="preserve">      </w:t>
      </w:r>
      <w:r>
        <w:rPr>
          <w:rFonts w:hint="default" w:ascii="Times New Roman" w:hAnsi="Times New Roman" w:eastAsia="宋体" w:cs="Times New Roman"/>
          <w:b/>
          <w:bCs/>
          <w:color w:val="auto"/>
          <w:spacing w:val="-2"/>
          <w:sz w:val="21"/>
          <w:szCs w:val="21"/>
          <w:highlight w:val="none"/>
        </w:rPr>
        <w:t>固体废物产生及排放情况一览表</w:t>
      </w:r>
    </w:p>
    <w:tbl>
      <w:tblPr>
        <w:tblStyle w:val="31"/>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8"/>
        <w:gridCol w:w="1335"/>
        <w:gridCol w:w="376"/>
        <w:gridCol w:w="627"/>
        <w:gridCol w:w="961"/>
        <w:gridCol w:w="1168"/>
        <w:gridCol w:w="1165"/>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5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color w:val="auto"/>
                <w:spacing w:val="-3"/>
                <w:sz w:val="21"/>
                <w:szCs w:val="21"/>
                <w:highlight w:val="none"/>
              </w:rPr>
              <w:t>产污</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color w:val="auto"/>
                <w:spacing w:val="-3"/>
                <w:sz w:val="21"/>
                <w:szCs w:val="21"/>
                <w:highlight w:val="none"/>
              </w:rPr>
              <w:t>环节</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color w:val="auto"/>
                <w:spacing w:val="-3"/>
                <w:sz w:val="21"/>
                <w:szCs w:val="21"/>
                <w:highlight w:val="none"/>
              </w:rPr>
              <w:t>名称</w:t>
            </w:r>
          </w:p>
        </w:tc>
        <w:tc>
          <w:tcPr>
            <w:tcW w:w="3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color w:val="auto"/>
                <w:spacing w:val="-3"/>
                <w:sz w:val="21"/>
                <w:szCs w:val="21"/>
                <w:highlight w:val="none"/>
              </w:rPr>
              <w:t>属性</w:t>
            </w: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color w:val="auto"/>
                <w:spacing w:val="-3"/>
                <w:sz w:val="21"/>
                <w:szCs w:val="21"/>
                <w:highlight w:val="none"/>
              </w:rPr>
              <w:t>物理</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color w:val="auto"/>
                <w:spacing w:val="-3"/>
                <w:sz w:val="21"/>
                <w:szCs w:val="21"/>
                <w:highlight w:val="none"/>
              </w:rPr>
              <w:t>性状</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pacing w:val="-3"/>
                <w:sz w:val="21"/>
                <w:szCs w:val="21"/>
                <w:highlight w:val="none"/>
              </w:rPr>
            </w:pPr>
            <w:r>
              <w:rPr>
                <w:rFonts w:hint="eastAsia"/>
                <w:color w:val="auto"/>
                <w:spacing w:val="-3"/>
                <w:sz w:val="21"/>
                <w:szCs w:val="21"/>
                <w:highlight w:val="none"/>
              </w:rPr>
              <w:t>废物类别</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rFonts w:hint="eastAsia"/>
                <w:color w:val="auto"/>
                <w:spacing w:val="-3"/>
                <w:sz w:val="21"/>
                <w:szCs w:val="21"/>
                <w:highlight w:val="none"/>
              </w:rPr>
              <w:t>废物</w:t>
            </w:r>
            <w:r>
              <w:rPr>
                <w:color w:val="auto"/>
                <w:spacing w:val="-3"/>
                <w:sz w:val="21"/>
                <w:szCs w:val="21"/>
                <w:highlight w:val="none"/>
              </w:rPr>
              <w:t>代码</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color w:val="auto"/>
                <w:spacing w:val="-3"/>
                <w:sz w:val="21"/>
                <w:szCs w:val="21"/>
                <w:highlight w:val="none"/>
              </w:rPr>
              <w:t>产生量</w:t>
            </w:r>
            <w:r>
              <w:rPr>
                <w:rFonts w:hint="eastAsia"/>
                <w:color w:val="auto"/>
                <w:spacing w:val="-3"/>
                <w:sz w:val="21"/>
                <w:szCs w:val="21"/>
                <w:highlight w:val="none"/>
                <w:lang w:eastAsia="zh-CN"/>
              </w:rPr>
              <w:t>（</w:t>
            </w:r>
            <w:r>
              <w:rPr>
                <w:color w:val="auto"/>
                <w:spacing w:val="-3"/>
                <w:sz w:val="21"/>
                <w:szCs w:val="21"/>
                <w:highlight w:val="none"/>
              </w:rPr>
              <w:t>t/a</w:t>
            </w:r>
            <w:r>
              <w:rPr>
                <w:rFonts w:hint="eastAsia"/>
                <w:color w:val="auto"/>
                <w:spacing w:val="-3"/>
                <w:sz w:val="21"/>
                <w:szCs w:val="21"/>
                <w:highlight w:val="none"/>
                <w:lang w:eastAsia="zh-CN"/>
              </w:rPr>
              <w:t>）</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3"/>
                <w:sz w:val="21"/>
                <w:szCs w:val="21"/>
                <w:highlight w:val="none"/>
              </w:rPr>
            </w:pPr>
            <w:r>
              <w:rPr>
                <w:color w:val="auto"/>
                <w:spacing w:val="-3"/>
                <w:sz w:val="21"/>
                <w:szCs w:val="21"/>
                <w:highlight w:val="none"/>
              </w:rPr>
              <w:t>利用和处置去向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59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生产</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车间</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eastAsia="zh-CN"/>
              </w:rPr>
              <w:t>脱硫渣</w:t>
            </w:r>
          </w:p>
        </w:tc>
        <w:tc>
          <w:tcPr>
            <w:tcW w:w="37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一般工业固废</w:t>
            </w: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val="en-US" w:eastAsia="zh-CN"/>
              </w:rPr>
              <w:t>脱硫渣（65）</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443-999-65</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144.26</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收集后作为建筑材料外售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5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13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rFonts w:hint="eastAsia"/>
                <w:color w:val="auto"/>
                <w:spacing w:val="-5"/>
                <w:sz w:val="21"/>
                <w:szCs w:val="21"/>
                <w:highlight w:val="none"/>
              </w:rPr>
              <w:t>灰</w:t>
            </w:r>
            <w:r>
              <w:rPr>
                <w:color w:val="auto"/>
                <w:spacing w:val="-5"/>
                <w:sz w:val="21"/>
                <w:szCs w:val="21"/>
                <w:highlight w:val="none"/>
              </w:rPr>
              <w:t>渣</w:t>
            </w:r>
          </w:p>
        </w:tc>
        <w:tc>
          <w:tcPr>
            <w:tcW w:w="37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eastAsia="zh-CN"/>
              </w:rPr>
              <w:t>锅炉渣（</w:t>
            </w:r>
            <w:r>
              <w:rPr>
                <w:rFonts w:hint="eastAsia"/>
                <w:color w:val="auto"/>
                <w:spacing w:val="-5"/>
                <w:sz w:val="21"/>
                <w:szCs w:val="21"/>
                <w:highlight w:val="none"/>
                <w:lang w:val="en-US" w:eastAsia="zh-CN"/>
              </w:rPr>
              <w:t>64</w:t>
            </w:r>
            <w:r>
              <w:rPr>
                <w:rFonts w:hint="eastAsia"/>
                <w:color w:val="auto"/>
                <w:spacing w:val="-5"/>
                <w:sz w:val="21"/>
                <w:szCs w:val="21"/>
                <w:highlight w:val="none"/>
                <w:lang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443-999-</w:t>
            </w:r>
            <w:r>
              <w:rPr>
                <w:rFonts w:hint="eastAsia"/>
                <w:color w:val="auto"/>
                <w:spacing w:val="-5"/>
                <w:sz w:val="21"/>
                <w:szCs w:val="21"/>
                <w:highlight w:val="none"/>
              </w:rPr>
              <w:t>6</w:t>
            </w:r>
            <w:r>
              <w:rPr>
                <w:color w:val="auto"/>
                <w:spacing w:val="-5"/>
                <w:sz w:val="21"/>
                <w:szCs w:val="21"/>
                <w:highlight w:val="none"/>
              </w:rPr>
              <w:t>4</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00B050"/>
                <w:spacing w:val="-5"/>
                <w:sz w:val="21"/>
                <w:szCs w:val="21"/>
                <w:highlight w:val="none"/>
                <w:lang w:val="en-US" w:eastAsia="zh-CN"/>
              </w:rPr>
              <w:t>7011.14</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收集后作为建筑材料外售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5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13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37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auto"/>
                <w:spacing w:val="-5"/>
                <w:sz w:val="21"/>
                <w:szCs w:val="21"/>
                <w:highlight w:val="none"/>
                <w:lang w:eastAsia="zh-CN"/>
              </w:rPr>
              <w:t>粉煤灰（</w:t>
            </w:r>
            <w:r>
              <w:rPr>
                <w:rFonts w:hint="eastAsia"/>
                <w:color w:val="auto"/>
                <w:spacing w:val="-5"/>
                <w:sz w:val="21"/>
                <w:szCs w:val="21"/>
                <w:highlight w:val="none"/>
                <w:lang w:val="en-US" w:eastAsia="zh-CN"/>
              </w:rPr>
              <w:t>63</w:t>
            </w:r>
            <w:r>
              <w:rPr>
                <w:rFonts w:hint="eastAsia"/>
                <w:color w:val="auto"/>
                <w:spacing w:val="-5"/>
                <w:sz w:val="21"/>
                <w:szCs w:val="21"/>
                <w:highlight w:val="none"/>
                <w:lang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pacing w:val="-5"/>
                <w:sz w:val="21"/>
                <w:szCs w:val="21"/>
                <w:highlight w:val="none"/>
              </w:rPr>
            </w:pPr>
            <w:r>
              <w:rPr>
                <w:color w:val="auto"/>
                <w:spacing w:val="-5"/>
                <w:sz w:val="21"/>
                <w:szCs w:val="21"/>
                <w:highlight w:val="none"/>
              </w:rPr>
              <w:t>443-999-6</w:t>
            </w:r>
            <w:r>
              <w:rPr>
                <w:rFonts w:hint="eastAsia"/>
                <w:color w:val="auto"/>
                <w:spacing w:val="-5"/>
                <w:sz w:val="21"/>
                <w:szCs w:val="21"/>
                <w:highlight w:val="none"/>
              </w:rPr>
              <w:t>3</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53.83</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收集后作为建筑材料外售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5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rFonts w:hint="eastAsia"/>
                <w:color w:val="auto"/>
                <w:spacing w:val="-5"/>
                <w:sz w:val="21"/>
                <w:szCs w:val="21"/>
                <w:highlight w:val="none"/>
              </w:rPr>
              <w:t>废</w:t>
            </w:r>
            <w:r>
              <w:rPr>
                <w:color w:val="auto"/>
                <w:spacing w:val="-5"/>
                <w:sz w:val="21"/>
                <w:szCs w:val="21"/>
                <w:highlight w:val="none"/>
              </w:rPr>
              <w:t>离子交换树脂</w:t>
            </w:r>
          </w:p>
        </w:tc>
        <w:tc>
          <w:tcPr>
            <w:tcW w:w="37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00FF"/>
                <w:spacing w:val="-5"/>
                <w:sz w:val="21"/>
                <w:szCs w:val="21"/>
                <w:highlight w:val="none"/>
                <w:lang w:eastAsia="zh-CN"/>
              </w:rPr>
            </w:pPr>
            <w:r>
              <w:rPr>
                <w:rFonts w:hint="eastAsia"/>
                <w:color w:val="0000FF"/>
                <w:spacing w:val="-5"/>
                <w:sz w:val="21"/>
                <w:szCs w:val="21"/>
                <w:highlight w:val="none"/>
                <w:lang w:eastAsia="zh-CN"/>
              </w:rPr>
              <w:t>其他废物（</w:t>
            </w:r>
            <w:r>
              <w:rPr>
                <w:rFonts w:hint="eastAsia"/>
                <w:color w:val="0000FF"/>
                <w:spacing w:val="-5"/>
                <w:sz w:val="21"/>
                <w:szCs w:val="21"/>
                <w:highlight w:val="none"/>
                <w:lang w:val="en-US" w:eastAsia="zh-CN"/>
              </w:rPr>
              <w:t>99</w:t>
            </w:r>
            <w:r>
              <w:rPr>
                <w:rFonts w:hint="eastAsia"/>
                <w:color w:val="0000FF"/>
                <w:spacing w:val="-5"/>
                <w:sz w:val="21"/>
                <w:szCs w:val="21"/>
                <w:highlight w:val="none"/>
                <w:lang w:eastAsia="zh-CN"/>
              </w:rPr>
              <w:t>）</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spacing w:val="-5"/>
                <w:sz w:val="21"/>
                <w:szCs w:val="21"/>
                <w:highlight w:val="none"/>
                <w:lang w:val="en-US" w:eastAsia="zh-CN"/>
              </w:rPr>
            </w:pPr>
            <w:r>
              <w:rPr>
                <w:rFonts w:hint="eastAsia"/>
                <w:color w:val="0000FF"/>
                <w:spacing w:val="-5"/>
                <w:sz w:val="21"/>
                <w:szCs w:val="21"/>
                <w:highlight w:val="none"/>
              </w:rPr>
              <w:t>292</w:t>
            </w:r>
            <w:r>
              <w:rPr>
                <w:color w:val="0000FF"/>
                <w:spacing w:val="-5"/>
                <w:sz w:val="21"/>
                <w:szCs w:val="21"/>
                <w:highlight w:val="none"/>
              </w:rPr>
              <w:t>-009-</w:t>
            </w:r>
            <w:r>
              <w:rPr>
                <w:rFonts w:hint="eastAsia"/>
                <w:color w:val="0000FF"/>
                <w:spacing w:val="-5"/>
                <w:sz w:val="21"/>
                <w:szCs w:val="21"/>
                <w:highlight w:val="none"/>
                <w:lang w:val="en-US" w:eastAsia="zh-CN"/>
              </w:rPr>
              <w:t>99</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0000FF"/>
                <w:spacing w:val="-5"/>
                <w:sz w:val="21"/>
                <w:szCs w:val="21"/>
                <w:highlight w:val="none"/>
                <w:lang w:val="en-US" w:eastAsia="zh-CN"/>
              </w:rPr>
            </w:pPr>
            <w:r>
              <w:rPr>
                <w:rFonts w:hint="eastAsia"/>
                <w:color w:val="0000FF"/>
                <w:spacing w:val="-5"/>
                <w:sz w:val="21"/>
                <w:szCs w:val="21"/>
                <w:highlight w:val="none"/>
                <w:lang w:val="en-US" w:eastAsia="zh-CN"/>
              </w:rPr>
              <w:t>0.25</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00FF"/>
                <w:spacing w:val="-5"/>
                <w:sz w:val="21"/>
                <w:szCs w:val="21"/>
                <w:highlight w:val="none"/>
              </w:rPr>
            </w:pPr>
            <w:r>
              <w:rPr>
                <w:color w:val="0000FF"/>
                <w:spacing w:val="-5"/>
                <w:sz w:val="21"/>
                <w:szCs w:val="21"/>
                <w:highlight w:val="none"/>
              </w:rPr>
              <w:t>由厂家回收处置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rPr>
        <w:tc>
          <w:tcPr>
            <w:tcW w:w="5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rFonts w:hint="eastAsia"/>
                <w:color w:val="auto"/>
                <w:spacing w:val="-5"/>
                <w:sz w:val="21"/>
                <w:szCs w:val="21"/>
                <w:highlight w:val="none"/>
                <w:lang w:val="de-DE"/>
              </w:rPr>
              <w:t>废弃滤袋</w:t>
            </w:r>
          </w:p>
        </w:tc>
        <w:tc>
          <w:tcPr>
            <w:tcW w:w="376"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p>
        </w:tc>
        <w:tc>
          <w:tcPr>
            <w:tcW w:w="6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pacing w:val="-5"/>
                <w:sz w:val="21"/>
                <w:szCs w:val="21"/>
                <w:highlight w:val="none"/>
              </w:rPr>
            </w:pPr>
            <w:r>
              <w:rPr>
                <w:rFonts w:hint="eastAsia"/>
                <w:color w:val="auto"/>
                <w:spacing w:val="-5"/>
                <w:sz w:val="21"/>
                <w:szCs w:val="21"/>
                <w:highlight w:val="none"/>
              </w:rPr>
              <w:t>固态</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pacing w:val="-5"/>
                <w:sz w:val="21"/>
                <w:szCs w:val="21"/>
                <w:highlight w:val="none"/>
                <w:lang w:eastAsia="zh-CN"/>
              </w:rPr>
            </w:pPr>
            <w:r>
              <w:rPr>
                <w:rFonts w:hint="eastAsia"/>
                <w:color w:val="auto"/>
                <w:spacing w:val="-5"/>
                <w:sz w:val="21"/>
                <w:szCs w:val="21"/>
                <w:highlight w:val="none"/>
                <w:lang w:val="en-US" w:eastAsia="zh-CN"/>
              </w:rPr>
              <w:t>其他废物（99）</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pacing w:val="-5"/>
                <w:sz w:val="21"/>
                <w:szCs w:val="21"/>
                <w:highlight w:val="none"/>
              </w:rPr>
            </w:pPr>
            <w:r>
              <w:rPr>
                <w:rFonts w:hint="eastAsia"/>
                <w:color w:val="auto"/>
                <w:spacing w:val="-5"/>
                <w:sz w:val="21"/>
                <w:szCs w:val="21"/>
                <w:highlight w:val="none"/>
              </w:rPr>
              <w:t>900-999-</w:t>
            </w:r>
            <w:r>
              <w:rPr>
                <w:rFonts w:hint="eastAsia"/>
                <w:color w:val="auto"/>
                <w:spacing w:val="-5"/>
                <w:sz w:val="21"/>
                <w:szCs w:val="21"/>
                <w:highlight w:val="none"/>
                <w:lang w:val="en-US" w:eastAsia="zh-CN"/>
              </w:rPr>
              <w:t>9</w:t>
            </w:r>
            <w:r>
              <w:rPr>
                <w:rFonts w:hint="eastAsia"/>
                <w:color w:val="auto"/>
                <w:spacing w:val="-5"/>
                <w:sz w:val="21"/>
                <w:szCs w:val="21"/>
                <w:highlight w:val="none"/>
              </w:rPr>
              <w:t>9</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0.02</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pacing w:val="-5"/>
                <w:sz w:val="21"/>
                <w:szCs w:val="21"/>
                <w:highlight w:val="none"/>
              </w:rPr>
            </w:pPr>
            <w:r>
              <w:rPr>
                <w:rFonts w:hint="eastAsia"/>
                <w:color w:val="auto"/>
                <w:spacing w:val="-5"/>
                <w:sz w:val="21"/>
                <w:szCs w:val="21"/>
                <w:highlight w:val="none"/>
              </w:rPr>
              <w:t>由厂家回收处置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7" w:hRule="atLeast"/>
        </w:trPr>
        <w:tc>
          <w:tcPr>
            <w:tcW w:w="5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pacing w:val="-5"/>
                <w:sz w:val="21"/>
                <w:szCs w:val="21"/>
                <w:highlight w:val="none"/>
              </w:rPr>
            </w:pPr>
            <w:r>
              <w:rPr>
                <w:rFonts w:ascii="Times New Roman" w:hAnsi="Times New Roman" w:eastAsia="宋体" w:cs="Times New Roman"/>
                <w:color w:val="auto"/>
                <w:spacing w:val="-5"/>
                <w:sz w:val="21"/>
                <w:szCs w:val="21"/>
                <w:highlight w:val="none"/>
              </w:rPr>
              <w:t>生产</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pacing w:val="-5"/>
                <w:sz w:val="21"/>
                <w:szCs w:val="21"/>
                <w:highlight w:val="none"/>
              </w:rPr>
            </w:pPr>
            <w:r>
              <w:rPr>
                <w:rFonts w:ascii="Times New Roman" w:hAnsi="Times New Roman" w:eastAsia="宋体" w:cs="Times New Roman"/>
                <w:color w:val="auto"/>
                <w:spacing w:val="-5"/>
                <w:sz w:val="21"/>
                <w:szCs w:val="21"/>
                <w:highlight w:val="none"/>
              </w:rPr>
              <w:t>过程</w:t>
            </w:r>
          </w:p>
        </w:tc>
        <w:tc>
          <w:tcPr>
            <w:tcW w:w="13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5"/>
                <w:sz w:val="21"/>
                <w:szCs w:val="21"/>
                <w:highlight w:val="none"/>
                <w:lang w:eastAsia="zh-CN"/>
              </w:rPr>
            </w:pPr>
            <w:r>
              <w:rPr>
                <w:rFonts w:ascii="Times New Roman" w:hAnsi="Times New Roman" w:eastAsia="宋体" w:cs="Times New Roman"/>
                <w:color w:val="auto"/>
                <w:spacing w:val="-5"/>
                <w:sz w:val="21"/>
                <w:szCs w:val="21"/>
                <w:highlight w:val="none"/>
              </w:rPr>
              <w:t>废</w:t>
            </w:r>
            <w:r>
              <w:rPr>
                <w:rFonts w:hint="eastAsia" w:ascii="Times New Roman" w:hAnsi="Times New Roman" w:eastAsia="宋体" w:cs="Times New Roman"/>
                <w:color w:val="auto"/>
                <w:spacing w:val="-5"/>
                <w:sz w:val="21"/>
                <w:szCs w:val="21"/>
                <w:highlight w:val="none"/>
                <w:lang w:eastAsia="zh-CN"/>
              </w:rPr>
              <w:t>润滑油</w:t>
            </w:r>
          </w:p>
        </w:tc>
        <w:tc>
          <w:tcPr>
            <w:tcW w:w="100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ascii="Times New Roman" w:hAnsi="Times New Roman" w:eastAsia="宋体" w:cs="Times New Roman"/>
                <w:color w:val="auto"/>
                <w:spacing w:val="-5"/>
                <w:sz w:val="21"/>
                <w:szCs w:val="21"/>
                <w:highlight w:val="none"/>
              </w:rPr>
              <w:t>危险废物</w:t>
            </w:r>
          </w:p>
        </w:tc>
        <w:tc>
          <w:tcPr>
            <w:tcW w:w="9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eastAsia="zh-CN"/>
              </w:rPr>
              <w:t>废矿物油与含矿物油废物</w:t>
            </w:r>
            <w:r>
              <w:rPr>
                <w:rFonts w:ascii="Times New Roman" w:hAnsi="Times New Roman" w:eastAsia="宋体" w:cs="Times New Roman"/>
                <w:color w:val="auto"/>
                <w:spacing w:val="-5"/>
                <w:sz w:val="21"/>
                <w:szCs w:val="21"/>
                <w:highlight w:val="none"/>
              </w:rPr>
              <w:t>HW</w:t>
            </w:r>
            <w:r>
              <w:rPr>
                <w:rFonts w:hint="eastAsia" w:ascii="Times New Roman" w:hAnsi="Times New Roman" w:eastAsia="宋体" w:cs="Times New Roman"/>
                <w:color w:val="auto"/>
                <w:spacing w:val="-5"/>
                <w:sz w:val="21"/>
                <w:szCs w:val="21"/>
                <w:highlight w:val="none"/>
              </w:rPr>
              <w:t>08</w:t>
            </w:r>
          </w:p>
        </w:tc>
        <w:tc>
          <w:tcPr>
            <w:tcW w:w="11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pacing w:val="-5"/>
                <w:sz w:val="21"/>
                <w:szCs w:val="21"/>
                <w:highlight w:val="none"/>
                <w:lang w:val="en-US" w:eastAsia="zh-CN"/>
              </w:rPr>
            </w:pPr>
            <w:r>
              <w:rPr>
                <w:rFonts w:ascii="Times New Roman" w:hAnsi="Times New Roman" w:eastAsia="宋体" w:cs="Times New Roman"/>
                <w:color w:val="auto"/>
                <w:spacing w:val="-5"/>
                <w:sz w:val="21"/>
                <w:szCs w:val="21"/>
                <w:highlight w:val="none"/>
              </w:rPr>
              <w:t>900-2</w:t>
            </w:r>
            <w:r>
              <w:rPr>
                <w:rFonts w:hint="eastAsia" w:ascii="Times New Roman" w:hAnsi="Times New Roman" w:eastAsia="宋体" w:cs="Times New Roman"/>
                <w:color w:val="auto"/>
                <w:spacing w:val="-5"/>
                <w:sz w:val="21"/>
                <w:szCs w:val="21"/>
                <w:highlight w:val="none"/>
                <w:lang w:val="en-US" w:eastAsia="zh-CN"/>
              </w:rPr>
              <w:t>17</w:t>
            </w:r>
            <w:r>
              <w:rPr>
                <w:rFonts w:ascii="Times New Roman" w:hAnsi="Times New Roman" w:eastAsia="宋体" w:cs="Times New Roman"/>
                <w:color w:val="auto"/>
                <w:spacing w:val="-5"/>
                <w:sz w:val="21"/>
                <w:szCs w:val="21"/>
                <w:highlight w:val="none"/>
              </w:rPr>
              <w:t>-08</w:t>
            </w:r>
          </w:p>
        </w:tc>
        <w:tc>
          <w:tcPr>
            <w:tcW w:w="11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ascii="Times New Roman" w:hAnsi="Times New Roman" w:eastAsia="宋体" w:cs="Times New Roman"/>
                <w:color w:val="auto"/>
                <w:spacing w:val="-5"/>
                <w:sz w:val="21"/>
                <w:szCs w:val="21"/>
                <w:highlight w:val="none"/>
              </w:rPr>
              <w:t>0.</w:t>
            </w:r>
            <w:r>
              <w:rPr>
                <w:rFonts w:hint="eastAsia" w:ascii="Times New Roman" w:hAnsi="Times New Roman" w:eastAsia="宋体" w:cs="Times New Roman"/>
                <w:color w:val="auto"/>
                <w:spacing w:val="-5"/>
                <w:sz w:val="21"/>
                <w:szCs w:val="21"/>
                <w:highlight w:val="none"/>
                <w:lang w:val="en-US" w:eastAsia="zh-CN"/>
              </w:rPr>
              <w:t>2</w:t>
            </w:r>
          </w:p>
        </w:tc>
        <w:tc>
          <w:tcPr>
            <w:tcW w:w="22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pacing w:val="-5"/>
                <w:sz w:val="21"/>
                <w:szCs w:val="21"/>
                <w:highlight w:val="none"/>
              </w:rPr>
            </w:pPr>
            <w:r>
              <w:rPr>
                <w:rFonts w:hint="eastAsia" w:ascii="Times New Roman" w:hAnsi="Times New Roman" w:eastAsia="宋体" w:cs="Times New Roman"/>
                <w:color w:val="auto"/>
                <w:spacing w:val="-5"/>
                <w:sz w:val="21"/>
                <w:szCs w:val="21"/>
                <w:highlight w:val="none"/>
              </w:rPr>
              <w:t>集中收集，暂存在危废间，委托有资质单位处置</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kern w:val="0"/>
          <w:sz w:val="24"/>
          <w:szCs w:val="24"/>
          <w:highlight w:val="none"/>
          <w:lang w:bidi="ar"/>
        </w:rPr>
      </w:pPr>
      <w:r>
        <w:rPr>
          <w:rFonts w:hint="eastAsia"/>
          <w:color w:val="auto"/>
          <w:kern w:val="0"/>
          <w:sz w:val="24"/>
          <w:szCs w:val="24"/>
          <w:highlight w:val="none"/>
          <w:lang w:bidi="ar"/>
        </w:rPr>
        <w:t>本项目产生的</w:t>
      </w:r>
      <w:r>
        <w:rPr>
          <w:rFonts w:hint="eastAsia"/>
          <w:color w:val="auto"/>
          <w:kern w:val="0"/>
          <w:sz w:val="24"/>
          <w:szCs w:val="24"/>
          <w:highlight w:val="none"/>
          <w:lang w:eastAsia="zh-CN" w:bidi="ar"/>
        </w:rPr>
        <w:t>脱硫渣</w:t>
      </w:r>
      <w:r>
        <w:rPr>
          <w:rFonts w:hint="eastAsia"/>
          <w:color w:val="auto"/>
          <w:kern w:val="0"/>
          <w:sz w:val="24"/>
          <w:szCs w:val="24"/>
          <w:highlight w:val="none"/>
          <w:lang w:bidi="ar"/>
        </w:rPr>
        <w:t>、</w:t>
      </w:r>
      <w:r>
        <w:rPr>
          <w:rFonts w:hint="eastAsia"/>
          <w:color w:val="auto"/>
          <w:kern w:val="0"/>
          <w:sz w:val="24"/>
          <w:szCs w:val="24"/>
          <w:highlight w:val="none"/>
          <w:lang w:val="en-US" w:eastAsia="zh-CN" w:bidi="ar"/>
        </w:rPr>
        <w:t>灰渣</w:t>
      </w:r>
      <w:r>
        <w:rPr>
          <w:rFonts w:hint="eastAsia"/>
          <w:color w:val="auto"/>
          <w:kern w:val="0"/>
          <w:sz w:val="24"/>
          <w:szCs w:val="24"/>
          <w:highlight w:val="none"/>
          <w:lang w:bidi="ar"/>
        </w:rPr>
        <w:t>收集暂存于灰渣场作为建筑材料外售；离子交换树脂</w:t>
      </w:r>
      <w:r>
        <w:rPr>
          <w:rFonts w:hint="eastAsia"/>
          <w:color w:val="auto"/>
          <w:kern w:val="0"/>
          <w:sz w:val="24"/>
          <w:szCs w:val="24"/>
          <w:highlight w:val="none"/>
          <w:lang w:eastAsia="zh-CN" w:bidi="ar"/>
        </w:rPr>
        <w:t>、废弃滤袋</w:t>
      </w:r>
      <w:r>
        <w:rPr>
          <w:rFonts w:hint="eastAsia"/>
          <w:color w:val="auto"/>
          <w:kern w:val="0"/>
          <w:sz w:val="24"/>
          <w:szCs w:val="24"/>
          <w:highlight w:val="none"/>
          <w:lang w:bidi="ar"/>
        </w:rPr>
        <w:t>全部由厂家回收处置</w:t>
      </w:r>
      <w:r>
        <w:rPr>
          <w:rFonts w:hint="eastAsia"/>
          <w:color w:val="auto"/>
          <w:kern w:val="0"/>
          <w:sz w:val="24"/>
          <w:szCs w:val="24"/>
          <w:highlight w:val="none"/>
          <w:lang w:eastAsia="zh-CN" w:bidi="ar"/>
        </w:rPr>
        <w:t>；废润滑油集中收集，暂存在危废间，委托有资质单位处置；生活垃圾集中收集，环卫部门统一清运至垃圾处理场进行处置。</w:t>
      </w:r>
    </w:p>
    <w:p>
      <w:pPr>
        <w:widowControl/>
        <w:spacing w:line="360" w:lineRule="auto"/>
        <w:ind w:firstLine="480" w:firstLineChars="200"/>
        <w:rPr>
          <w:color w:val="auto"/>
          <w:kern w:val="0"/>
          <w:sz w:val="24"/>
          <w:szCs w:val="24"/>
          <w:highlight w:val="none"/>
          <w:lang w:bidi="ar"/>
        </w:rPr>
      </w:pPr>
      <w:r>
        <w:rPr>
          <w:rFonts w:hint="eastAsia"/>
          <w:color w:val="auto"/>
          <w:kern w:val="0"/>
          <w:sz w:val="24"/>
          <w:szCs w:val="24"/>
          <w:highlight w:val="none"/>
          <w:lang w:bidi="ar"/>
        </w:rPr>
        <w:t>综上分析，固体废物按照相关要求建设储存设施，分区暂存，并采取相应治理措施后，固废可以得到合理处置，产生的固体废物对周围环境影响不大。</w:t>
      </w:r>
    </w:p>
    <w:p>
      <w:pPr>
        <w:pStyle w:val="5"/>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firstLine="562" w:firstLineChars="200"/>
        <w:textAlignment w:val="auto"/>
        <w:rPr>
          <w:rFonts w:hint="default" w:ascii="Times New Roman" w:hAnsi="Times New Roman" w:eastAsia="宋体" w:cs="Times New Roman"/>
          <w:bCs w:val="0"/>
          <w:color w:val="auto"/>
          <w:kern w:val="0"/>
          <w:sz w:val="28"/>
          <w:szCs w:val="24"/>
          <w:highlight w:val="none"/>
        </w:rPr>
      </w:pPr>
      <w:bookmarkStart w:id="240" w:name="_Toc30239"/>
      <w:bookmarkStart w:id="241" w:name="_Toc28597"/>
      <w:bookmarkStart w:id="242" w:name="_Toc18177"/>
      <w:bookmarkStart w:id="243" w:name="_Toc13284"/>
      <w:bookmarkStart w:id="244" w:name="_Toc16262"/>
      <w:bookmarkStart w:id="245" w:name="_Toc19761"/>
      <w:bookmarkStart w:id="246" w:name="_Toc16939"/>
      <w:bookmarkStart w:id="247" w:name="_Toc20384"/>
      <w:bookmarkStart w:id="248" w:name="_Toc25817"/>
      <w:bookmarkStart w:id="249" w:name="_Toc26326"/>
      <w:bookmarkStart w:id="250" w:name="_Toc30654"/>
      <w:bookmarkStart w:id="251" w:name="_Toc17587"/>
      <w:bookmarkStart w:id="252" w:name="_Toc18562"/>
      <w:bookmarkStart w:id="253" w:name="_Toc5509"/>
      <w:bookmarkStart w:id="254" w:name="_Toc28451"/>
      <w:bookmarkStart w:id="255" w:name="_Toc337"/>
      <w:bookmarkStart w:id="256" w:name="_Toc8990"/>
      <w:bookmarkStart w:id="257" w:name="_Toc6587"/>
      <w:r>
        <w:rPr>
          <w:rFonts w:hint="default" w:ascii="Times New Roman" w:hAnsi="Times New Roman" w:cs="Times New Roman"/>
          <w:bCs w:val="0"/>
          <w:color w:val="auto"/>
          <w:kern w:val="0"/>
          <w:sz w:val="28"/>
          <w:szCs w:val="24"/>
          <w:highlight w:val="none"/>
          <w:lang w:val="en-US" w:eastAsia="zh-CN"/>
        </w:rPr>
        <w:t>5.6</w:t>
      </w:r>
      <w:r>
        <w:rPr>
          <w:rFonts w:hint="default" w:ascii="Times New Roman" w:hAnsi="Times New Roman" w:eastAsia="宋体" w:cs="Times New Roman"/>
          <w:bCs w:val="0"/>
          <w:color w:val="auto"/>
          <w:kern w:val="0"/>
          <w:sz w:val="28"/>
          <w:szCs w:val="24"/>
          <w:highlight w:val="none"/>
        </w:rPr>
        <w:t>土壤环境的影响分析</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5.6.1</w:t>
      </w:r>
      <w:r>
        <w:rPr>
          <w:rFonts w:hint="default" w:ascii="Times New Roman" w:hAnsi="Times New Roman" w:cs="Times New Roman"/>
          <w:color w:val="auto"/>
          <w:highlight w:val="none"/>
        </w:rPr>
        <w:t>土壤环境影响识别</w:t>
      </w:r>
    </w:p>
    <w:p>
      <w:pPr>
        <w:bidi w:val="0"/>
        <w:rPr>
          <w:color w:val="auto"/>
          <w:highlight w:val="none"/>
        </w:rPr>
      </w:pPr>
      <w:r>
        <w:rPr>
          <w:color w:val="auto"/>
          <w:highlight w:val="none"/>
        </w:rPr>
        <w:t>根据《环境影响评价技术导则</w:t>
      </w:r>
      <w:r>
        <w:rPr>
          <w:rFonts w:hint="eastAsia"/>
          <w:color w:val="auto"/>
          <w:highlight w:val="none"/>
        </w:rPr>
        <w:t xml:space="preserve"> </w:t>
      </w:r>
      <w:r>
        <w:rPr>
          <w:color w:val="auto"/>
          <w:highlight w:val="none"/>
        </w:rPr>
        <w:t>土壤环境（试行）》（HJ964-2018）附录A，本项目属于</w:t>
      </w:r>
      <w:r>
        <w:rPr>
          <w:rFonts w:hint="eastAsia"/>
          <w:color w:val="auto"/>
          <w:highlight w:val="none"/>
          <w:lang w:eastAsia="zh-CN"/>
        </w:rPr>
        <w:t>热力的生产和供应</w:t>
      </w:r>
      <w:r>
        <w:rPr>
          <w:color w:val="auto"/>
          <w:highlight w:val="none"/>
        </w:rPr>
        <w:t>项目，为污染影响型项目，土壤环境影响评价项目类别为Ⅲ类。</w:t>
      </w:r>
    </w:p>
    <w:p>
      <w:pPr>
        <w:bidi w:val="0"/>
        <w:rPr>
          <w:color w:val="auto"/>
          <w:highlight w:val="none"/>
        </w:rPr>
      </w:pPr>
      <w:r>
        <w:rPr>
          <w:rFonts w:hint="eastAsia"/>
          <w:color w:val="auto"/>
          <w:highlight w:val="none"/>
        </w:rPr>
        <w:t>项目</w:t>
      </w:r>
      <w:r>
        <w:rPr>
          <w:color w:val="auto"/>
          <w:highlight w:val="none"/>
        </w:rPr>
        <w:t>周边无园地、牧草地、饮用水水源地</w:t>
      </w:r>
      <w:r>
        <w:rPr>
          <w:rFonts w:hint="eastAsia"/>
          <w:color w:val="auto"/>
          <w:highlight w:val="none"/>
        </w:rPr>
        <w:t>，存在耕地</w:t>
      </w:r>
      <w:r>
        <w:rPr>
          <w:color w:val="auto"/>
          <w:highlight w:val="none"/>
        </w:rPr>
        <w:t>等土壤环境敏感目标。</w:t>
      </w:r>
    </w:p>
    <w:p>
      <w:pPr>
        <w:bidi w:val="0"/>
        <w:rPr>
          <w:color w:val="auto"/>
          <w:highlight w:val="none"/>
        </w:rPr>
      </w:pPr>
      <w:r>
        <w:rPr>
          <w:color w:val="auto"/>
          <w:highlight w:val="none"/>
        </w:rPr>
        <w:t>项目施工期、运行期的土壤环境影响识别见表</w:t>
      </w:r>
      <w:r>
        <w:rPr>
          <w:rFonts w:hint="eastAsia"/>
          <w:color w:val="auto"/>
          <w:highlight w:val="none"/>
        </w:rPr>
        <w:t>5.6</w:t>
      </w:r>
      <w:r>
        <w:rPr>
          <w:color w:val="auto"/>
          <w:highlight w:val="none"/>
        </w:rPr>
        <w:t>-1，土壤环境影响源及影响因子识别见表</w:t>
      </w:r>
      <w:r>
        <w:rPr>
          <w:rFonts w:hint="eastAsia"/>
          <w:color w:val="auto"/>
          <w:highlight w:val="none"/>
        </w:rPr>
        <w:t>5.6</w:t>
      </w:r>
      <w:r>
        <w:rPr>
          <w:color w:val="auto"/>
          <w:highlight w:val="none"/>
        </w:rPr>
        <w:t>-2。</w:t>
      </w:r>
    </w:p>
    <w:p>
      <w:pPr>
        <w:pStyle w:val="78"/>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textAlignment w:val="auto"/>
        <w:rPr>
          <w:color w:val="auto"/>
          <w:sz w:val="21"/>
          <w:szCs w:val="21"/>
          <w:highlight w:val="none"/>
        </w:rPr>
      </w:pPr>
      <w:r>
        <w:rPr>
          <w:color w:val="auto"/>
          <w:sz w:val="21"/>
          <w:szCs w:val="21"/>
          <w:highlight w:val="none"/>
        </w:rPr>
        <w:t>表5.6-1</w:t>
      </w:r>
      <w:r>
        <w:rPr>
          <w:rFonts w:hint="eastAsia"/>
          <w:color w:val="auto"/>
          <w:sz w:val="21"/>
          <w:szCs w:val="21"/>
          <w:highlight w:val="none"/>
        </w:rPr>
        <w:t xml:space="preserve">      </w:t>
      </w:r>
      <w:r>
        <w:rPr>
          <w:color w:val="auto"/>
          <w:sz w:val="21"/>
          <w:szCs w:val="21"/>
          <w:highlight w:val="none"/>
        </w:rPr>
        <w:t>土壤环境影响类型和影响途径一览表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839"/>
        <w:gridCol w:w="1839"/>
        <w:gridCol w:w="1839"/>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6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不同时段</w:t>
            </w:r>
          </w:p>
        </w:tc>
        <w:tc>
          <w:tcPr>
            <w:tcW w:w="6630" w:type="dxa"/>
            <w:gridSpan w:val="4"/>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污染影响类型及方式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6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大气沉降</w:t>
            </w: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地面漫流</w:t>
            </w: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垂直入渗</w:t>
            </w:r>
          </w:p>
        </w:tc>
        <w:tc>
          <w:tcPr>
            <w:tcW w:w="111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6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建设期</w:t>
            </w: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w:t>
            </w: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w:t>
            </w: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w:t>
            </w:r>
          </w:p>
        </w:tc>
        <w:tc>
          <w:tcPr>
            <w:tcW w:w="111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6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运营期</w:t>
            </w: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w:t>
            </w: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w:t>
            </w:r>
          </w:p>
        </w:tc>
        <w:tc>
          <w:tcPr>
            <w:tcW w:w="1839"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w:t>
            </w:r>
          </w:p>
        </w:tc>
        <w:tc>
          <w:tcPr>
            <w:tcW w:w="111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20"/>
                <w:highlight w:val="none"/>
              </w:rPr>
            </w:pPr>
            <w:r>
              <w:rPr>
                <w:rFonts w:cs="Times New Roman"/>
                <w:color w:val="auto"/>
                <w:sz w:val="21"/>
                <w:szCs w:val="20"/>
                <w:highlight w:val="none"/>
              </w:rPr>
              <w:t>-</w:t>
            </w:r>
          </w:p>
        </w:tc>
      </w:tr>
    </w:tbl>
    <w:p>
      <w:pPr>
        <w:pStyle w:val="78"/>
        <w:widowControl/>
        <w:adjustRightInd/>
        <w:snapToGrid/>
        <w:spacing w:before="156" w:beforeLines="50" w:line="240" w:lineRule="auto"/>
        <w:rPr>
          <w:color w:val="auto"/>
          <w:sz w:val="21"/>
          <w:szCs w:val="21"/>
          <w:highlight w:val="none"/>
        </w:rPr>
      </w:pPr>
      <w:r>
        <w:rPr>
          <w:color w:val="auto"/>
          <w:sz w:val="21"/>
          <w:szCs w:val="21"/>
          <w:highlight w:val="none"/>
        </w:rPr>
        <w:t>表</w:t>
      </w:r>
      <w:r>
        <w:rPr>
          <w:rFonts w:hint="eastAsia"/>
          <w:color w:val="auto"/>
          <w:sz w:val="21"/>
          <w:szCs w:val="21"/>
          <w:highlight w:val="none"/>
        </w:rPr>
        <w:t>5.6-2</w:t>
      </w:r>
      <w:r>
        <w:rPr>
          <w:color w:val="auto"/>
          <w:sz w:val="21"/>
          <w:szCs w:val="21"/>
          <w:highlight w:val="none"/>
        </w:rPr>
        <w:t xml:space="preserve">   项目土壤环境影响源及影响因子识别一览表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2" w:type="dxa"/>
          <w:bottom w:w="0" w:type="dxa"/>
          <w:right w:w="62" w:type="dxa"/>
        </w:tblCellMar>
      </w:tblPr>
      <w:tblGrid>
        <w:gridCol w:w="849"/>
        <w:gridCol w:w="1217"/>
        <w:gridCol w:w="1711"/>
        <w:gridCol w:w="1145"/>
        <w:gridCol w:w="1666"/>
        <w:gridCol w:w="963"/>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53" w:hRule="atLeast"/>
          <w:jc w:val="center"/>
        </w:trPr>
        <w:tc>
          <w:tcPr>
            <w:tcW w:w="2066" w:type="dxa"/>
            <w:gridSpan w:val="2"/>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污染源</w:t>
            </w:r>
          </w:p>
        </w:tc>
        <w:tc>
          <w:tcPr>
            <w:tcW w:w="1711"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工艺流程/节点</w:t>
            </w: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污染途径</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全部污染指标</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特征因子</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53" w:hRule="atLeast"/>
          <w:jc w:val="center"/>
        </w:trPr>
        <w:tc>
          <w:tcPr>
            <w:tcW w:w="849" w:type="dxa"/>
            <w:vMerge w:val="restart"/>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施工期</w:t>
            </w:r>
          </w:p>
        </w:tc>
        <w:tc>
          <w:tcPr>
            <w:tcW w:w="1217" w:type="dxa"/>
            <w:vMerge w:val="restart"/>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施工废水及生活污水</w:t>
            </w:r>
          </w:p>
        </w:tc>
        <w:tc>
          <w:tcPr>
            <w:tcW w:w="1711" w:type="dxa"/>
            <w:vMerge w:val="restart"/>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场地平整、基础开挖、设备安装及调试、</w:t>
            </w:r>
            <w:r>
              <w:rPr>
                <w:rFonts w:hint="eastAsia" w:cs="Times New Roman"/>
                <w:color w:val="auto"/>
                <w:sz w:val="21"/>
                <w:szCs w:val="18"/>
                <w:highlight w:val="none"/>
              </w:rPr>
              <w:t>施工人员</w:t>
            </w:r>
            <w:r>
              <w:rPr>
                <w:rFonts w:cs="Times New Roman"/>
                <w:color w:val="auto"/>
                <w:sz w:val="21"/>
                <w:szCs w:val="18"/>
                <w:highlight w:val="none"/>
              </w:rPr>
              <w:t>生活</w:t>
            </w: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大气沉降</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53"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地面漫流</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687"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垂直入渗</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COD</w:t>
            </w:r>
            <w:r>
              <w:rPr>
                <w:rFonts w:cs="Times New Roman"/>
                <w:color w:val="auto"/>
                <w:sz w:val="21"/>
                <w:szCs w:val="18"/>
                <w:highlight w:val="none"/>
              </w:rPr>
              <w:t>、氨氮</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事故</w:t>
            </w:r>
          </w:p>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53"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其他</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53" w:hRule="atLeast"/>
          <w:jc w:val="center"/>
        </w:trPr>
        <w:tc>
          <w:tcPr>
            <w:tcW w:w="849" w:type="dxa"/>
            <w:vMerge w:val="restart"/>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运行期</w:t>
            </w:r>
          </w:p>
        </w:tc>
        <w:tc>
          <w:tcPr>
            <w:tcW w:w="1217" w:type="dxa"/>
            <w:vMerge w:val="restart"/>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生活污水</w:t>
            </w:r>
          </w:p>
        </w:tc>
        <w:tc>
          <w:tcPr>
            <w:tcW w:w="1711" w:type="dxa"/>
            <w:vMerge w:val="restart"/>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人员</w:t>
            </w:r>
            <w:r>
              <w:rPr>
                <w:rFonts w:cs="Times New Roman"/>
                <w:color w:val="auto"/>
                <w:sz w:val="21"/>
                <w:szCs w:val="18"/>
                <w:highlight w:val="none"/>
              </w:rPr>
              <w:t>生活</w:t>
            </w: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大气沉降</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53"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地面漫流</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617"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垂直入渗</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COD</w:t>
            </w:r>
            <w:r>
              <w:rPr>
                <w:rFonts w:cs="Times New Roman"/>
                <w:color w:val="auto"/>
                <w:sz w:val="21"/>
                <w:szCs w:val="18"/>
                <w:highlight w:val="none"/>
              </w:rPr>
              <w:t>、NH</w:t>
            </w:r>
            <w:r>
              <w:rPr>
                <w:rFonts w:cs="Times New Roman"/>
                <w:color w:val="auto"/>
                <w:sz w:val="21"/>
                <w:szCs w:val="18"/>
                <w:highlight w:val="none"/>
                <w:vertAlign w:val="subscript"/>
              </w:rPr>
              <w:t>3</w:t>
            </w:r>
            <w:r>
              <w:rPr>
                <w:rFonts w:cs="Times New Roman"/>
                <w:color w:val="auto"/>
                <w:sz w:val="21"/>
                <w:szCs w:val="18"/>
                <w:highlight w:val="none"/>
              </w:rPr>
              <w:t>-N</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COD</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事故</w:t>
            </w:r>
          </w:p>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53"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其他</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687"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restart"/>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生产装置</w:t>
            </w:r>
          </w:p>
        </w:tc>
        <w:tc>
          <w:tcPr>
            <w:tcW w:w="1711" w:type="dxa"/>
            <w:vMerge w:val="restart"/>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锅炉运行</w:t>
            </w: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大气沉降</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汞及其化合物</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汞及其化合物</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53"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地面漫流</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687"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垂直入渗</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COD</w:t>
            </w:r>
            <w:r>
              <w:rPr>
                <w:rFonts w:cs="Times New Roman"/>
                <w:color w:val="auto"/>
                <w:sz w:val="21"/>
                <w:szCs w:val="18"/>
                <w:highlight w:val="none"/>
              </w:rPr>
              <w:t>、NH</w:t>
            </w:r>
            <w:r>
              <w:rPr>
                <w:rFonts w:cs="Times New Roman"/>
                <w:color w:val="auto"/>
                <w:sz w:val="21"/>
                <w:szCs w:val="18"/>
                <w:highlight w:val="none"/>
                <w:vertAlign w:val="subscript"/>
              </w:rPr>
              <w:t>3</w:t>
            </w:r>
            <w:r>
              <w:rPr>
                <w:rFonts w:cs="Times New Roman"/>
                <w:color w:val="auto"/>
                <w:sz w:val="21"/>
                <w:szCs w:val="18"/>
                <w:highlight w:val="none"/>
              </w:rPr>
              <w:t>-N</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hint="eastAsia" w:cs="Times New Roman"/>
                <w:color w:val="auto"/>
                <w:sz w:val="21"/>
                <w:szCs w:val="18"/>
                <w:highlight w:val="none"/>
              </w:rPr>
              <w:t>COD</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事故</w:t>
            </w:r>
          </w:p>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2" w:type="dxa"/>
            <w:bottom w:w="0" w:type="dxa"/>
            <w:right w:w="62" w:type="dxa"/>
          </w:tblCellMar>
        </w:tblPrEx>
        <w:trPr>
          <w:trHeight w:val="373" w:hRule="atLeast"/>
          <w:jc w:val="center"/>
        </w:trPr>
        <w:tc>
          <w:tcPr>
            <w:tcW w:w="849"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217"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711" w:type="dxa"/>
            <w:vMerge w:val="continue"/>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p>
        </w:tc>
        <w:tc>
          <w:tcPr>
            <w:tcW w:w="11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其他</w:t>
            </w:r>
          </w:p>
        </w:tc>
        <w:tc>
          <w:tcPr>
            <w:tcW w:w="1666"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963"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c>
          <w:tcPr>
            <w:tcW w:w="745" w:type="dxa"/>
            <w:noWrap w:val="0"/>
            <w:vAlign w:val="center"/>
          </w:tcPr>
          <w:p>
            <w:pPr>
              <w:pStyle w:val="80"/>
              <w:keepNext w:val="0"/>
              <w:keepLines w:val="0"/>
              <w:pageBreakBefore w:val="0"/>
              <w:widowControl/>
              <w:kinsoku/>
              <w:wordWrap/>
              <w:overflowPunct/>
              <w:topLinePunct w:val="0"/>
              <w:autoSpaceDE/>
              <w:autoSpaceDN/>
              <w:bidi w:val="0"/>
              <w:adjustRightInd w:val="0"/>
              <w:snapToGrid w:val="0"/>
              <w:spacing w:line="320" w:lineRule="exact"/>
              <w:ind w:firstLine="0" w:firstLineChars="0"/>
              <w:textAlignment w:val="auto"/>
              <w:rPr>
                <w:rFonts w:cs="Times New Roman"/>
                <w:color w:val="auto"/>
                <w:sz w:val="21"/>
                <w:szCs w:val="18"/>
                <w:highlight w:val="none"/>
              </w:rPr>
            </w:pPr>
            <w:r>
              <w:rPr>
                <w:rFonts w:cs="Times New Roman"/>
                <w:color w:val="auto"/>
                <w:sz w:val="21"/>
                <w:szCs w:val="18"/>
                <w:highlight w:val="none"/>
              </w:rPr>
              <w:t>-</w:t>
            </w:r>
          </w:p>
        </w:tc>
      </w:tr>
    </w:tbl>
    <w:p>
      <w:pPr>
        <w:pStyle w:val="6"/>
        <w:keepNext/>
        <w:keepLines/>
        <w:pageBreakBefore w:val="0"/>
        <w:widowControl w:val="0"/>
        <w:kinsoku/>
        <w:wordWrap/>
        <w:overflowPunct/>
        <w:topLinePunct w:val="0"/>
        <w:autoSpaceDE/>
        <w:autoSpaceDN/>
        <w:bidi w:val="0"/>
        <w:adjustRightInd w:val="0"/>
        <w:snapToGrid w:val="0"/>
        <w:ind w:left="0" w:firstLine="562" w:firstLineChars="200"/>
        <w:textAlignment w:val="auto"/>
        <w:rPr>
          <w:color w:val="auto"/>
          <w:highlight w:val="none"/>
        </w:rPr>
      </w:pPr>
      <w:r>
        <w:rPr>
          <w:rFonts w:hint="default" w:ascii="Times New Roman" w:hAnsi="Times New Roman" w:cs="Times New Roman"/>
          <w:color w:val="auto"/>
          <w:highlight w:val="none"/>
          <w:lang w:val="en-US" w:eastAsia="zh-CN"/>
        </w:rPr>
        <w:t>5.6.2</w:t>
      </w:r>
      <w:r>
        <w:rPr>
          <w:color w:val="auto"/>
          <w:highlight w:val="none"/>
        </w:rPr>
        <w:t>土壤环境</w:t>
      </w:r>
      <w:r>
        <w:rPr>
          <w:rFonts w:hint="eastAsia"/>
          <w:color w:val="auto"/>
          <w:highlight w:val="none"/>
        </w:rPr>
        <w:t>影响分析</w:t>
      </w:r>
    </w:p>
    <w:p>
      <w:pPr>
        <w:pStyle w:val="81"/>
        <w:ind w:firstLine="480"/>
        <w:jc w:val="both"/>
        <w:rPr>
          <w:rFonts w:cs="Times New Roman"/>
          <w:color w:val="auto"/>
          <w:highlight w:val="none"/>
        </w:rPr>
      </w:pPr>
      <w:r>
        <w:rPr>
          <w:rFonts w:hint="eastAsia" w:cs="Times New Roman"/>
          <w:color w:val="auto"/>
          <w:highlight w:val="none"/>
        </w:rPr>
        <w:t>根据</w:t>
      </w:r>
      <w:r>
        <w:rPr>
          <w:rFonts w:cs="Times New Roman"/>
          <w:color w:val="auto"/>
          <w:highlight w:val="none"/>
        </w:rPr>
        <w:t>《</w:t>
      </w:r>
      <w:r>
        <w:rPr>
          <w:rFonts w:hint="eastAsia" w:cs="Times New Roman"/>
          <w:color w:val="auto"/>
          <w:highlight w:val="none"/>
        </w:rPr>
        <w:t xml:space="preserve">环境影响评价技术导则 </w:t>
      </w:r>
      <w:r>
        <w:rPr>
          <w:rFonts w:cs="Times New Roman"/>
          <w:color w:val="auto"/>
          <w:highlight w:val="none"/>
        </w:rPr>
        <w:t>土壤环境（试行）》</w:t>
      </w:r>
      <w:r>
        <w:rPr>
          <w:rFonts w:hint="eastAsia" w:cs="Times New Roman"/>
          <w:color w:val="auto"/>
          <w:highlight w:val="none"/>
        </w:rPr>
        <w:t>（HJ964</w:t>
      </w:r>
      <w:r>
        <w:rPr>
          <w:rFonts w:cs="Times New Roman"/>
          <w:color w:val="auto"/>
          <w:highlight w:val="none"/>
        </w:rPr>
        <w:t>-2018</w:t>
      </w:r>
      <w:r>
        <w:rPr>
          <w:rFonts w:hint="eastAsia" w:cs="Times New Roman"/>
          <w:color w:val="auto"/>
          <w:highlight w:val="none"/>
        </w:rPr>
        <w:t>）要求，本项目土壤评价等级为三级评价，三级</w:t>
      </w:r>
      <w:r>
        <w:rPr>
          <w:rFonts w:hint="eastAsia" w:cs="Times New Roman"/>
          <w:color w:val="auto"/>
          <w:highlight w:val="none"/>
          <w:lang w:eastAsia="zh-CN"/>
        </w:rPr>
        <w:t>评价</w:t>
      </w:r>
      <w:r>
        <w:rPr>
          <w:rFonts w:hint="eastAsia" w:cs="Times New Roman"/>
          <w:color w:val="auto"/>
          <w:highlight w:val="none"/>
        </w:rPr>
        <w:t>项目可采用定性描述或类比分析进行预测</w:t>
      </w:r>
      <w:r>
        <w:rPr>
          <w:rFonts w:cs="Times New Roman"/>
          <w:color w:val="auto"/>
          <w:highlight w:val="none"/>
        </w:rPr>
        <w:t>。</w:t>
      </w:r>
      <w:r>
        <w:rPr>
          <w:rFonts w:hint="eastAsia" w:cs="Times New Roman"/>
          <w:color w:val="auto"/>
          <w:highlight w:val="none"/>
        </w:rPr>
        <w:t>本次评价采用定性描述分析，评价范围</w:t>
      </w:r>
      <w:r>
        <w:rPr>
          <w:rFonts w:cs="Times New Roman"/>
          <w:color w:val="auto"/>
          <w:highlight w:val="none"/>
        </w:rPr>
        <w:t>与现状调查范围一致，即边界外扩</w:t>
      </w:r>
      <w:r>
        <w:rPr>
          <w:rFonts w:hint="eastAsia" w:cs="Times New Roman"/>
          <w:color w:val="auto"/>
          <w:highlight w:val="none"/>
        </w:rPr>
        <w:t>5</w:t>
      </w:r>
      <w:r>
        <w:rPr>
          <w:rFonts w:cs="Times New Roman"/>
          <w:color w:val="auto"/>
          <w:highlight w:val="none"/>
        </w:rPr>
        <w:t>0m的区域</w:t>
      </w:r>
      <w:r>
        <w:rPr>
          <w:rFonts w:hint="eastAsia" w:cs="Times New Roman"/>
          <w:color w:val="auto"/>
          <w:highlight w:val="none"/>
        </w:rPr>
        <w:t>范围内</w:t>
      </w:r>
      <w:r>
        <w:rPr>
          <w:rFonts w:cs="Times New Roman"/>
          <w:color w:val="auto"/>
          <w:highlight w:val="none"/>
        </w:rPr>
        <w:t>。</w:t>
      </w:r>
      <w:r>
        <w:rPr>
          <w:rFonts w:hint="eastAsia" w:cs="Times New Roman"/>
          <w:color w:val="auto"/>
          <w:highlight w:val="none"/>
        </w:rPr>
        <w:t>评价范围内主要是农用地。</w:t>
      </w:r>
    </w:p>
    <w:p>
      <w:pPr>
        <w:pStyle w:val="81"/>
        <w:ind w:firstLine="480"/>
        <w:jc w:val="both"/>
        <w:rPr>
          <w:rFonts w:hint="default" w:ascii="Times New Roman" w:hAnsi="Times New Roman" w:eastAsia="宋体" w:cs="Times New Roman"/>
          <w:color w:val="auto"/>
          <w:highlight w:val="none"/>
        </w:rPr>
      </w:pPr>
      <w:r>
        <w:rPr>
          <w:rFonts w:cs="Times New Roman"/>
          <w:color w:val="auto"/>
          <w:highlight w:val="none"/>
        </w:rPr>
        <w:t>正常工况下，项目各工艺设备和地下水环境保护措施均达到了设计要求，且运行良好。本项目采取了分区防渗措施，防渗能力达到设计标准要求，具有良好的隔水防渗性能。</w:t>
      </w:r>
      <w:r>
        <w:rPr>
          <w:rFonts w:cs="Times New Roman"/>
          <w:color w:val="auto"/>
          <w:highlight w:val="none"/>
          <w:lang w:val="zh-CN"/>
        </w:rPr>
        <w:t>因此在正常状况下，在做好各区域防渗的基础上，</w:t>
      </w:r>
      <w:r>
        <w:rPr>
          <w:rFonts w:cs="Times New Roman"/>
          <w:color w:val="auto"/>
          <w:highlight w:val="none"/>
        </w:rPr>
        <w:t>本项目原、辅材料、产品及废水向地下渗透将得到</w:t>
      </w:r>
      <w:r>
        <w:rPr>
          <w:rFonts w:hint="eastAsia" w:cs="Times New Roman"/>
          <w:color w:val="auto"/>
          <w:highlight w:val="none"/>
        </w:rPr>
        <w:t>有效的控制。本项目设置了除尘脱硫和脱硝设备，烟气可实现达标排放，无组织排放废气主要是粉尘，通过设置封闭式煤场和洒水降尘实现无组织废气达标排放，大气沉降对土壤影响可以有效控制。综上所述，</w:t>
      </w:r>
      <w:r>
        <w:rPr>
          <w:rFonts w:hint="default" w:ascii="Times New Roman" w:hAnsi="Times New Roman" w:eastAsia="宋体" w:cs="Times New Roman"/>
          <w:color w:val="auto"/>
          <w:highlight w:val="none"/>
        </w:rPr>
        <w:t>本项目在正常工况下对土壤环境的影响较小。</w:t>
      </w:r>
    </w:p>
    <w:p>
      <w:pPr>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根据土壤环境质量现状监测可知，建设用地监测点土壤中汞浓度在0.0155</w:t>
      </w:r>
      <w:r>
        <w:rPr>
          <w:rFonts w:hint="eastAsia" w:cs="Times New Roman"/>
          <w:color w:val="auto"/>
          <w:highlight w:val="none"/>
          <w:lang w:val="en-US" w:eastAsia="zh-CN"/>
        </w:rPr>
        <w:t>～0.0666</w:t>
      </w:r>
      <w:r>
        <w:rPr>
          <w:rFonts w:hint="default" w:ascii="Times New Roman" w:hAnsi="Times New Roman" w:eastAsia="宋体" w:cs="Times New Roman"/>
          <w:color w:val="auto"/>
          <w:szCs w:val="24"/>
          <w:highlight w:val="none"/>
        </w:rPr>
        <w:t>mg/m</w:t>
      </w:r>
      <w:r>
        <w:rPr>
          <w:rFonts w:hint="default" w:ascii="Times New Roman" w:hAnsi="Times New Roman" w:eastAsia="宋体" w:cs="Times New Roman"/>
          <w:color w:val="auto"/>
          <w:szCs w:val="24"/>
          <w:highlight w:val="none"/>
          <w:vertAlign w:val="superscript"/>
        </w:rPr>
        <w:t>3</w:t>
      </w:r>
      <w:r>
        <w:rPr>
          <w:rFonts w:hint="default" w:ascii="Times New Roman" w:hAnsi="Times New Roman" w:eastAsia="宋体" w:cs="Times New Roman"/>
          <w:color w:val="auto"/>
          <w:szCs w:val="24"/>
          <w:highlight w:val="none"/>
          <w:vertAlign w:val="baseline"/>
          <w:lang w:val="en-US" w:eastAsia="zh-CN"/>
        </w:rPr>
        <w:t>，</w:t>
      </w:r>
      <w:r>
        <w:rPr>
          <w:rFonts w:hint="eastAsia" w:ascii="Times New Roman" w:hAnsi="Times New Roman" w:eastAsia="宋体" w:cs="Times New Roman"/>
          <w:color w:val="auto"/>
          <w:szCs w:val="24"/>
          <w:highlight w:val="none"/>
          <w:vertAlign w:val="baseline"/>
          <w:lang w:val="en-US" w:eastAsia="zh-CN"/>
        </w:rPr>
        <w:t>最大浓度占标率为0.1</w:t>
      </w:r>
      <w:r>
        <w:rPr>
          <w:rFonts w:hint="eastAsia" w:ascii="Times New Roman" w:hAnsi="Times New Roman" w:cs="Times New Roman"/>
          <w:color w:val="auto"/>
          <w:szCs w:val="24"/>
          <w:highlight w:val="none"/>
          <w:vertAlign w:val="baseline"/>
          <w:lang w:val="en-US" w:eastAsia="zh-CN"/>
        </w:rPr>
        <w:t>8</w:t>
      </w:r>
      <w:r>
        <w:rPr>
          <w:rFonts w:hint="eastAsia" w:ascii="Times New Roman" w:hAnsi="Times New Roman" w:eastAsia="宋体" w:cs="Times New Roman"/>
          <w:color w:val="auto"/>
          <w:szCs w:val="24"/>
          <w:highlight w:val="none"/>
          <w:vertAlign w:val="baseline"/>
          <w:lang w:val="en-US" w:eastAsia="zh-CN"/>
        </w:rPr>
        <w:t>%。项目区域土壤中汞及其化合物含量远小于</w:t>
      </w:r>
      <w:r>
        <w:rPr>
          <w:rFonts w:hint="default" w:ascii="Times New Roman" w:hAnsi="Times New Roman" w:eastAsia="宋体" w:cs="Times New Roman"/>
          <w:color w:val="auto"/>
          <w:sz w:val="24"/>
          <w:szCs w:val="24"/>
          <w:highlight w:val="none"/>
          <w:lang w:val="zh-TW"/>
        </w:rPr>
        <w:t>《土壤环境质量 建设用地土壤污染风险管控标准（试行）》（GB36600-2018）中的第二类用地风险筛选值</w:t>
      </w:r>
      <w:r>
        <w:rPr>
          <w:rFonts w:hint="default" w:ascii="Times New Roman" w:hAnsi="Times New Roman" w:eastAsia="宋体" w:cs="Times New Roman"/>
          <w:color w:val="auto"/>
          <w:sz w:val="24"/>
          <w:szCs w:val="24"/>
          <w:highlight w:val="none"/>
        </w:rPr>
        <w:t>限值要求。</w:t>
      </w:r>
    </w:p>
    <w:p>
      <w:pPr>
        <w:bidi w:val="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根据工程分析可知，新建锅炉</w:t>
      </w:r>
      <w:r>
        <w:rPr>
          <w:rFonts w:hint="default" w:ascii="Times New Roman" w:hAnsi="Times New Roman" w:eastAsia="宋体" w:cs="Times New Roman"/>
          <w:color w:val="auto"/>
          <w:szCs w:val="24"/>
          <w:highlight w:val="none"/>
          <w:lang w:eastAsia="zh-CN"/>
        </w:rPr>
        <w:t>烟气</w:t>
      </w:r>
      <w:r>
        <w:rPr>
          <w:rFonts w:hint="default" w:ascii="Times New Roman" w:hAnsi="Times New Roman" w:eastAsia="宋体" w:cs="Times New Roman"/>
          <w:color w:val="auto"/>
          <w:szCs w:val="24"/>
          <w:highlight w:val="none"/>
        </w:rPr>
        <w:t>汞及其化合物</w:t>
      </w:r>
      <w:r>
        <w:rPr>
          <w:rFonts w:hint="default" w:ascii="Times New Roman" w:hAnsi="Times New Roman" w:eastAsia="宋体" w:cs="Times New Roman"/>
          <w:color w:val="auto"/>
          <w:szCs w:val="24"/>
          <w:highlight w:val="none"/>
          <w:lang w:eastAsia="zh-CN"/>
        </w:rPr>
        <w:t>排放浓度为</w:t>
      </w:r>
      <w:r>
        <w:rPr>
          <w:rFonts w:hint="eastAsia" w:cs="Times New Roman"/>
          <w:color w:val="auto"/>
          <w:szCs w:val="24"/>
          <w:highlight w:val="none"/>
          <w:lang w:val="en-US" w:eastAsia="zh-CN"/>
        </w:rPr>
        <w:t>0.00298</w:t>
      </w:r>
      <w:r>
        <w:rPr>
          <w:rFonts w:hint="default" w:ascii="Times New Roman" w:hAnsi="Times New Roman" w:eastAsia="宋体" w:cs="Times New Roman"/>
          <w:color w:val="auto"/>
          <w:szCs w:val="24"/>
          <w:highlight w:val="none"/>
        </w:rPr>
        <w:t>mg/m</w:t>
      </w:r>
      <w:r>
        <w:rPr>
          <w:rFonts w:hint="default" w:ascii="Times New Roman" w:hAnsi="Times New Roman" w:eastAsia="宋体" w:cs="Times New Roman"/>
          <w:color w:val="auto"/>
          <w:szCs w:val="24"/>
          <w:highlight w:val="none"/>
          <w:vertAlign w:val="superscript"/>
        </w:rPr>
        <w:t>3</w:t>
      </w:r>
      <w:r>
        <w:rPr>
          <w:rFonts w:hint="default" w:ascii="Times New Roman" w:hAnsi="Times New Roman" w:eastAsia="宋体" w:cs="Times New Roman"/>
          <w:color w:val="auto"/>
          <w:szCs w:val="24"/>
          <w:highlight w:val="none"/>
          <w:vertAlign w:val="baseline"/>
          <w:lang w:val="en-US" w:eastAsia="zh-CN"/>
        </w:rPr>
        <w:t>，</w:t>
      </w:r>
      <w:r>
        <w:rPr>
          <w:rFonts w:hint="eastAsia" w:ascii="Times New Roman" w:hAnsi="Times New Roman" w:eastAsia="宋体" w:cs="Times New Roman"/>
          <w:color w:val="auto"/>
          <w:szCs w:val="24"/>
          <w:highlight w:val="none"/>
          <w:vertAlign w:val="baseline"/>
          <w:lang w:val="en-US" w:eastAsia="zh-CN"/>
        </w:rPr>
        <w:t>下风向最大浓度占标率为0.</w:t>
      </w:r>
      <w:r>
        <w:rPr>
          <w:rFonts w:hint="eastAsia" w:cs="Times New Roman"/>
          <w:color w:val="auto"/>
          <w:szCs w:val="24"/>
          <w:highlight w:val="none"/>
          <w:vertAlign w:val="baseline"/>
          <w:lang w:val="en-US" w:eastAsia="zh-CN"/>
        </w:rPr>
        <w:t>12%</w:t>
      </w:r>
      <w:r>
        <w:rPr>
          <w:rFonts w:hint="eastAsia" w:ascii="Times New Roman" w:hAnsi="Times New Roman" w:eastAsia="宋体" w:cs="Times New Roman"/>
          <w:color w:val="auto"/>
          <w:szCs w:val="24"/>
          <w:highlight w:val="none"/>
          <w:vertAlign w:val="baseline"/>
          <w:lang w:val="en-US" w:eastAsia="zh-CN"/>
        </w:rPr>
        <w:t>，</w:t>
      </w:r>
      <w:r>
        <w:rPr>
          <w:rFonts w:hint="default" w:ascii="Times New Roman" w:hAnsi="Times New Roman" w:eastAsia="宋体" w:cs="Times New Roman"/>
          <w:b w:val="0"/>
          <w:color w:val="auto"/>
          <w:sz w:val="24"/>
          <w:szCs w:val="24"/>
          <w:highlight w:val="none"/>
        </w:rPr>
        <w:t>下风向最大浓度出现距离</w:t>
      </w:r>
      <w:r>
        <w:rPr>
          <w:rFonts w:hint="eastAsia" w:cs="Times New Roman"/>
          <w:b w:val="0"/>
          <w:color w:val="auto"/>
          <w:sz w:val="24"/>
          <w:szCs w:val="24"/>
          <w:highlight w:val="none"/>
          <w:lang w:val="en-US" w:eastAsia="zh-CN"/>
        </w:rPr>
        <w:t>748</w:t>
      </w:r>
      <w:r>
        <w:rPr>
          <w:rFonts w:hint="default" w:ascii="Times New Roman" w:hAnsi="Times New Roman" w:eastAsia="宋体" w:cs="Times New Roman"/>
          <w:b w:val="0"/>
          <w:color w:val="auto"/>
          <w:sz w:val="24"/>
          <w:szCs w:val="24"/>
          <w:highlight w:val="none"/>
          <w:lang w:val="en-US" w:eastAsia="zh-CN"/>
        </w:rPr>
        <w:t>m。</w:t>
      </w:r>
      <w:r>
        <w:rPr>
          <w:rFonts w:hint="eastAsia" w:ascii="Times New Roman" w:hAnsi="Times New Roman" w:eastAsia="宋体" w:cs="Times New Roman"/>
          <w:b w:val="0"/>
          <w:color w:val="auto"/>
          <w:sz w:val="24"/>
          <w:szCs w:val="24"/>
          <w:highlight w:val="none"/>
          <w:lang w:val="en-US" w:eastAsia="zh-CN"/>
        </w:rPr>
        <w:t>本项目锅炉烟气中汞及其化合物排放浓度较低。通过大气沉降进入土壤的汞及其化合物较少。</w:t>
      </w:r>
    </w:p>
    <w:p>
      <w:pPr>
        <w:pStyle w:val="63"/>
        <w:spacing w:line="360" w:lineRule="auto"/>
        <w:jc w:val="both"/>
        <w:rPr>
          <w:rFonts w:cs="Times New Roman"/>
          <w:color w:val="auto"/>
          <w:highlight w:val="none"/>
        </w:rPr>
      </w:pPr>
      <w:r>
        <w:rPr>
          <w:rFonts w:hint="eastAsia" w:cs="Times New Roman"/>
          <w:color w:val="auto"/>
          <w:highlight w:val="none"/>
        </w:rPr>
        <w:t>本项目土壤环境影响途径主要是事故状态下，施工期和运营期项目场地污染以点源形式垂直入渗和运营期大气沉降。建设单位充分重视自身环保行为，将从源头控制和过程防控等方面减轻对土壤环境的影响。</w:t>
      </w:r>
    </w:p>
    <w:p>
      <w:pPr>
        <w:pStyle w:val="63"/>
        <w:spacing w:line="360" w:lineRule="auto"/>
        <w:jc w:val="both"/>
        <w:rPr>
          <w:rFonts w:hint="eastAsia" w:eastAsia="宋体" w:cs="Times New Roman"/>
          <w:color w:val="auto"/>
          <w:highlight w:val="none"/>
          <w:lang w:eastAsia="zh-CN"/>
        </w:rPr>
      </w:pPr>
      <w:r>
        <w:rPr>
          <w:rFonts w:hint="eastAsia" w:cs="Times New Roman"/>
          <w:color w:val="auto"/>
          <w:highlight w:val="none"/>
        </w:rPr>
        <w:t>源头控制：在物料输送和贮存过程中，加强跑冒滴漏的管理，减少物料泄漏可能对土壤环境造成的污染。此外，对锅炉烟气采取除尘脱硫脱硝措施，减少污染物排放。</w:t>
      </w:r>
      <w:r>
        <w:rPr>
          <w:rFonts w:hint="eastAsia" w:cs="Times New Roman"/>
          <w:color w:val="auto"/>
          <w:highlight w:val="none"/>
          <w:lang w:eastAsia="zh-CN"/>
        </w:rPr>
        <w:t>本项目使用的煤为符合质量要求的商品煤。</w:t>
      </w:r>
    </w:p>
    <w:p>
      <w:pPr>
        <w:bidi w:val="0"/>
        <w:rPr>
          <w:color w:val="auto"/>
          <w:highlight w:val="none"/>
        </w:rPr>
      </w:pPr>
      <w:r>
        <w:rPr>
          <w:rFonts w:hint="eastAsia"/>
          <w:color w:val="auto"/>
          <w:highlight w:val="none"/>
        </w:rPr>
        <w:t>过程控制：根据分区防渗的原则，厂区内危废间等通过分区防渗和严格管理，地面防渗可满足《危险废物贮存污染控制标准》（GB18597-20</w:t>
      </w:r>
      <w:r>
        <w:rPr>
          <w:rFonts w:hint="eastAsia"/>
          <w:color w:val="auto"/>
          <w:highlight w:val="none"/>
          <w:lang w:val="en-US" w:eastAsia="zh-CN"/>
        </w:rPr>
        <w:t>23</w:t>
      </w:r>
      <w:r>
        <w:rPr>
          <w:rFonts w:hint="eastAsia"/>
          <w:color w:val="auto"/>
          <w:highlight w:val="none"/>
        </w:rPr>
        <w:t>）的防渗要求。</w:t>
      </w:r>
    </w:p>
    <w:p>
      <w:pPr>
        <w:pStyle w:val="63"/>
        <w:spacing w:line="360" w:lineRule="auto"/>
        <w:jc w:val="both"/>
        <w:rPr>
          <w:rFonts w:hint="eastAsia" w:cs="Times New Roman"/>
          <w:color w:val="auto"/>
          <w:highlight w:val="none"/>
        </w:rPr>
      </w:pPr>
      <w:r>
        <w:rPr>
          <w:rFonts w:hint="eastAsia" w:cs="Times New Roman"/>
          <w:color w:val="auto"/>
          <w:highlight w:val="none"/>
        </w:rPr>
        <w:t>评价范围内农用地位于项目区常年主导风向</w:t>
      </w:r>
      <w:r>
        <w:rPr>
          <w:rFonts w:hint="eastAsia" w:cs="Times New Roman"/>
          <w:color w:val="auto"/>
          <w:highlight w:val="none"/>
          <w:lang w:eastAsia="zh-CN"/>
        </w:rPr>
        <w:t>侧</w:t>
      </w:r>
      <w:r>
        <w:rPr>
          <w:rFonts w:hint="eastAsia" w:cs="Times New Roman"/>
          <w:color w:val="auto"/>
          <w:highlight w:val="none"/>
        </w:rPr>
        <w:t>风向，且紧邻本项目储运区。若在项目区锅炉烟气处理措施处理效率低下、地面防渗措施被破坏等现象，且存在跑冒滴漏存在，则可能发生锅炉烟气沉降和少量物料泄漏渗入土壤的情景。综上所述，要求企业做好防渗、检修、设备维护和定期检测工作，对土壤环境的影响较小。因此，本项目环境影响可接受。</w:t>
      </w:r>
    </w:p>
    <w:p>
      <w:pPr>
        <w:pStyle w:val="78"/>
        <w:widowControl/>
        <w:spacing w:line="240" w:lineRule="auto"/>
        <w:rPr>
          <w:color w:val="auto"/>
          <w:sz w:val="21"/>
          <w:szCs w:val="21"/>
          <w:highlight w:val="none"/>
        </w:rPr>
      </w:pPr>
      <w:bookmarkStart w:id="258" w:name="_Toc25092"/>
      <w:bookmarkStart w:id="259" w:name="_Toc18048"/>
      <w:bookmarkStart w:id="260" w:name="_Toc3806"/>
      <w:bookmarkStart w:id="261" w:name="_Toc12869"/>
      <w:bookmarkStart w:id="262" w:name="_Toc30242"/>
      <w:bookmarkStart w:id="263" w:name="_Toc861"/>
      <w:bookmarkStart w:id="264" w:name="_Toc9455"/>
      <w:bookmarkStart w:id="265" w:name="_Toc15882"/>
      <w:bookmarkStart w:id="266" w:name="_Toc12969"/>
      <w:r>
        <w:rPr>
          <w:color w:val="auto"/>
          <w:sz w:val="21"/>
          <w:szCs w:val="21"/>
          <w:highlight w:val="none"/>
        </w:rPr>
        <w:t>表5.</w:t>
      </w:r>
      <w:r>
        <w:rPr>
          <w:rFonts w:hint="eastAsia"/>
          <w:color w:val="auto"/>
          <w:sz w:val="21"/>
          <w:szCs w:val="21"/>
          <w:highlight w:val="none"/>
          <w:lang w:val="en-US" w:eastAsia="zh-CN"/>
        </w:rPr>
        <w:t>6-3</w:t>
      </w:r>
      <w:r>
        <w:rPr>
          <w:color w:val="auto"/>
          <w:sz w:val="21"/>
          <w:szCs w:val="21"/>
          <w:highlight w:val="none"/>
        </w:rPr>
        <w:t>土壤环境影响评价自查表</w:t>
      </w:r>
      <w:bookmarkEnd w:id="258"/>
      <w:bookmarkEnd w:id="259"/>
      <w:bookmarkEnd w:id="260"/>
      <w:bookmarkEnd w:id="261"/>
      <w:bookmarkEnd w:id="262"/>
      <w:bookmarkEnd w:id="263"/>
      <w:bookmarkEnd w:id="264"/>
      <w:bookmarkEnd w:id="265"/>
      <w:bookmarkEnd w:id="266"/>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714"/>
        <w:gridCol w:w="993"/>
        <w:gridCol w:w="279"/>
        <w:gridCol w:w="1003"/>
        <w:gridCol w:w="1008"/>
        <w:gridCol w:w="492"/>
        <w:gridCol w:w="1177"/>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工作内容</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完成情况</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影响识别</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影响类型</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污染影响型</w:t>
            </w:r>
            <w:r>
              <w:rPr>
                <w:color w:val="auto"/>
                <w:sz w:val="21"/>
                <w:szCs w:val="21"/>
                <w:highlight w:val="none"/>
              </w:rPr>
              <w:sym w:font="Wingdings" w:char="00FE"/>
            </w:r>
            <w:r>
              <w:rPr>
                <w:rFonts w:hint="eastAsia"/>
                <w:color w:val="auto"/>
                <w:sz w:val="21"/>
                <w:szCs w:val="21"/>
                <w:highlight w:val="none"/>
                <w:lang w:val="en-US" w:eastAsia="zh-CN"/>
              </w:rPr>
              <w:t xml:space="preserve">    </w:t>
            </w:r>
            <w:r>
              <w:rPr>
                <w:color w:val="auto"/>
                <w:sz w:val="21"/>
                <w:szCs w:val="21"/>
                <w:highlight w:val="none"/>
              </w:rPr>
              <w:t>生态影响型</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t>两种兼有</w:t>
            </w:r>
            <w:r>
              <w:rPr>
                <w:color w:val="auto"/>
                <w:sz w:val="21"/>
                <w:szCs w:val="21"/>
                <w:highlight w:val="none"/>
              </w:rPr>
              <w:sym w:font="Wingdings" w:char="00A8"/>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土地利用类型</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建设用地</w:t>
            </w:r>
            <w:r>
              <w:rPr>
                <w:color w:val="auto"/>
                <w:sz w:val="21"/>
                <w:szCs w:val="21"/>
                <w:highlight w:val="none"/>
              </w:rPr>
              <w:sym w:font="Wingdings" w:char="00FE"/>
            </w:r>
            <w:r>
              <w:rPr>
                <w:rFonts w:hint="eastAsia"/>
                <w:color w:val="auto"/>
                <w:sz w:val="21"/>
                <w:szCs w:val="21"/>
                <w:highlight w:val="none"/>
                <w:lang w:val="en-US" w:eastAsia="zh-CN"/>
              </w:rPr>
              <w:t xml:space="preserve">      </w:t>
            </w:r>
            <w:r>
              <w:rPr>
                <w:color w:val="auto"/>
                <w:sz w:val="21"/>
                <w:szCs w:val="21"/>
                <w:highlight w:val="none"/>
              </w:rPr>
              <w:t>农用地</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t>未利用地</w:t>
            </w:r>
            <w:r>
              <w:rPr>
                <w:color w:val="auto"/>
                <w:sz w:val="21"/>
                <w:szCs w:val="21"/>
                <w:highlight w:val="none"/>
              </w:rPr>
              <w:sym w:font="Wingdings" w:char="00A8"/>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占地规模</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r>
              <w:rPr>
                <w:rFonts w:hint="eastAsia"/>
                <w:color w:val="auto"/>
                <w:sz w:val="21"/>
                <w:szCs w:val="21"/>
                <w:highlight w:val="none"/>
                <w:lang w:val="en-US" w:eastAsia="zh-CN"/>
              </w:rPr>
              <w:t>1492</w:t>
            </w:r>
            <w:r>
              <w:rPr>
                <w:color w:val="auto"/>
                <w:sz w:val="21"/>
                <w:szCs w:val="21"/>
                <w:highlight w:val="none"/>
              </w:rPr>
              <w:t>）m</w:t>
            </w:r>
            <w:r>
              <w:rPr>
                <w:color w:val="auto"/>
                <w:sz w:val="21"/>
                <w:szCs w:val="21"/>
                <w:highlight w:val="none"/>
                <w:vertAlign w:val="superscript"/>
              </w:rPr>
              <w:t>2</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敏感目标信息</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敏感目标（/）、方位（/）、距离（/）</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影响途径</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大气沉降</w:t>
            </w:r>
            <w:r>
              <w:rPr>
                <w:color w:val="auto"/>
                <w:sz w:val="21"/>
                <w:szCs w:val="21"/>
                <w:highlight w:val="none"/>
              </w:rPr>
              <w:sym w:font="Wingdings" w:char="00A8"/>
            </w:r>
            <w:r>
              <w:rPr>
                <w:color w:val="auto"/>
                <w:sz w:val="21"/>
                <w:szCs w:val="21"/>
                <w:highlight w:val="none"/>
              </w:rPr>
              <w:t>；地面漫流</w:t>
            </w:r>
            <w:r>
              <w:rPr>
                <w:color w:val="auto"/>
                <w:sz w:val="21"/>
                <w:szCs w:val="21"/>
                <w:highlight w:val="none"/>
              </w:rPr>
              <w:sym w:font="Wingdings" w:char="00A8"/>
            </w:r>
            <w:r>
              <w:rPr>
                <w:color w:val="auto"/>
                <w:sz w:val="21"/>
                <w:szCs w:val="21"/>
                <w:highlight w:val="none"/>
              </w:rPr>
              <w:t>；垂直入渗</w:t>
            </w:r>
            <w:r>
              <w:rPr>
                <w:color w:val="auto"/>
                <w:sz w:val="21"/>
                <w:szCs w:val="21"/>
                <w:highlight w:val="none"/>
              </w:rPr>
              <w:sym w:font="Wingdings" w:char="00A8"/>
            </w:r>
            <w:r>
              <w:rPr>
                <w:color w:val="auto"/>
                <w:sz w:val="21"/>
                <w:szCs w:val="21"/>
                <w:highlight w:val="none"/>
              </w:rPr>
              <w:t>；地下水位</w:t>
            </w:r>
            <w:r>
              <w:rPr>
                <w:color w:val="auto"/>
                <w:sz w:val="21"/>
                <w:szCs w:val="21"/>
                <w:highlight w:val="none"/>
              </w:rPr>
              <w:sym w:font="Wingdings" w:char="00A8"/>
            </w:r>
            <w:r>
              <w:rPr>
                <w:color w:val="auto"/>
                <w:sz w:val="21"/>
                <w:szCs w:val="21"/>
                <w:highlight w:val="none"/>
              </w:rPr>
              <w:t>；其他（/）</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全部污染物</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特征因子</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所属土壤环境影响评价项目类别</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eastAsia="zh-CN"/>
              </w:rPr>
            </w:pPr>
            <w:r>
              <w:rPr>
                <w:color w:val="auto"/>
                <w:sz w:val="21"/>
                <w:szCs w:val="21"/>
                <w:highlight w:val="none"/>
              </w:rPr>
              <w:fldChar w:fldCharType="begin"/>
            </w:r>
            <w:r>
              <w:rPr>
                <w:color w:val="auto"/>
                <w:sz w:val="21"/>
                <w:szCs w:val="21"/>
                <w:highlight w:val="none"/>
              </w:rPr>
              <w:instrText xml:space="preserve"> = 1 \* ROMAN \* MERGEFORMAT </w:instrText>
            </w:r>
            <w:r>
              <w:rPr>
                <w:color w:val="auto"/>
                <w:sz w:val="21"/>
                <w:szCs w:val="21"/>
                <w:highlight w:val="none"/>
              </w:rPr>
              <w:fldChar w:fldCharType="separate"/>
            </w:r>
            <w:r>
              <w:rPr>
                <w:color w:val="auto"/>
                <w:sz w:val="21"/>
                <w:szCs w:val="21"/>
                <w:highlight w:val="none"/>
              </w:rPr>
              <w:t>I</w:t>
            </w:r>
            <w:r>
              <w:rPr>
                <w:color w:val="auto"/>
                <w:sz w:val="21"/>
                <w:szCs w:val="21"/>
                <w:highlight w:val="none"/>
              </w:rPr>
              <w:fldChar w:fldCharType="end"/>
            </w:r>
            <w:r>
              <w:rPr>
                <w:color w:val="auto"/>
                <w:sz w:val="21"/>
                <w:szCs w:val="21"/>
                <w:highlight w:val="none"/>
              </w:rPr>
              <w:t>类</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fldChar w:fldCharType="begin"/>
            </w:r>
            <w:r>
              <w:rPr>
                <w:color w:val="auto"/>
                <w:sz w:val="21"/>
                <w:szCs w:val="21"/>
                <w:highlight w:val="none"/>
              </w:rPr>
              <w:instrText xml:space="preserve"> = 2 \* ROMAN \* MERGEFORMAT </w:instrText>
            </w:r>
            <w:r>
              <w:rPr>
                <w:color w:val="auto"/>
                <w:sz w:val="21"/>
                <w:szCs w:val="21"/>
                <w:highlight w:val="none"/>
              </w:rPr>
              <w:fldChar w:fldCharType="separate"/>
            </w:r>
            <w:r>
              <w:rPr>
                <w:color w:val="auto"/>
                <w:sz w:val="21"/>
                <w:szCs w:val="21"/>
                <w:highlight w:val="none"/>
              </w:rPr>
              <w:t>II</w:t>
            </w:r>
            <w:r>
              <w:rPr>
                <w:color w:val="auto"/>
                <w:sz w:val="21"/>
                <w:szCs w:val="21"/>
                <w:highlight w:val="none"/>
              </w:rPr>
              <w:fldChar w:fldCharType="end"/>
            </w:r>
            <w:r>
              <w:rPr>
                <w:color w:val="auto"/>
                <w:sz w:val="21"/>
                <w:szCs w:val="21"/>
                <w:highlight w:val="none"/>
              </w:rPr>
              <w:t>类</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fldChar w:fldCharType="begin"/>
            </w:r>
            <w:r>
              <w:rPr>
                <w:color w:val="auto"/>
                <w:sz w:val="21"/>
                <w:szCs w:val="21"/>
                <w:highlight w:val="none"/>
              </w:rPr>
              <w:instrText xml:space="preserve"> = 3 \* ROMAN \* MERGEFORMAT </w:instrText>
            </w:r>
            <w:r>
              <w:rPr>
                <w:color w:val="auto"/>
                <w:sz w:val="21"/>
                <w:szCs w:val="21"/>
                <w:highlight w:val="none"/>
              </w:rPr>
              <w:fldChar w:fldCharType="separate"/>
            </w:r>
            <w:r>
              <w:rPr>
                <w:color w:val="auto"/>
                <w:sz w:val="21"/>
                <w:szCs w:val="21"/>
                <w:highlight w:val="none"/>
              </w:rPr>
              <w:t>III</w:t>
            </w:r>
            <w:r>
              <w:rPr>
                <w:color w:val="auto"/>
                <w:sz w:val="21"/>
                <w:szCs w:val="21"/>
                <w:highlight w:val="none"/>
              </w:rPr>
              <w:fldChar w:fldCharType="end"/>
            </w:r>
            <w:r>
              <w:rPr>
                <w:color w:val="auto"/>
                <w:sz w:val="21"/>
                <w:szCs w:val="21"/>
                <w:highlight w:val="none"/>
              </w:rPr>
              <w:t>类</w:t>
            </w:r>
            <w:r>
              <w:rPr>
                <w:color w:val="auto"/>
                <w:sz w:val="21"/>
                <w:szCs w:val="21"/>
                <w:highlight w:val="none"/>
              </w:rPr>
              <w:sym w:font="Wingdings" w:char="00FE"/>
            </w:r>
            <w:r>
              <w:rPr>
                <w:rFonts w:hint="eastAsia"/>
                <w:color w:val="auto"/>
                <w:sz w:val="21"/>
                <w:szCs w:val="21"/>
                <w:highlight w:val="none"/>
                <w:lang w:val="en-US" w:eastAsia="zh-CN"/>
              </w:rPr>
              <w:t xml:space="preserve">    </w:t>
            </w:r>
            <w:r>
              <w:rPr>
                <w:color w:val="auto"/>
                <w:sz w:val="21"/>
                <w:szCs w:val="21"/>
                <w:highlight w:val="none"/>
              </w:rPr>
              <w:fldChar w:fldCharType="begin"/>
            </w:r>
            <w:r>
              <w:rPr>
                <w:color w:val="auto"/>
                <w:sz w:val="21"/>
                <w:szCs w:val="21"/>
                <w:highlight w:val="none"/>
              </w:rPr>
              <w:instrText xml:space="preserve"> = 4 \* ROMAN \* MERGEFORMAT </w:instrText>
            </w:r>
            <w:r>
              <w:rPr>
                <w:color w:val="auto"/>
                <w:sz w:val="21"/>
                <w:szCs w:val="21"/>
                <w:highlight w:val="none"/>
              </w:rPr>
              <w:fldChar w:fldCharType="separate"/>
            </w:r>
            <w:r>
              <w:rPr>
                <w:color w:val="auto"/>
                <w:sz w:val="21"/>
                <w:szCs w:val="21"/>
                <w:highlight w:val="none"/>
              </w:rPr>
              <w:t>IV</w:t>
            </w:r>
            <w:r>
              <w:rPr>
                <w:color w:val="auto"/>
                <w:sz w:val="21"/>
                <w:szCs w:val="21"/>
                <w:highlight w:val="none"/>
              </w:rPr>
              <w:fldChar w:fldCharType="end"/>
            </w:r>
            <w:r>
              <w:rPr>
                <w:color w:val="auto"/>
                <w:sz w:val="21"/>
                <w:szCs w:val="21"/>
                <w:highlight w:val="none"/>
              </w:rPr>
              <w:t>类</w:t>
            </w:r>
            <w:r>
              <w:rPr>
                <w:color w:val="auto"/>
                <w:sz w:val="21"/>
                <w:szCs w:val="21"/>
                <w:highlight w:val="none"/>
              </w:rPr>
              <w:sym w:font="Wingdings" w:char="00A8"/>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敏感程度</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敏感</w:t>
            </w:r>
            <w:r>
              <w:rPr>
                <w:color w:val="auto"/>
                <w:sz w:val="21"/>
                <w:szCs w:val="21"/>
                <w:highlight w:val="none"/>
              </w:rPr>
              <w:sym w:font="Wingdings" w:char="00FE"/>
            </w:r>
            <w:r>
              <w:rPr>
                <w:rFonts w:hint="eastAsia"/>
                <w:color w:val="auto"/>
                <w:sz w:val="21"/>
                <w:szCs w:val="21"/>
                <w:highlight w:val="none"/>
                <w:lang w:val="en-US" w:eastAsia="zh-CN"/>
              </w:rPr>
              <w:t xml:space="preserve">    </w:t>
            </w:r>
            <w:r>
              <w:rPr>
                <w:color w:val="auto"/>
                <w:sz w:val="21"/>
                <w:szCs w:val="21"/>
                <w:highlight w:val="none"/>
              </w:rPr>
              <w:t>较敏感</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t>不敏感</w:t>
            </w:r>
            <w:r>
              <w:rPr>
                <w:color w:val="auto"/>
                <w:sz w:val="21"/>
                <w:szCs w:val="21"/>
                <w:highlight w:val="none"/>
              </w:rPr>
              <w:sym w:font="Wingdings" w:char="00A8"/>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评价工作等级</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一级</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t>二级</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t>三级</w:t>
            </w:r>
            <w:r>
              <w:rPr>
                <w:color w:val="auto"/>
                <w:sz w:val="21"/>
                <w:szCs w:val="21"/>
                <w:highlight w:val="none"/>
              </w:rPr>
              <w:sym w:font="Wingdings" w:char="00FE"/>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现状调查内容</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资料收集</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a</w:t>
            </w:r>
            <w:r>
              <w:rPr>
                <w:rFonts w:hint="eastAsia"/>
                <w:color w:val="auto"/>
                <w:sz w:val="21"/>
                <w:szCs w:val="21"/>
                <w:highlight w:val="none"/>
                <w:lang w:eastAsia="zh-CN"/>
              </w:rPr>
              <w:t>）</w:t>
            </w:r>
            <w:r>
              <w:rPr>
                <w:color w:val="auto"/>
                <w:sz w:val="21"/>
                <w:szCs w:val="21"/>
                <w:highlight w:val="none"/>
              </w:rPr>
              <w:sym w:font="Wingdings" w:char="00A8"/>
            </w:r>
            <w:r>
              <w:rPr>
                <w:color w:val="auto"/>
                <w:sz w:val="21"/>
                <w:szCs w:val="21"/>
                <w:highlight w:val="none"/>
              </w:rPr>
              <w:t>；b</w:t>
            </w:r>
            <w:r>
              <w:rPr>
                <w:rFonts w:hint="eastAsia"/>
                <w:color w:val="auto"/>
                <w:sz w:val="21"/>
                <w:szCs w:val="21"/>
                <w:highlight w:val="none"/>
                <w:lang w:eastAsia="zh-CN"/>
              </w:rPr>
              <w:t>）</w:t>
            </w:r>
            <w:r>
              <w:rPr>
                <w:color w:val="auto"/>
                <w:sz w:val="21"/>
                <w:szCs w:val="21"/>
                <w:highlight w:val="none"/>
              </w:rPr>
              <w:sym w:font="Wingdings" w:char="00FE"/>
            </w:r>
            <w:r>
              <w:rPr>
                <w:color w:val="auto"/>
                <w:sz w:val="21"/>
                <w:szCs w:val="21"/>
                <w:highlight w:val="none"/>
              </w:rPr>
              <w:t>；c</w:t>
            </w:r>
            <w:r>
              <w:rPr>
                <w:rFonts w:hint="eastAsia"/>
                <w:color w:val="auto"/>
                <w:sz w:val="21"/>
                <w:szCs w:val="21"/>
                <w:highlight w:val="none"/>
                <w:lang w:eastAsia="zh-CN"/>
              </w:rPr>
              <w:t>）</w:t>
            </w:r>
            <w:r>
              <w:rPr>
                <w:color w:val="auto"/>
                <w:sz w:val="21"/>
                <w:szCs w:val="21"/>
                <w:highlight w:val="none"/>
              </w:rPr>
              <w:sym w:font="Wingdings" w:char="00A8"/>
            </w:r>
            <w:r>
              <w:rPr>
                <w:color w:val="auto"/>
                <w:sz w:val="21"/>
                <w:szCs w:val="21"/>
                <w:highlight w:val="none"/>
              </w:rPr>
              <w:t>；d</w:t>
            </w:r>
            <w:r>
              <w:rPr>
                <w:rFonts w:hint="eastAsia"/>
                <w:color w:val="auto"/>
                <w:sz w:val="21"/>
                <w:szCs w:val="21"/>
                <w:highlight w:val="none"/>
                <w:lang w:eastAsia="zh-CN"/>
              </w:rPr>
              <w:t>）</w:t>
            </w:r>
            <w:r>
              <w:rPr>
                <w:color w:val="auto"/>
                <w:sz w:val="21"/>
                <w:szCs w:val="21"/>
                <w:highlight w:val="none"/>
              </w:rPr>
              <w:sym w:font="Wingdings" w:char="00A8"/>
            </w:r>
            <w:r>
              <w:rPr>
                <w:color w:val="auto"/>
                <w:sz w:val="21"/>
                <w:szCs w:val="21"/>
                <w:highlight w:val="none"/>
              </w:rPr>
              <w:t>；</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理化特征</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现状监测点位</w:t>
            </w:r>
          </w:p>
        </w:tc>
        <w:tc>
          <w:tcPr>
            <w:tcW w:w="5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75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占地范围内</w:t>
            </w:r>
          </w:p>
        </w:tc>
        <w:tc>
          <w:tcPr>
            <w:tcW w:w="8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占地单位外</w:t>
            </w:r>
          </w:p>
        </w:tc>
        <w:tc>
          <w:tcPr>
            <w:tcW w:w="6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深度</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5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表层样点数</w:t>
            </w:r>
          </w:p>
        </w:tc>
        <w:tc>
          <w:tcPr>
            <w:tcW w:w="75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3</w:t>
            </w:r>
          </w:p>
        </w:tc>
        <w:tc>
          <w:tcPr>
            <w:tcW w:w="8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6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rFonts w:hint="eastAsia"/>
                <w:color w:val="auto"/>
                <w:sz w:val="21"/>
                <w:szCs w:val="21"/>
                <w:highlight w:val="none"/>
                <w:lang w:val="en-US" w:eastAsia="zh-CN"/>
              </w:rPr>
              <w:t>0-</w:t>
            </w:r>
            <w:r>
              <w:rPr>
                <w:color w:val="auto"/>
                <w:sz w:val="21"/>
                <w:szCs w:val="21"/>
                <w:highlight w:val="none"/>
              </w:rPr>
              <w:t>20cm</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58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柱状样点数</w:t>
            </w:r>
          </w:p>
        </w:tc>
        <w:tc>
          <w:tcPr>
            <w:tcW w:w="75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8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6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现状监测因子</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21"/>
                <w:highlight w:val="none"/>
                <w:lang w:val="en-US" w:eastAsia="zh-CN"/>
              </w:rPr>
            </w:pPr>
            <w:r>
              <w:rPr>
                <w:color w:val="auto"/>
                <w:sz w:val="21"/>
                <w:szCs w:val="21"/>
                <w:highlight w:val="none"/>
              </w:rPr>
              <w:t>氯乙烯、1,1-二氯乙烯、二氯甲烷、反-1,2-二氯乙烯、1,1-二氯乙烷、顺-1,2-二氯乙烯、氯仿、1,1,1-三氯乙烷、四氯化碳、1,2-二氯乙烷、三氯乙烯、甲苯、1,1,2</w:t>
            </w:r>
            <w:r>
              <w:rPr>
                <w:rFonts w:hint="eastAsia"/>
                <w:color w:val="auto"/>
                <w:sz w:val="21"/>
                <w:szCs w:val="21"/>
                <w:highlight w:val="none"/>
              </w:rPr>
              <w:t>－</w:t>
            </w:r>
            <w:r>
              <w:rPr>
                <w:color w:val="auto"/>
                <w:sz w:val="21"/>
                <w:szCs w:val="21"/>
                <w:highlight w:val="none"/>
              </w:rPr>
              <w:t>-三氯乙烷、四氯乙烯、氯苯、1,1,1,2-四氯乙烷、乙苯、间二甲苯+对二甲苯、邻二甲苯、苯乙烯、苯、1,1,2,2-四氯乙烷、1,2,3-三氯丙烷、1,2-二氯苯、1,4-二氯苯、萘、1,2-二氯丙烷、硝基苯、苯胺、2-氯酚、苯并[a]蒽、苯并[a]芘、苯并[b]荧蒽、苯并[k]荧蒽、䓛、二苯并[a，h]蒽、茚并[1,2,3-cd]芘、氯甲烷、六价铬、铅、铜、汞、砷、镍、镉</w:t>
            </w:r>
            <w:r>
              <w:rPr>
                <w:rFonts w:hint="eastAsia"/>
                <w:color w:val="auto"/>
                <w:sz w:val="21"/>
                <w:szCs w:val="21"/>
                <w:highlight w:val="none"/>
                <w:lang w:eastAsia="zh-CN"/>
              </w:rPr>
              <w:t>、</w:t>
            </w:r>
            <w:r>
              <w:rPr>
                <w:rFonts w:hint="eastAsia"/>
                <w:color w:val="auto"/>
                <w:sz w:val="21"/>
                <w:szCs w:val="21"/>
                <w:highlight w:val="none"/>
                <w:lang w:val="en-US" w:eastAsia="zh-CN"/>
              </w:rPr>
              <w:t>pH</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现状评价</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评价因子</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评价标准</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GB15618</w:t>
            </w:r>
            <w:r>
              <w:rPr>
                <w:color w:val="auto"/>
                <w:sz w:val="21"/>
                <w:szCs w:val="21"/>
                <w:highlight w:val="none"/>
              </w:rPr>
              <w:sym w:font="Wingdings" w:char="00A8"/>
            </w:r>
            <w:r>
              <w:rPr>
                <w:color w:val="auto"/>
                <w:sz w:val="21"/>
                <w:szCs w:val="21"/>
                <w:highlight w:val="none"/>
              </w:rPr>
              <w:t>；GB36600</w:t>
            </w:r>
            <w:r>
              <w:rPr>
                <w:color w:val="auto"/>
                <w:sz w:val="21"/>
                <w:szCs w:val="21"/>
                <w:highlight w:val="none"/>
              </w:rPr>
              <w:sym w:font="Wingdings" w:char="00FE"/>
            </w:r>
            <w:r>
              <w:rPr>
                <w:color w:val="auto"/>
                <w:sz w:val="21"/>
                <w:szCs w:val="21"/>
                <w:highlight w:val="none"/>
              </w:rPr>
              <w:t>；表D.1</w:t>
            </w:r>
            <w:r>
              <w:rPr>
                <w:color w:val="auto"/>
                <w:sz w:val="21"/>
                <w:szCs w:val="21"/>
                <w:highlight w:val="none"/>
              </w:rPr>
              <w:sym w:font="Wingdings" w:char="00A8"/>
            </w:r>
            <w:r>
              <w:rPr>
                <w:rFonts w:hint="eastAsia"/>
                <w:color w:val="auto"/>
                <w:sz w:val="21"/>
                <w:szCs w:val="21"/>
                <w:highlight w:val="none"/>
              </w:rPr>
              <w:t>；</w:t>
            </w:r>
            <w:r>
              <w:rPr>
                <w:color w:val="auto"/>
                <w:sz w:val="21"/>
                <w:szCs w:val="21"/>
                <w:highlight w:val="none"/>
              </w:rPr>
              <w:t>表D.2</w:t>
            </w:r>
            <w:r>
              <w:rPr>
                <w:color w:val="auto"/>
                <w:sz w:val="21"/>
                <w:szCs w:val="21"/>
                <w:highlight w:val="none"/>
              </w:rPr>
              <w:sym w:font="Wingdings" w:char="00A8"/>
            </w:r>
            <w:r>
              <w:rPr>
                <w:rFonts w:hint="eastAsia"/>
                <w:color w:val="auto"/>
                <w:sz w:val="21"/>
                <w:szCs w:val="21"/>
                <w:highlight w:val="none"/>
              </w:rPr>
              <w:t>；</w:t>
            </w:r>
            <w:r>
              <w:rPr>
                <w:color w:val="auto"/>
                <w:sz w:val="21"/>
                <w:szCs w:val="21"/>
                <w:highlight w:val="none"/>
              </w:rPr>
              <w:t>其他（）</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现状评价结论</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土壤符合标准</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影响预测</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评价因子</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预测方法</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附录E</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t>附录F</w:t>
            </w:r>
            <w:r>
              <w:rPr>
                <w:color w:val="auto"/>
                <w:sz w:val="21"/>
                <w:szCs w:val="21"/>
                <w:highlight w:val="none"/>
              </w:rPr>
              <w:sym w:font="Wingdings" w:char="00A8"/>
            </w:r>
            <w:r>
              <w:rPr>
                <w:rFonts w:hint="eastAsia"/>
                <w:color w:val="auto"/>
                <w:sz w:val="21"/>
                <w:szCs w:val="21"/>
                <w:highlight w:val="none"/>
                <w:lang w:val="en-US" w:eastAsia="zh-CN"/>
              </w:rPr>
              <w:t xml:space="preserve">   </w:t>
            </w:r>
            <w:r>
              <w:rPr>
                <w:color w:val="auto"/>
                <w:sz w:val="21"/>
                <w:szCs w:val="21"/>
                <w:highlight w:val="none"/>
              </w:rPr>
              <w:t>其他（）</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预测分析内容</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影响范围（）影响程度（）</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预测结论</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bookmarkStart w:id="267" w:name="_Toc10636"/>
            <w:bookmarkStart w:id="268" w:name="_Toc14750"/>
            <w:bookmarkStart w:id="269" w:name="_Toc20636"/>
            <w:bookmarkStart w:id="270" w:name="_Toc23621"/>
            <w:bookmarkStart w:id="271" w:name="_Toc10451"/>
            <w:bookmarkStart w:id="272" w:name="_Toc24906"/>
            <w:r>
              <w:rPr>
                <w:color w:val="auto"/>
                <w:sz w:val="21"/>
                <w:szCs w:val="21"/>
                <w:highlight w:val="none"/>
              </w:rPr>
              <w:t>达标结论：a)</w:t>
            </w:r>
            <w:r>
              <w:rPr>
                <w:color w:val="auto"/>
                <w:sz w:val="21"/>
                <w:szCs w:val="21"/>
                <w:highlight w:val="none"/>
              </w:rPr>
              <w:sym w:font="Wingdings" w:char="00FE"/>
            </w:r>
            <w:r>
              <w:rPr>
                <w:color w:val="auto"/>
                <w:sz w:val="21"/>
                <w:szCs w:val="21"/>
                <w:highlight w:val="none"/>
              </w:rPr>
              <w:t>;b)</w:t>
            </w:r>
            <w:r>
              <w:rPr>
                <w:color w:val="auto"/>
                <w:sz w:val="21"/>
                <w:szCs w:val="21"/>
                <w:highlight w:val="none"/>
              </w:rPr>
              <w:sym w:font="Wingdings" w:char="00A8"/>
            </w:r>
            <w:r>
              <w:rPr>
                <w:color w:val="auto"/>
                <w:sz w:val="21"/>
                <w:szCs w:val="21"/>
                <w:highlight w:val="none"/>
              </w:rPr>
              <w:t>；c)</w:t>
            </w:r>
            <w:r>
              <w:rPr>
                <w:color w:val="auto"/>
                <w:sz w:val="21"/>
                <w:szCs w:val="21"/>
                <w:highlight w:val="none"/>
              </w:rPr>
              <w:sym w:font="Wingdings" w:char="00A8"/>
            </w:r>
            <w:r>
              <w:rPr>
                <w:color w:val="auto"/>
                <w:sz w:val="21"/>
                <w:szCs w:val="21"/>
                <w:highlight w:val="none"/>
              </w:rPr>
              <w:t>不达标结论：a)</w:t>
            </w:r>
            <w:r>
              <w:rPr>
                <w:color w:val="auto"/>
                <w:sz w:val="21"/>
                <w:szCs w:val="21"/>
                <w:highlight w:val="none"/>
              </w:rPr>
              <w:sym w:font="Wingdings" w:char="00A8"/>
            </w:r>
            <w:r>
              <w:rPr>
                <w:color w:val="auto"/>
                <w:sz w:val="21"/>
                <w:szCs w:val="21"/>
                <w:highlight w:val="none"/>
              </w:rPr>
              <w:t>;b)</w:t>
            </w:r>
            <w:bookmarkEnd w:id="267"/>
            <w:bookmarkEnd w:id="268"/>
            <w:bookmarkEnd w:id="269"/>
            <w:bookmarkEnd w:id="270"/>
            <w:bookmarkEnd w:id="271"/>
            <w:bookmarkEnd w:id="272"/>
            <w:r>
              <w:rPr>
                <w:color w:val="auto"/>
                <w:sz w:val="21"/>
                <w:szCs w:val="21"/>
                <w:highlight w:val="none"/>
              </w:rPr>
              <w:sym w:font="Wingdings" w:char="00A8"/>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防治措施</w:t>
            </w: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防控措施</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土壤环境质量现状保障；源头控制；过程防控；其他</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跟踪监测</w:t>
            </w:r>
          </w:p>
        </w:tc>
        <w:tc>
          <w:tcPr>
            <w:tcW w:w="74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监测点位</w:t>
            </w:r>
          </w:p>
        </w:tc>
        <w:tc>
          <w:tcPr>
            <w:tcW w:w="11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监测指标</w:t>
            </w:r>
          </w:p>
        </w:tc>
        <w:tc>
          <w:tcPr>
            <w:tcW w:w="97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监测频次</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74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118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97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信息公开指标</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评价结论</w:t>
            </w:r>
          </w:p>
        </w:tc>
        <w:tc>
          <w:tcPr>
            <w:tcW w:w="2908"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项目选址内的土壤达标</w:t>
            </w:r>
          </w:p>
        </w:tc>
        <w:tc>
          <w:tcPr>
            <w:tcW w:w="8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sz w:val="21"/>
                <w:szCs w:val="21"/>
                <w:highlight w:val="none"/>
              </w:rPr>
              <w:t>注1：“</w:t>
            </w:r>
            <w:r>
              <w:rPr>
                <w:color w:val="auto"/>
                <w:sz w:val="21"/>
                <w:szCs w:val="21"/>
                <w:highlight w:val="none"/>
              </w:rPr>
              <w:sym w:font="Wingdings" w:char="00A8"/>
            </w:r>
            <w:r>
              <w:rPr>
                <w:color w:val="auto"/>
                <w:sz w:val="21"/>
                <w:szCs w:val="21"/>
                <w:highlight w:val="none"/>
              </w:rPr>
              <w:t>”为勾</w:t>
            </w:r>
            <w:r>
              <w:rPr>
                <w:rFonts w:hint="eastAsia"/>
                <w:color w:val="auto"/>
                <w:sz w:val="21"/>
                <w:szCs w:val="21"/>
                <w:highlight w:val="none"/>
              </w:rPr>
              <w:t>选项</w:t>
            </w:r>
            <w:r>
              <w:rPr>
                <w:color w:val="auto"/>
                <w:sz w:val="21"/>
                <w:szCs w:val="21"/>
                <w:highlight w:val="none"/>
              </w:rPr>
              <w:t>，可；“（）”为内容填写项；“备注”为其他补充内容。</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sz w:val="21"/>
                <w:szCs w:val="21"/>
                <w:highlight w:val="none"/>
              </w:rPr>
              <w:t>注2：需要分别开展土壤环境影响评价工作的，分别填写自查表。</w:t>
            </w:r>
          </w:p>
        </w:tc>
      </w:tr>
    </w:tbl>
    <w:p>
      <w:pPr>
        <w:pStyle w:val="5"/>
        <w:keepNext/>
        <w:keepLines/>
        <w:pageBreakBefore w:val="0"/>
        <w:widowControl/>
        <w:kinsoku/>
        <w:wordWrap/>
        <w:overflowPunct/>
        <w:topLinePunct w:val="0"/>
        <w:autoSpaceDE/>
        <w:autoSpaceDN/>
        <w:bidi w:val="0"/>
        <w:adjustRightInd w:val="0"/>
        <w:snapToGrid w:val="0"/>
        <w:spacing w:after="0" w:line="360" w:lineRule="auto"/>
        <w:ind w:left="0" w:firstLine="562" w:firstLineChars="200"/>
        <w:textAlignment w:val="auto"/>
        <w:rPr>
          <w:rFonts w:hint="default" w:ascii="Times New Roman" w:hAnsi="Times New Roman" w:eastAsia="宋体" w:cs="Times New Roman"/>
          <w:bCs w:val="0"/>
          <w:color w:val="auto"/>
          <w:kern w:val="0"/>
          <w:sz w:val="28"/>
          <w:szCs w:val="24"/>
          <w:highlight w:val="none"/>
        </w:rPr>
      </w:pPr>
      <w:bookmarkStart w:id="273" w:name="_Toc13362"/>
      <w:bookmarkStart w:id="274" w:name="_Toc6097"/>
      <w:bookmarkStart w:id="275" w:name="_Toc7775"/>
      <w:bookmarkStart w:id="276" w:name="_Toc14881"/>
      <w:bookmarkStart w:id="277" w:name="_Toc10427"/>
      <w:bookmarkStart w:id="278" w:name="_Toc7485"/>
      <w:bookmarkStart w:id="279" w:name="_Toc21459"/>
      <w:bookmarkStart w:id="280" w:name="_Toc12270"/>
      <w:bookmarkStart w:id="281" w:name="_Toc31844"/>
      <w:bookmarkStart w:id="282" w:name="_Toc27399"/>
      <w:bookmarkStart w:id="283" w:name="_Toc29"/>
      <w:bookmarkStart w:id="284" w:name="_Toc4572"/>
      <w:bookmarkStart w:id="285" w:name="_Toc8599"/>
      <w:bookmarkStart w:id="286" w:name="_Toc17872"/>
      <w:r>
        <w:rPr>
          <w:rFonts w:hint="default" w:ascii="Times New Roman" w:hAnsi="Times New Roman" w:cs="Times New Roman"/>
          <w:bCs w:val="0"/>
          <w:color w:val="auto"/>
          <w:kern w:val="0"/>
          <w:sz w:val="28"/>
          <w:szCs w:val="24"/>
          <w:highlight w:val="none"/>
          <w:lang w:val="en-US" w:eastAsia="zh-CN"/>
        </w:rPr>
        <w:t>5.7</w:t>
      </w:r>
      <w:r>
        <w:rPr>
          <w:rFonts w:hint="default" w:ascii="Times New Roman" w:hAnsi="Times New Roman" w:eastAsia="宋体" w:cs="Times New Roman"/>
          <w:bCs w:val="0"/>
          <w:color w:val="auto"/>
          <w:kern w:val="0"/>
          <w:sz w:val="28"/>
          <w:szCs w:val="24"/>
          <w:highlight w:val="none"/>
        </w:rPr>
        <w:t>生态环境影响评价</w:t>
      </w:r>
      <w:bookmarkEnd w:id="273"/>
      <w:bookmarkEnd w:id="274"/>
      <w:bookmarkEnd w:id="275"/>
      <w:bookmarkEnd w:id="276"/>
      <w:bookmarkEnd w:id="277"/>
      <w:bookmarkEnd w:id="278"/>
      <w:bookmarkEnd w:id="279"/>
      <w:bookmarkEnd w:id="280"/>
      <w:bookmarkEnd w:id="281"/>
      <w:bookmarkEnd w:id="282"/>
      <w:bookmarkEnd w:id="283"/>
      <w:bookmarkEnd w:id="284"/>
      <w:bookmarkEnd w:id="285"/>
    </w:p>
    <w:p>
      <w:pPr>
        <w:pStyle w:val="6"/>
        <w:pageBreakBefore w:val="0"/>
        <w:kinsoku/>
        <w:wordWrap/>
        <w:overflowPunct/>
        <w:topLinePunct w:val="0"/>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5.7.1</w:t>
      </w:r>
      <w:r>
        <w:rPr>
          <w:rFonts w:hint="default" w:ascii="Times New Roman" w:hAnsi="Times New Roman" w:cs="Times New Roman"/>
          <w:color w:val="auto"/>
          <w:highlight w:val="none"/>
        </w:rPr>
        <w:t>对自然资源的影响</w:t>
      </w:r>
    </w:p>
    <w:p>
      <w:pPr>
        <w:tabs>
          <w:tab w:val="left" w:pos="2202"/>
        </w:tabs>
        <w:adjustRightInd w:val="0"/>
        <w:snapToGrid w:val="0"/>
        <w:spacing w:line="360" w:lineRule="auto"/>
        <w:ind w:firstLine="464" w:firstLineChars="200"/>
        <w:rPr>
          <w:rFonts w:hint="eastAsia" w:hAnsi="宋体"/>
          <w:bCs/>
          <w:color w:val="auto"/>
          <w:spacing w:val="-4"/>
          <w:sz w:val="24"/>
          <w:highlight w:val="none"/>
        </w:rPr>
      </w:pPr>
      <w:r>
        <w:rPr>
          <w:rFonts w:hint="eastAsia" w:hAnsi="宋体"/>
          <w:bCs/>
          <w:color w:val="auto"/>
          <w:spacing w:val="-4"/>
          <w:sz w:val="24"/>
          <w:highlight w:val="none"/>
        </w:rPr>
        <w:t>本项目施工工程量较小，主要为锅炉房建设</w:t>
      </w:r>
      <w:r>
        <w:rPr>
          <w:rFonts w:hint="eastAsia" w:hAnsi="宋体"/>
          <w:bCs/>
          <w:color w:val="auto"/>
          <w:spacing w:val="-4"/>
          <w:sz w:val="24"/>
          <w:highlight w:val="none"/>
          <w:lang w:eastAsia="zh-CN"/>
        </w:rPr>
        <w:t>、</w:t>
      </w:r>
      <w:r>
        <w:rPr>
          <w:rFonts w:hint="eastAsia" w:hAnsi="宋体"/>
          <w:bCs/>
          <w:color w:val="auto"/>
          <w:spacing w:val="-4"/>
          <w:sz w:val="24"/>
          <w:highlight w:val="none"/>
        </w:rPr>
        <w:t>配套的烟气治理设施的建设</w:t>
      </w:r>
      <w:r>
        <w:rPr>
          <w:rFonts w:hint="eastAsia" w:hAnsi="宋体"/>
          <w:bCs/>
          <w:color w:val="auto"/>
          <w:spacing w:val="-4"/>
          <w:sz w:val="24"/>
          <w:highlight w:val="none"/>
          <w:lang w:eastAsia="zh-CN"/>
        </w:rPr>
        <w:t>以及配套的一级供热管网建设</w:t>
      </w:r>
      <w:r>
        <w:rPr>
          <w:rFonts w:hint="eastAsia" w:hAnsi="宋体"/>
          <w:bCs/>
          <w:color w:val="auto"/>
          <w:spacing w:val="-4"/>
          <w:sz w:val="24"/>
          <w:highlight w:val="none"/>
        </w:rPr>
        <w:t>，设备噪声将使原来栖息在工程区附近的各种野生动物受到惊吓而迁移至别处安身。但是项目区占地范围有限，且周围均为人口密集区域，基本无野生动物存在。</w:t>
      </w:r>
    </w:p>
    <w:p>
      <w:pPr>
        <w:spacing w:line="360" w:lineRule="auto"/>
        <w:ind w:firstLine="480" w:firstLineChars="200"/>
        <w:rPr>
          <w:rFonts w:hint="eastAsia" w:hAnsi="宋体"/>
          <w:bCs/>
          <w:color w:val="auto"/>
          <w:spacing w:val="-4"/>
          <w:sz w:val="24"/>
          <w:highlight w:val="none"/>
        </w:rPr>
      </w:pPr>
      <w:r>
        <w:rPr>
          <w:rFonts w:hint="eastAsia"/>
          <w:bCs/>
          <w:color w:val="auto"/>
          <w:sz w:val="24"/>
          <w:highlight w:val="none"/>
        </w:rPr>
        <w:t>本项目位于建成区，</w:t>
      </w:r>
      <w:r>
        <w:rPr>
          <w:rFonts w:hint="eastAsia" w:hAnsi="宋体"/>
          <w:color w:val="auto"/>
          <w:sz w:val="24"/>
          <w:highlight w:val="none"/>
        </w:rPr>
        <w:t>项目区原有的树种主要为灌木和草本植物。</w:t>
      </w:r>
      <w:r>
        <w:rPr>
          <w:rFonts w:hint="eastAsia" w:hAnsi="宋体"/>
          <w:bCs/>
          <w:color w:val="auto"/>
          <w:spacing w:val="-4"/>
          <w:sz w:val="24"/>
          <w:highlight w:val="none"/>
        </w:rPr>
        <w:t>项目投入运营后，将会加强项目区及其周围的绿化和植被工作，运营过程中不存在破坏植被的活动。因此，运营期不会对植物资源产生不利影响。</w:t>
      </w:r>
    </w:p>
    <w:p>
      <w:pPr>
        <w:spacing w:line="360" w:lineRule="auto"/>
        <w:ind w:firstLine="480" w:firstLineChars="200"/>
        <w:rPr>
          <w:rFonts w:hint="eastAsia" w:hAnsi="宋体"/>
          <w:bCs/>
          <w:snapToGrid w:val="0"/>
          <w:color w:val="auto"/>
          <w:kern w:val="0"/>
          <w:sz w:val="24"/>
          <w:highlight w:val="none"/>
        </w:rPr>
      </w:pPr>
      <w:r>
        <w:rPr>
          <w:rFonts w:hint="eastAsia" w:hAnsi="宋体"/>
          <w:bCs/>
          <w:snapToGrid w:val="0"/>
          <w:color w:val="auto"/>
          <w:kern w:val="0"/>
          <w:sz w:val="24"/>
          <w:highlight w:val="none"/>
        </w:rPr>
        <w:t>根据现场踏勘，项目建设对地表植被影响较小，较大的生态影响为对所在地土壤的影响。</w:t>
      </w:r>
    </w:p>
    <w:p>
      <w:pPr>
        <w:spacing w:line="360" w:lineRule="auto"/>
        <w:ind w:firstLine="480" w:firstLineChars="200"/>
        <w:rPr>
          <w:rFonts w:hAnsi="宋体"/>
          <w:bCs/>
          <w:snapToGrid w:val="0"/>
          <w:color w:val="auto"/>
          <w:kern w:val="0"/>
          <w:sz w:val="24"/>
          <w:highlight w:val="none"/>
        </w:rPr>
      </w:pPr>
      <w:r>
        <w:rPr>
          <w:rFonts w:hint="eastAsia" w:hAnsi="宋体"/>
          <w:bCs/>
          <w:snapToGrid w:val="0"/>
          <w:color w:val="auto"/>
          <w:kern w:val="0"/>
          <w:sz w:val="24"/>
          <w:highlight w:val="none"/>
        </w:rPr>
        <w:t>本项目对土壤的影响主要体现在项目占地、固体废物堆存占地、物料渗漏对土壤的物理、化学性质破坏。污染主要集中在</w:t>
      </w:r>
      <w:r>
        <w:rPr>
          <w:bCs/>
          <w:snapToGrid w:val="0"/>
          <w:color w:val="auto"/>
          <w:kern w:val="0"/>
          <w:sz w:val="24"/>
          <w:highlight w:val="none"/>
        </w:rPr>
        <w:t>20cm</w:t>
      </w:r>
      <w:r>
        <w:rPr>
          <w:rFonts w:hint="eastAsia" w:hAnsi="宋体"/>
          <w:bCs/>
          <w:snapToGrid w:val="0"/>
          <w:color w:val="auto"/>
          <w:kern w:val="0"/>
          <w:sz w:val="24"/>
          <w:highlight w:val="none"/>
        </w:rPr>
        <w:t>左右的表层。破坏土壤，影响土壤的通透性，改变土壤有机质的组成和结果，降低土壤质量。</w:t>
      </w:r>
    </w:p>
    <w:p>
      <w:pPr>
        <w:spacing w:line="360" w:lineRule="auto"/>
        <w:ind w:firstLine="480" w:firstLineChars="200"/>
        <w:rPr>
          <w:bCs/>
          <w:snapToGrid w:val="0"/>
          <w:color w:val="auto"/>
          <w:kern w:val="0"/>
          <w:sz w:val="24"/>
          <w:highlight w:val="none"/>
        </w:rPr>
      </w:pPr>
      <w:r>
        <w:rPr>
          <w:rFonts w:hint="eastAsia" w:hAnsi="宋体"/>
          <w:bCs/>
          <w:snapToGrid w:val="0"/>
          <w:color w:val="auto"/>
          <w:kern w:val="0"/>
          <w:sz w:val="24"/>
          <w:highlight w:val="none"/>
        </w:rPr>
        <w:t>本项目运营产生的固体废物均经过妥善、合理处置，不会污染区域的土壤环境。</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5.7.2</w:t>
      </w:r>
      <w:r>
        <w:rPr>
          <w:rFonts w:hint="default" w:ascii="Times New Roman" w:hAnsi="Times New Roman" w:cs="Times New Roman"/>
          <w:color w:val="auto"/>
          <w:highlight w:val="none"/>
        </w:rPr>
        <w:t xml:space="preserve">对景观的影响 </w:t>
      </w:r>
    </w:p>
    <w:p>
      <w:pPr>
        <w:tabs>
          <w:tab w:val="left" w:pos="2202"/>
        </w:tabs>
        <w:adjustRightInd w:val="0"/>
        <w:snapToGrid w:val="0"/>
        <w:spacing w:line="360" w:lineRule="auto"/>
        <w:ind w:firstLine="464" w:firstLineChars="200"/>
        <w:rPr>
          <w:rFonts w:hint="eastAsia" w:hAnsi="宋体"/>
          <w:bCs/>
          <w:color w:val="auto"/>
          <w:spacing w:val="-4"/>
          <w:sz w:val="24"/>
          <w:highlight w:val="none"/>
        </w:rPr>
      </w:pPr>
      <w:r>
        <w:rPr>
          <w:rFonts w:hint="eastAsia" w:hAnsi="宋体"/>
          <w:bCs/>
          <w:color w:val="auto"/>
          <w:spacing w:val="-4"/>
          <w:sz w:val="24"/>
          <w:highlight w:val="none"/>
        </w:rPr>
        <w:t xml:space="preserve">拟建项目建设会对区域内城市景观产生一定的影响。建筑施工场地不良景观。 </w:t>
      </w:r>
    </w:p>
    <w:p>
      <w:pPr>
        <w:tabs>
          <w:tab w:val="left" w:pos="2202"/>
        </w:tabs>
        <w:adjustRightInd w:val="0"/>
        <w:snapToGrid w:val="0"/>
        <w:spacing w:line="360" w:lineRule="auto"/>
        <w:ind w:firstLine="464" w:firstLineChars="200"/>
        <w:rPr>
          <w:rFonts w:hint="eastAsia" w:hAnsi="宋体"/>
          <w:bCs/>
          <w:color w:val="auto"/>
          <w:spacing w:val="-4"/>
          <w:sz w:val="24"/>
          <w:highlight w:val="none"/>
        </w:rPr>
      </w:pPr>
      <w:r>
        <w:rPr>
          <w:rFonts w:hint="eastAsia" w:hAnsi="宋体"/>
          <w:bCs/>
          <w:color w:val="auto"/>
          <w:spacing w:val="-4"/>
          <w:sz w:val="24"/>
          <w:highlight w:val="none"/>
        </w:rPr>
        <w:t xml:space="preserve">随着与项目建设同步实施的一系列生态保护与恢复措施，改善了项目所在地及周边地区的生态环境，防止了项目建设对周边环境的污染与破坏，并改善了当地土壤侵蚀状况，产生新的景观类型，使项目所在区域生态景观多样化，促进该地区景观生态系统向良性方向发展。 </w:t>
      </w:r>
    </w:p>
    <w:p>
      <w:pPr>
        <w:tabs>
          <w:tab w:val="left" w:pos="2202"/>
        </w:tabs>
        <w:adjustRightInd w:val="0"/>
        <w:snapToGrid w:val="0"/>
        <w:spacing w:line="360" w:lineRule="auto"/>
        <w:ind w:firstLine="464" w:firstLineChars="200"/>
        <w:rPr>
          <w:rFonts w:hint="eastAsia" w:hAnsi="宋体"/>
          <w:bCs/>
          <w:color w:val="auto"/>
          <w:spacing w:val="-4"/>
          <w:sz w:val="24"/>
          <w:highlight w:val="none"/>
        </w:rPr>
      </w:pPr>
      <w:r>
        <w:rPr>
          <w:rFonts w:hint="eastAsia" w:hAnsi="宋体"/>
          <w:bCs/>
          <w:color w:val="auto"/>
          <w:spacing w:val="-4"/>
          <w:sz w:val="24"/>
          <w:highlight w:val="none"/>
        </w:rPr>
        <w:t xml:space="preserve">本项目运营期间除向大气环境直接排放废气外，产生的各项固体废物均得到了合理的处理处置。因此，本项目对生态环境可能构成的影响主要为废气污染物，经采取集气及处理措施后，其排放浓度能达到相应标准要求，对大气环境影响不大。 </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5.7.3</w:t>
      </w:r>
      <w:r>
        <w:rPr>
          <w:rFonts w:hint="default" w:ascii="Times New Roman" w:hAnsi="Times New Roman" w:cs="Times New Roman"/>
          <w:color w:val="auto"/>
          <w:highlight w:val="none"/>
        </w:rPr>
        <w:t xml:space="preserve">生态环境影响小结 </w:t>
      </w:r>
    </w:p>
    <w:p>
      <w:pPr>
        <w:tabs>
          <w:tab w:val="left" w:pos="2202"/>
        </w:tabs>
        <w:adjustRightInd w:val="0"/>
        <w:snapToGrid w:val="0"/>
        <w:spacing w:line="360" w:lineRule="auto"/>
        <w:ind w:firstLine="464" w:firstLineChars="200"/>
        <w:rPr>
          <w:color w:val="auto"/>
          <w:highlight w:val="none"/>
        </w:rPr>
      </w:pPr>
      <w:r>
        <w:rPr>
          <w:rFonts w:hint="eastAsia" w:hAnsi="宋体"/>
          <w:bCs/>
          <w:color w:val="auto"/>
          <w:spacing w:val="-4"/>
          <w:sz w:val="24"/>
          <w:highlight w:val="none"/>
        </w:rPr>
        <w:t>根据以上分析，项目建设对区域生态环境影响评价结论如下：项目区为建成区，基本无自然植被分布，因此，项目建设</w:t>
      </w:r>
      <w:r>
        <w:rPr>
          <w:rFonts w:hint="eastAsia" w:hAnsi="宋体"/>
          <w:bCs/>
          <w:color w:val="auto"/>
          <w:spacing w:val="-4"/>
          <w:sz w:val="24"/>
          <w:highlight w:val="none"/>
          <w:lang w:eastAsia="zh-CN"/>
        </w:rPr>
        <w:t>不会</w:t>
      </w:r>
      <w:r>
        <w:rPr>
          <w:rFonts w:hint="eastAsia" w:hAnsi="宋体"/>
          <w:bCs/>
          <w:color w:val="auto"/>
          <w:spacing w:val="-4"/>
          <w:sz w:val="24"/>
          <w:highlight w:val="none"/>
        </w:rPr>
        <w:t>使原有植被遭到破坏，不会使评价区植物群落的种类组成发生变化，也不会造成某种植物的消失。项目投入运营后，将加强项目区及其周围的绿化和植被的恢复及补偿工作，项目在运营过程中不存在破坏植被的活动，运营期不会对植物资源产生不利影响；评价区现基本无野生动物，仅有极为少量的鸟类、啮齿类及昆虫等。通过加强施工人员的宣传教育和管理，可减少在建设</w:t>
      </w:r>
      <w:r>
        <w:rPr>
          <w:rFonts w:hint="eastAsia" w:ascii="宋体" w:hAnsi="宋体" w:cs="宋体"/>
          <w:color w:val="auto"/>
          <w:kern w:val="0"/>
          <w:sz w:val="24"/>
          <w:szCs w:val="24"/>
          <w:highlight w:val="none"/>
          <w:lang w:bidi="ar"/>
        </w:rPr>
        <w:t>初期对野生动物的影响，对生态环境的影响有限。</w:t>
      </w:r>
    </w:p>
    <w:p>
      <w:pPr>
        <w:pStyle w:val="5"/>
        <w:spacing w:before="0" w:after="0" w:line="360" w:lineRule="auto"/>
        <w:rPr>
          <w:rFonts w:ascii="Times New Roman" w:hAnsi="Times New Roman" w:eastAsia="宋体"/>
          <w:bCs w:val="0"/>
          <w:color w:val="auto"/>
          <w:kern w:val="0"/>
          <w:sz w:val="28"/>
          <w:szCs w:val="24"/>
          <w:highlight w:val="none"/>
        </w:rPr>
      </w:pPr>
      <w:bookmarkStart w:id="287" w:name="_Toc12818"/>
      <w:bookmarkStart w:id="288" w:name="_Toc975"/>
      <w:bookmarkStart w:id="289" w:name="_Toc20022"/>
      <w:bookmarkStart w:id="290" w:name="_Toc4769"/>
      <w:bookmarkStart w:id="291" w:name="_Toc7354"/>
      <w:bookmarkStart w:id="292" w:name="_Toc28270"/>
      <w:bookmarkStart w:id="293" w:name="_Toc18488"/>
      <w:bookmarkStart w:id="294" w:name="_Toc80"/>
      <w:bookmarkStart w:id="295" w:name="_Toc28822"/>
      <w:bookmarkStart w:id="296" w:name="_Toc21760"/>
      <w:bookmarkStart w:id="297" w:name="_Toc9233"/>
      <w:bookmarkStart w:id="298" w:name="_Toc23091"/>
      <w:bookmarkStart w:id="299" w:name="_Toc28696"/>
      <w:r>
        <w:rPr>
          <w:rFonts w:hint="eastAsia"/>
          <w:bCs w:val="0"/>
          <w:color w:val="auto"/>
          <w:kern w:val="0"/>
          <w:sz w:val="28"/>
          <w:szCs w:val="24"/>
          <w:highlight w:val="none"/>
          <w:lang w:val="en-US" w:eastAsia="zh-CN"/>
        </w:rPr>
        <w:t>5.8</w:t>
      </w:r>
      <w:r>
        <w:rPr>
          <w:rFonts w:ascii="Times New Roman" w:hAnsi="Times New Roman" w:eastAsia="宋体"/>
          <w:bCs w:val="0"/>
          <w:color w:val="auto"/>
          <w:kern w:val="0"/>
          <w:sz w:val="28"/>
          <w:szCs w:val="24"/>
          <w:highlight w:val="none"/>
        </w:rPr>
        <w:t>环境风险评价</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pacing w:line="360" w:lineRule="auto"/>
        <w:ind w:firstLine="480" w:firstLineChars="200"/>
        <w:rPr>
          <w:color w:val="auto"/>
          <w:kern w:val="0"/>
          <w:sz w:val="24"/>
          <w:szCs w:val="24"/>
          <w:highlight w:val="none"/>
        </w:rPr>
      </w:pPr>
      <w:r>
        <w:rPr>
          <w:rFonts w:hint="eastAsia"/>
          <w:color w:val="auto"/>
          <w:kern w:val="0"/>
          <w:sz w:val="24"/>
          <w:szCs w:val="24"/>
          <w:highlight w:val="none"/>
        </w:rPr>
        <w:t>环境风险评价的目的是分析和预测建设项目存在的潜在危险、有害因素，建设项目建设和运行期间可能产生的突发性事件或事故（一般不包括人为破坏及自然灾害），引起有毒有害和</w:t>
      </w:r>
      <w:r>
        <w:rPr>
          <w:rFonts w:hint="eastAsia"/>
          <w:color w:val="auto"/>
          <w:kern w:val="0"/>
          <w:sz w:val="24"/>
          <w:szCs w:val="24"/>
          <w:highlight w:val="none"/>
          <w:lang w:eastAsia="zh-CN"/>
        </w:rPr>
        <w:t>易燃易爆等</w:t>
      </w:r>
      <w:r>
        <w:rPr>
          <w:rFonts w:hint="eastAsia"/>
          <w:color w:val="auto"/>
          <w:kern w:val="0"/>
          <w:sz w:val="24"/>
          <w:szCs w:val="24"/>
          <w:highlight w:val="none"/>
        </w:rPr>
        <w:t>物质泄漏，所造成的人身安全与环境影响和损害程度，提出合理可行的防范</w:t>
      </w:r>
      <w:r>
        <w:rPr>
          <w:rFonts w:hint="eastAsia"/>
          <w:color w:val="auto"/>
          <w:kern w:val="0"/>
          <w:sz w:val="24"/>
          <w:szCs w:val="24"/>
          <w:highlight w:val="none"/>
          <w:lang w:eastAsia="zh-CN"/>
        </w:rPr>
        <w:t>与</w:t>
      </w:r>
      <w:r>
        <w:rPr>
          <w:rFonts w:hint="eastAsia"/>
          <w:color w:val="auto"/>
          <w:kern w:val="0"/>
          <w:sz w:val="24"/>
          <w:szCs w:val="24"/>
          <w:highlight w:val="none"/>
        </w:rPr>
        <w:t>应急减缓措施，以使建设项目的事故率、损失和环境影响降低到可接受水平。</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5.8.1</w:t>
      </w:r>
      <w:r>
        <w:rPr>
          <w:rFonts w:hint="default" w:ascii="Times New Roman" w:hAnsi="Times New Roman" w:cs="Times New Roman"/>
          <w:color w:val="auto"/>
          <w:highlight w:val="none"/>
        </w:rPr>
        <w:t>环境风险评价原则</w:t>
      </w:r>
    </w:p>
    <w:p>
      <w:pPr>
        <w:pStyle w:val="74"/>
        <w:ind w:firstLine="480"/>
        <w:rPr>
          <w:color w:val="auto"/>
          <w:kern w:val="0"/>
          <w:szCs w:val="24"/>
          <w:highlight w:val="none"/>
        </w:rPr>
      </w:pPr>
      <w:r>
        <w:rPr>
          <w:color w:val="auto"/>
          <w:kern w:val="0"/>
          <w:szCs w:val="24"/>
          <w:highlight w:val="none"/>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5.8.2</w:t>
      </w:r>
      <w:r>
        <w:rPr>
          <w:rFonts w:hint="default" w:ascii="Times New Roman" w:hAnsi="Times New Roman" w:cs="Times New Roman"/>
          <w:color w:val="auto"/>
          <w:highlight w:val="none"/>
        </w:rPr>
        <w:t>评价工作程序</w:t>
      </w:r>
    </w:p>
    <w:p>
      <w:pPr>
        <w:pStyle w:val="74"/>
        <w:ind w:firstLine="480"/>
        <w:rPr>
          <w:color w:val="auto"/>
          <w:kern w:val="0"/>
          <w:szCs w:val="24"/>
          <w:highlight w:val="none"/>
        </w:rPr>
      </w:pPr>
      <w:r>
        <w:rPr>
          <w:rFonts w:hint="eastAsia"/>
          <w:color w:val="auto"/>
          <w:kern w:val="0"/>
          <w:szCs w:val="24"/>
          <w:highlight w:val="none"/>
        </w:rPr>
        <w:t>环境风险评价工作程序见图5.</w:t>
      </w:r>
      <w:r>
        <w:rPr>
          <w:rFonts w:hint="eastAsia"/>
          <w:color w:val="auto"/>
          <w:kern w:val="0"/>
          <w:szCs w:val="24"/>
          <w:highlight w:val="none"/>
          <w:lang w:val="en-US" w:eastAsia="zh-CN"/>
        </w:rPr>
        <w:t>8</w:t>
      </w:r>
      <w:r>
        <w:rPr>
          <w:rFonts w:hint="eastAsia"/>
          <w:color w:val="auto"/>
          <w:kern w:val="0"/>
          <w:szCs w:val="24"/>
          <w:highlight w:val="none"/>
        </w:rPr>
        <w:t>-1。</w:t>
      </w:r>
    </w:p>
    <w:p>
      <w:pPr>
        <w:pStyle w:val="74"/>
        <w:ind w:left="0" w:leftChars="0" w:firstLine="0" w:firstLineChars="0"/>
        <w:jc w:val="center"/>
        <w:rPr>
          <w:rFonts w:eastAsia="华文中宋"/>
          <w:b/>
          <w:color w:val="auto"/>
          <w:kern w:val="24"/>
          <w:szCs w:val="24"/>
          <w:highlight w:val="none"/>
        </w:rPr>
      </w:pPr>
      <w:r>
        <w:rPr>
          <w:color w:val="auto"/>
          <w:highlight w:val="none"/>
        </w:rPr>
        <w:drawing>
          <wp:inline distT="0" distB="0" distL="114300" distR="114300">
            <wp:extent cx="5273040" cy="5264150"/>
            <wp:effectExtent l="0" t="0" r="3810" b="1270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69"/>
                    <a:stretch>
                      <a:fillRect/>
                    </a:stretch>
                  </pic:blipFill>
                  <pic:spPr>
                    <a:xfrm>
                      <a:off x="0" y="0"/>
                      <a:ext cx="5273040" cy="5264150"/>
                    </a:xfrm>
                    <a:prstGeom prst="rect">
                      <a:avLst/>
                    </a:prstGeom>
                    <a:noFill/>
                    <a:ln>
                      <a:noFill/>
                    </a:ln>
                  </pic:spPr>
                </pic:pic>
              </a:graphicData>
            </a:graphic>
          </wp:inline>
        </w:drawing>
      </w:r>
      <w:r>
        <w:rPr>
          <w:rFonts w:hAnsi="华文中宋" w:eastAsia="华文中宋"/>
          <w:b/>
          <w:color w:val="auto"/>
          <w:kern w:val="24"/>
          <w:sz w:val="21"/>
          <w:szCs w:val="21"/>
          <w:highlight w:val="none"/>
        </w:rPr>
        <w:t>图</w:t>
      </w:r>
      <w:r>
        <w:rPr>
          <w:rFonts w:hint="eastAsia" w:hAnsi="华文中宋" w:eastAsia="华文中宋"/>
          <w:b/>
          <w:color w:val="auto"/>
          <w:kern w:val="24"/>
          <w:sz w:val="21"/>
          <w:szCs w:val="21"/>
          <w:highlight w:val="none"/>
        </w:rPr>
        <w:t>5.</w:t>
      </w:r>
      <w:r>
        <w:rPr>
          <w:rFonts w:hint="eastAsia" w:hAnsi="华文中宋" w:eastAsia="华文中宋"/>
          <w:b/>
          <w:color w:val="auto"/>
          <w:kern w:val="24"/>
          <w:sz w:val="21"/>
          <w:szCs w:val="21"/>
          <w:highlight w:val="none"/>
          <w:lang w:val="en-US" w:eastAsia="zh-CN"/>
        </w:rPr>
        <w:t>8</w:t>
      </w:r>
      <w:r>
        <w:rPr>
          <w:rFonts w:eastAsia="华文中宋"/>
          <w:b/>
          <w:color w:val="auto"/>
          <w:kern w:val="24"/>
          <w:sz w:val="21"/>
          <w:szCs w:val="21"/>
          <w:highlight w:val="none"/>
        </w:rPr>
        <w:t xml:space="preserve">-1  </w:t>
      </w:r>
      <w:r>
        <w:rPr>
          <w:rFonts w:hint="eastAsia" w:eastAsia="华文中宋"/>
          <w:b/>
          <w:color w:val="auto"/>
          <w:kern w:val="24"/>
          <w:sz w:val="21"/>
          <w:szCs w:val="21"/>
          <w:highlight w:val="none"/>
        </w:rPr>
        <w:t xml:space="preserve">  </w:t>
      </w:r>
      <w:r>
        <w:rPr>
          <w:rFonts w:hAnsi="华文中宋" w:eastAsia="华文中宋"/>
          <w:b/>
          <w:color w:val="auto"/>
          <w:kern w:val="24"/>
          <w:sz w:val="21"/>
          <w:szCs w:val="21"/>
          <w:highlight w:val="none"/>
        </w:rPr>
        <w:t>评价工作程序</w:t>
      </w:r>
      <w:r>
        <w:rPr>
          <w:rFonts w:hint="eastAsia" w:hAnsi="华文中宋" w:eastAsia="华文中宋"/>
          <w:b/>
          <w:color w:val="auto"/>
          <w:kern w:val="24"/>
          <w:sz w:val="21"/>
          <w:szCs w:val="21"/>
          <w:highlight w:val="none"/>
        </w:rPr>
        <w:t>图</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jc w:val="both"/>
        <w:textAlignment w:val="auto"/>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lang w:val="en-US" w:eastAsia="zh-CN"/>
        </w:rPr>
        <w:t>5.8.3</w:t>
      </w:r>
      <w:r>
        <w:rPr>
          <w:rFonts w:hint="default" w:ascii="Times New Roman" w:hAnsi="Times New Roman" w:cs="Times New Roman"/>
          <w:color w:val="auto"/>
          <w:highlight w:val="none"/>
          <w:lang w:val="de-DE"/>
        </w:rPr>
        <w:t>环境风险潜势初判</w:t>
      </w:r>
    </w:p>
    <w:p>
      <w:pPr>
        <w:pStyle w:val="7"/>
        <w:keepNext w:val="0"/>
        <w:keepLines w:val="0"/>
        <w:pageBreakBefore w:val="0"/>
        <w:widowControl w:val="0"/>
        <w:kinsoku/>
        <w:wordWrap/>
        <w:overflowPunct/>
        <w:topLinePunct w:val="0"/>
        <w:autoSpaceDE w:val="0"/>
        <w:autoSpaceDN w:val="0"/>
        <w:bidi w:val="0"/>
        <w:adjustRightInd w:val="0"/>
        <w:snapToGrid w:val="0"/>
        <w:ind w:left="0" w:firstLine="482" w:firstLineChars="200"/>
        <w:jc w:val="both"/>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5.8.3.1</w:t>
      </w:r>
      <w:r>
        <w:rPr>
          <w:rFonts w:hint="default" w:ascii="Times New Roman" w:hAnsi="Times New Roman" w:cs="Times New Roman"/>
          <w:color w:val="auto"/>
          <w:highlight w:val="none"/>
          <w:lang w:val="zh-CN"/>
        </w:rPr>
        <w:t>环境风险潜势划分</w:t>
      </w:r>
    </w:p>
    <w:p>
      <w:pPr>
        <w:bidi w:val="0"/>
        <w:rPr>
          <w:color w:val="auto"/>
          <w:highlight w:val="none"/>
          <w:lang w:val="zh-CN"/>
        </w:rPr>
      </w:pPr>
      <w:r>
        <w:rPr>
          <w:color w:val="auto"/>
          <w:highlight w:val="none"/>
          <w:lang w:val="zh-CN"/>
        </w:rPr>
        <w:t>根据《建设项目环境风险评价技术导则》（HJ169-2018）建设项目环境风险潜势划分为Ⅰ、Ⅱ、Ⅲ、Ⅳ及Ⅳ+级。</w:t>
      </w:r>
    </w:p>
    <w:p>
      <w:pPr>
        <w:spacing w:line="360" w:lineRule="auto"/>
        <w:ind w:firstLine="480" w:firstLineChars="200"/>
        <w:rPr>
          <w:color w:val="auto"/>
          <w:kern w:val="0"/>
          <w:sz w:val="24"/>
          <w:highlight w:val="none"/>
          <w:lang w:val="zh-CN"/>
        </w:rPr>
      </w:pPr>
      <w:r>
        <w:rPr>
          <w:color w:val="auto"/>
          <w:kern w:val="0"/>
          <w:sz w:val="24"/>
          <w:highlight w:val="none"/>
          <w:lang w:val="zh-CN"/>
        </w:rPr>
        <w:t>根据建设项目涉及的物质和工艺系统的危险性及其所在地的环境敏感程度，结合事故环境影响途径，对建设项目潜在环境危害程度进行概化分析，进而确定环境风险潜势，确定依据见表</w:t>
      </w:r>
      <w:r>
        <w:rPr>
          <w:rFonts w:hint="eastAsia"/>
          <w:color w:val="auto"/>
          <w:kern w:val="0"/>
          <w:sz w:val="24"/>
          <w:highlight w:val="none"/>
        </w:rPr>
        <w:t>5.8</w:t>
      </w:r>
      <w:r>
        <w:rPr>
          <w:color w:val="auto"/>
          <w:kern w:val="0"/>
          <w:sz w:val="24"/>
          <w:highlight w:val="none"/>
          <w:lang w:val="zh-CN"/>
        </w:rPr>
        <w:t>-1。</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b/>
          <w:snapToGrid w:val="0"/>
          <w:color w:val="auto"/>
          <w:kern w:val="0"/>
          <w:szCs w:val="21"/>
          <w:highlight w:val="none"/>
        </w:rPr>
      </w:pPr>
      <w:r>
        <w:rPr>
          <w:b/>
          <w:snapToGrid w:val="0"/>
          <w:color w:val="auto"/>
          <w:kern w:val="0"/>
          <w:sz w:val="21"/>
          <w:szCs w:val="18"/>
          <w:highlight w:val="none"/>
        </w:rPr>
        <w:t>表</w:t>
      </w:r>
      <w:r>
        <w:rPr>
          <w:rFonts w:hint="eastAsia"/>
          <w:b/>
          <w:snapToGrid w:val="0"/>
          <w:color w:val="auto"/>
          <w:kern w:val="0"/>
          <w:sz w:val="21"/>
          <w:szCs w:val="18"/>
          <w:highlight w:val="none"/>
        </w:rPr>
        <w:t>5.8</w:t>
      </w:r>
      <w:r>
        <w:rPr>
          <w:b/>
          <w:snapToGrid w:val="0"/>
          <w:color w:val="auto"/>
          <w:kern w:val="0"/>
          <w:sz w:val="21"/>
          <w:szCs w:val="18"/>
          <w:highlight w:val="none"/>
        </w:rPr>
        <w:t>-1      项目环境风险潜势划分依据一览表</w:t>
      </w:r>
    </w:p>
    <w:tbl>
      <w:tblPr>
        <w:tblStyle w:val="31"/>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21"/>
        <w:gridCol w:w="1720"/>
        <w:gridCol w:w="1720"/>
        <w:gridCol w:w="1722"/>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17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环境敏感程度</w:t>
            </w:r>
          </w:p>
        </w:tc>
        <w:tc>
          <w:tcPr>
            <w:tcW w:w="687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1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极高危害（P1）</w:t>
            </w:r>
          </w:p>
        </w:tc>
        <w:tc>
          <w:tcPr>
            <w:tcW w:w="1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高度危害（P2）</w:t>
            </w:r>
          </w:p>
        </w:tc>
        <w:tc>
          <w:tcPr>
            <w:tcW w:w="1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中度危害（P3）</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1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环境高敏感度区</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（E1）</w:t>
            </w:r>
          </w:p>
        </w:tc>
        <w:tc>
          <w:tcPr>
            <w:tcW w:w="1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IV+</w:t>
            </w:r>
          </w:p>
        </w:tc>
        <w:tc>
          <w:tcPr>
            <w:tcW w:w="1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IV</w:t>
            </w:r>
          </w:p>
        </w:tc>
        <w:tc>
          <w:tcPr>
            <w:tcW w:w="1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Ⅲ</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1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环境中敏感度区</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（E2）</w:t>
            </w:r>
          </w:p>
        </w:tc>
        <w:tc>
          <w:tcPr>
            <w:tcW w:w="1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IV</w:t>
            </w:r>
          </w:p>
        </w:tc>
        <w:tc>
          <w:tcPr>
            <w:tcW w:w="1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Ⅲ</w:t>
            </w:r>
          </w:p>
        </w:tc>
        <w:tc>
          <w:tcPr>
            <w:tcW w:w="1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Ⅲ</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7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环境低敏感度区</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（E3）</w:t>
            </w:r>
          </w:p>
        </w:tc>
        <w:tc>
          <w:tcPr>
            <w:tcW w:w="1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Ⅲ</w:t>
            </w:r>
          </w:p>
        </w:tc>
        <w:tc>
          <w:tcPr>
            <w:tcW w:w="1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Ⅲ</w:t>
            </w:r>
          </w:p>
        </w:tc>
        <w:tc>
          <w:tcPr>
            <w:tcW w:w="17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Ⅱ</w:t>
            </w:r>
          </w:p>
        </w:tc>
        <w:tc>
          <w:tcPr>
            <w:tcW w:w="17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Ⅰ</w:t>
            </w:r>
          </w:p>
        </w:tc>
      </w:tr>
    </w:tbl>
    <w:p>
      <w:pPr>
        <w:rPr>
          <w:color w:val="auto"/>
          <w:highlight w:val="none"/>
        </w:rPr>
      </w:pPr>
      <w:r>
        <w:rPr>
          <w:color w:val="auto"/>
          <w:highlight w:val="none"/>
        </w:rPr>
        <w:t>注：Ⅳ+为极高环境风险。</w:t>
      </w:r>
    </w:p>
    <w:p>
      <w:pPr>
        <w:adjustRightInd w:val="0"/>
        <w:snapToGrid w:val="0"/>
        <w:spacing w:line="360" w:lineRule="auto"/>
        <w:ind w:firstLine="480" w:firstLineChars="200"/>
        <w:rPr>
          <w:color w:val="auto"/>
          <w:kern w:val="0"/>
          <w:sz w:val="24"/>
          <w:highlight w:val="none"/>
          <w:lang w:val="zh-CN"/>
        </w:rPr>
      </w:pPr>
      <w:r>
        <w:rPr>
          <w:color w:val="auto"/>
          <w:kern w:val="0"/>
          <w:sz w:val="24"/>
          <w:highlight w:val="none"/>
          <w:lang w:val="zh-CN"/>
        </w:rPr>
        <w:t>通过工程分析可知，本项目无重大危险源辨识物质。</w:t>
      </w:r>
    </w:p>
    <w:p>
      <w:pPr>
        <w:pStyle w:val="7"/>
        <w:bidi w:val="0"/>
        <w:jc w:val="both"/>
        <w:rPr>
          <w:color w:val="auto"/>
          <w:highlight w:val="none"/>
          <w:lang w:val="zh-CN"/>
        </w:rPr>
      </w:pPr>
      <w:r>
        <w:rPr>
          <w:rFonts w:hint="eastAsia"/>
          <w:color w:val="auto"/>
          <w:highlight w:val="none"/>
          <w:lang w:val="en-US" w:eastAsia="zh-CN"/>
        </w:rPr>
        <w:t>5.8.3.2</w:t>
      </w:r>
      <w:r>
        <w:rPr>
          <w:color w:val="auto"/>
          <w:highlight w:val="none"/>
          <w:lang w:val="zh-CN"/>
        </w:rPr>
        <w:t>Q值的确定</w:t>
      </w:r>
    </w:p>
    <w:p>
      <w:pPr>
        <w:spacing w:line="360" w:lineRule="auto"/>
        <w:ind w:firstLine="480" w:firstLineChars="200"/>
        <w:rPr>
          <w:color w:val="auto"/>
          <w:kern w:val="0"/>
          <w:sz w:val="24"/>
          <w:highlight w:val="none"/>
          <w:lang w:val="zh-CN"/>
        </w:rPr>
      </w:pPr>
      <w:r>
        <w:rPr>
          <w:color w:val="auto"/>
          <w:kern w:val="0"/>
          <w:sz w:val="24"/>
          <w:highlight w:val="none"/>
          <w:lang w:val="zh-CN"/>
        </w:rPr>
        <w:t>根据《建设项目环境风险评价技术导则》（HJ169-2018）附录C的规定：</w:t>
      </w:r>
    </w:p>
    <w:p>
      <w:pPr>
        <w:spacing w:line="360" w:lineRule="auto"/>
        <w:ind w:firstLine="480" w:firstLineChars="200"/>
        <w:rPr>
          <w:color w:val="auto"/>
          <w:kern w:val="0"/>
          <w:sz w:val="24"/>
          <w:highlight w:val="none"/>
          <w:lang w:val="zh-CN"/>
        </w:rPr>
      </w:pPr>
      <w:r>
        <w:rPr>
          <w:color w:val="auto"/>
          <w:kern w:val="0"/>
          <w:sz w:val="24"/>
          <w:highlight w:val="none"/>
          <w:lang w:val="zh-CN"/>
        </w:rPr>
        <w:t>（1）当厂界内只涉及一种危险物质时，计算该物质的总量与其临界量比值，即为Q；</w:t>
      </w:r>
    </w:p>
    <w:p>
      <w:pPr>
        <w:spacing w:line="360" w:lineRule="auto"/>
        <w:ind w:firstLine="480" w:firstLineChars="200"/>
        <w:rPr>
          <w:color w:val="auto"/>
          <w:kern w:val="0"/>
          <w:sz w:val="24"/>
          <w:highlight w:val="none"/>
          <w:lang w:val="zh-CN"/>
        </w:rPr>
      </w:pPr>
      <w:r>
        <w:rPr>
          <w:color w:val="auto"/>
          <w:kern w:val="0"/>
          <w:sz w:val="24"/>
          <w:highlight w:val="none"/>
          <w:lang w:val="zh-CN"/>
        </w:rPr>
        <w:t>（2）当厂界内存在多种危险物质时，则按式（C.1）计算物质总量与其临界量比值（Q）：</w:t>
      </w:r>
    </w:p>
    <w:p>
      <w:pPr>
        <w:spacing w:line="360" w:lineRule="auto"/>
        <w:ind w:firstLine="480" w:firstLineChars="200"/>
        <w:jc w:val="center"/>
        <w:rPr>
          <w:color w:val="auto"/>
          <w:kern w:val="0"/>
          <w:sz w:val="24"/>
          <w:highlight w:val="none"/>
          <w:lang w:val="zh-CN"/>
        </w:rPr>
      </w:pPr>
      <w:r>
        <w:rPr>
          <w:rFonts w:hint="eastAsia"/>
          <w:color w:val="auto"/>
          <w:highlight w:val="none"/>
        </w:rPr>
        <w:drawing>
          <wp:inline distT="0" distB="0" distL="114300" distR="114300">
            <wp:extent cx="1823085" cy="462280"/>
            <wp:effectExtent l="0" t="0" r="5715" b="1397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70"/>
                    <a:stretch>
                      <a:fillRect/>
                    </a:stretch>
                  </pic:blipFill>
                  <pic:spPr>
                    <a:xfrm>
                      <a:off x="0" y="0"/>
                      <a:ext cx="1823085" cy="462280"/>
                    </a:xfrm>
                    <a:prstGeom prst="rect">
                      <a:avLst/>
                    </a:prstGeom>
                    <a:noFill/>
                    <a:ln>
                      <a:noFill/>
                    </a:ln>
                  </pic:spPr>
                </pic:pic>
              </a:graphicData>
            </a:graphic>
          </wp:inline>
        </w:drawing>
      </w:r>
      <w:r>
        <w:rPr>
          <w:color w:val="auto"/>
          <w:kern w:val="0"/>
          <w:sz w:val="24"/>
          <w:highlight w:val="none"/>
          <w:lang w:val="zh-CN"/>
        </w:rPr>
        <w:t>（C.1）</w:t>
      </w:r>
    </w:p>
    <w:p>
      <w:pPr>
        <w:spacing w:line="360" w:lineRule="auto"/>
        <w:ind w:firstLine="480" w:firstLineChars="200"/>
        <w:rPr>
          <w:color w:val="auto"/>
          <w:kern w:val="0"/>
          <w:sz w:val="24"/>
          <w:highlight w:val="none"/>
          <w:lang w:val="zh-CN"/>
        </w:rPr>
      </w:pPr>
      <w:r>
        <w:rPr>
          <w:color w:val="auto"/>
          <w:kern w:val="0"/>
          <w:sz w:val="24"/>
          <w:highlight w:val="none"/>
          <w:lang w:val="zh-CN"/>
        </w:rPr>
        <w:t>式中：q</w:t>
      </w:r>
      <w:r>
        <w:rPr>
          <w:color w:val="auto"/>
          <w:kern w:val="0"/>
          <w:sz w:val="24"/>
          <w:highlight w:val="none"/>
          <w:vertAlign w:val="subscript"/>
          <w:lang w:val="zh-CN"/>
        </w:rPr>
        <w:t>1</w:t>
      </w:r>
      <w:r>
        <w:rPr>
          <w:color w:val="auto"/>
          <w:kern w:val="0"/>
          <w:sz w:val="24"/>
          <w:highlight w:val="none"/>
          <w:lang w:val="zh-CN"/>
        </w:rPr>
        <w:t>，q</w:t>
      </w:r>
      <w:r>
        <w:rPr>
          <w:color w:val="auto"/>
          <w:kern w:val="0"/>
          <w:sz w:val="24"/>
          <w:highlight w:val="none"/>
          <w:vertAlign w:val="subscript"/>
          <w:lang w:val="zh-CN"/>
        </w:rPr>
        <w:t>2</w:t>
      </w:r>
      <w:r>
        <w:rPr>
          <w:color w:val="auto"/>
          <w:kern w:val="0"/>
          <w:sz w:val="24"/>
          <w:highlight w:val="none"/>
          <w:lang w:val="zh-CN"/>
        </w:rPr>
        <w:t>，…q</w:t>
      </w:r>
      <w:r>
        <w:rPr>
          <w:color w:val="auto"/>
          <w:kern w:val="0"/>
          <w:sz w:val="24"/>
          <w:highlight w:val="none"/>
          <w:vertAlign w:val="subscript"/>
          <w:lang w:val="zh-CN"/>
        </w:rPr>
        <w:t>n</w:t>
      </w:r>
      <w:r>
        <w:rPr>
          <w:color w:val="auto"/>
          <w:kern w:val="0"/>
          <w:sz w:val="24"/>
          <w:highlight w:val="none"/>
          <w:lang w:val="zh-CN"/>
        </w:rPr>
        <w:t>—每种危险物质的最大存在总量，t；</w:t>
      </w:r>
    </w:p>
    <w:p>
      <w:pPr>
        <w:spacing w:line="360" w:lineRule="auto"/>
        <w:ind w:firstLine="1200" w:firstLineChars="500"/>
        <w:rPr>
          <w:color w:val="auto"/>
          <w:kern w:val="0"/>
          <w:sz w:val="24"/>
          <w:highlight w:val="none"/>
          <w:lang w:val="zh-CN"/>
        </w:rPr>
      </w:pPr>
      <w:r>
        <w:rPr>
          <w:color w:val="auto"/>
          <w:kern w:val="0"/>
          <w:sz w:val="24"/>
          <w:highlight w:val="none"/>
          <w:lang w:val="zh-CN"/>
        </w:rPr>
        <w:t>Q</w:t>
      </w:r>
      <w:r>
        <w:rPr>
          <w:color w:val="auto"/>
          <w:kern w:val="0"/>
          <w:sz w:val="24"/>
          <w:highlight w:val="none"/>
          <w:vertAlign w:val="subscript"/>
          <w:lang w:val="zh-CN"/>
        </w:rPr>
        <w:t>1</w:t>
      </w:r>
      <w:r>
        <w:rPr>
          <w:color w:val="auto"/>
          <w:kern w:val="0"/>
          <w:sz w:val="24"/>
          <w:highlight w:val="none"/>
          <w:lang w:val="zh-CN"/>
        </w:rPr>
        <w:t>，Q</w:t>
      </w:r>
      <w:r>
        <w:rPr>
          <w:color w:val="auto"/>
          <w:kern w:val="0"/>
          <w:sz w:val="24"/>
          <w:highlight w:val="none"/>
          <w:vertAlign w:val="subscript"/>
          <w:lang w:val="zh-CN"/>
        </w:rPr>
        <w:t>2</w:t>
      </w:r>
      <w:r>
        <w:rPr>
          <w:color w:val="auto"/>
          <w:kern w:val="0"/>
          <w:sz w:val="24"/>
          <w:highlight w:val="none"/>
          <w:lang w:val="zh-CN"/>
        </w:rPr>
        <w:t>，…Q</w:t>
      </w:r>
      <w:r>
        <w:rPr>
          <w:color w:val="auto"/>
          <w:kern w:val="0"/>
          <w:sz w:val="24"/>
          <w:highlight w:val="none"/>
          <w:vertAlign w:val="subscript"/>
          <w:lang w:val="zh-CN"/>
        </w:rPr>
        <w:t>n</w:t>
      </w:r>
      <w:r>
        <w:rPr>
          <w:color w:val="auto"/>
          <w:kern w:val="0"/>
          <w:sz w:val="24"/>
          <w:highlight w:val="none"/>
          <w:lang w:val="zh-CN"/>
        </w:rPr>
        <w:t>——每种危险物质的临界量，t。</w:t>
      </w:r>
    </w:p>
    <w:p>
      <w:pPr>
        <w:spacing w:line="360" w:lineRule="auto"/>
        <w:ind w:firstLine="480" w:firstLineChars="200"/>
        <w:rPr>
          <w:color w:val="auto"/>
          <w:kern w:val="0"/>
          <w:sz w:val="24"/>
          <w:highlight w:val="none"/>
          <w:lang w:val="zh-CN"/>
        </w:rPr>
      </w:pPr>
      <w:r>
        <w:rPr>
          <w:color w:val="auto"/>
          <w:kern w:val="0"/>
          <w:sz w:val="24"/>
          <w:highlight w:val="none"/>
          <w:lang w:val="zh-CN"/>
        </w:rPr>
        <w:t>当Q＜1时，该项目环境风险潜势为Ⅰ。</w:t>
      </w:r>
    </w:p>
    <w:p>
      <w:pPr>
        <w:spacing w:line="360" w:lineRule="auto"/>
        <w:ind w:firstLine="480" w:firstLineChars="200"/>
        <w:rPr>
          <w:color w:val="auto"/>
          <w:kern w:val="0"/>
          <w:sz w:val="24"/>
          <w:highlight w:val="none"/>
          <w:lang w:val="zh-CN"/>
        </w:rPr>
      </w:pPr>
      <w:r>
        <w:rPr>
          <w:color w:val="auto"/>
          <w:kern w:val="0"/>
          <w:sz w:val="24"/>
          <w:highlight w:val="none"/>
          <w:lang w:val="zh-CN"/>
        </w:rPr>
        <w:t>当Q≥1时，将Q值划分为：①1≤Q＜10；②10≤Q＜100；③Q≥100。</w:t>
      </w:r>
    </w:p>
    <w:p>
      <w:pPr>
        <w:bidi w:val="0"/>
        <w:rPr>
          <w:rFonts w:hint="default"/>
          <w:color w:val="auto"/>
          <w:highlight w:val="none"/>
          <w:lang w:val="en-US" w:eastAsia="zh-CN"/>
        </w:rPr>
      </w:pPr>
      <w:r>
        <w:rPr>
          <w:rFonts w:hint="eastAsia"/>
          <w:color w:val="auto"/>
          <w:highlight w:val="none"/>
        </w:rPr>
        <w:t>对照《建设项目环境风险评价技术导则》（</w:t>
      </w:r>
      <w:r>
        <w:rPr>
          <w:color w:val="auto"/>
          <w:highlight w:val="none"/>
        </w:rPr>
        <w:t>HJ169</w:t>
      </w:r>
      <w:r>
        <w:rPr>
          <w:rFonts w:hint="eastAsia"/>
          <w:color w:val="auto"/>
          <w:highlight w:val="none"/>
        </w:rPr>
        <w:t>－</w:t>
      </w:r>
      <w:r>
        <w:rPr>
          <w:color w:val="auto"/>
          <w:highlight w:val="none"/>
        </w:rPr>
        <w:t>2018</w:t>
      </w:r>
      <w:r>
        <w:rPr>
          <w:rFonts w:hint="eastAsia"/>
          <w:color w:val="auto"/>
          <w:highlight w:val="none"/>
        </w:rPr>
        <w:t>）附录</w:t>
      </w:r>
      <w:r>
        <w:rPr>
          <w:color w:val="auto"/>
          <w:highlight w:val="none"/>
        </w:rPr>
        <w:t>B</w:t>
      </w:r>
      <w:r>
        <w:rPr>
          <w:rFonts w:hint="eastAsia"/>
          <w:color w:val="auto"/>
          <w:highlight w:val="none"/>
        </w:rPr>
        <w:t>，</w:t>
      </w:r>
      <w:r>
        <w:rPr>
          <w:rFonts w:hint="default"/>
          <w:color w:val="auto"/>
          <w:highlight w:val="none"/>
          <w:lang w:val="en-US" w:eastAsia="zh-CN"/>
        </w:rPr>
        <w:t>项目风险物质储存量及临界量见下表。</w:t>
      </w:r>
    </w:p>
    <w:p>
      <w:pPr>
        <w:keepNext w:val="0"/>
        <w:keepLines w:val="0"/>
        <w:pageBreakBefore w:val="0"/>
        <w:kinsoku/>
        <w:wordWrap/>
        <w:overflowPunct/>
        <w:topLinePunct w:val="0"/>
        <w:bidi w:val="0"/>
        <w:adjustRightInd w:val="0"/>
        <w:snapToGrid w:val="0"/>
        <w:spacing w:before="156" w:beforeLines="50" w:line="240" w:lineRule="auto"/>
        <w:ind w:left="380" w:right="408"/>
        <w:jc w:val="center"/>
        <w:rPr>
          <w:rFonts w:hint="default" w:ascii="Times New Roman" w:hAnsi="Times New Roman" w:eastAsia="宋体" w:cs="Times New Roman"/>
          <w:b/>
          <w:bCs/>
          <w:color w:val="auto"/>
          <w:kern w:val="2"/>
          <w:sz w:val="21"/>
          <w:szCs w:val="21"/>
          <w:highlight w:val="none"/>
          <w:lang w:val="en-US" w:eastAsia="zh-CN" w:bidi="zh-CN"/>
        </w:rPr>
      </w:pPr>
      <w:r>
        <w:rPr>
          <w:rFonts w:hint="default" w:ascii="Times New Roman" w:hAnsi="Times New Roman" w:eastAsia="宋体" w:cs="Times New Roman"/>
          <w:b/>
          <w:bCs/>
          <w:color w:val="auto"/>
          <w:kern w:val="2"/>
          <w:sz w:val="21"/>
          <w:szCs w:val="21"/>
          <w:highlight w:val="none"/>
          <w:lang w:val="zh-CN" w:eastAsia="zh-CN" w:bidi="zh-CN"/>
        </w:rPr>
        <w:t>表</w:t>
      </w:r>
      <w:r>
        <w:rPr>
          <w:rFonts w:hint="eastAsia" w:ascii="Times New Roman" w:hAnsi="Times New Roman" w:cs="Times New Roman"/>
          <w:b/>
          <w:bCs/>
          <w:color w:val="auto"/>
          <w:kern w:val="2"/>
          <w:sz w:val="21"/>
          <w:szCs w:val="21"/>
          <w:highlight w:val="none"/>
          <w:lang w:val="en-US" w:eastAsia="zh-CN" w:bidi="zh-CN"/>
        </w:rPr>
        <w:t>5</w:t>
      </w:r>
      <w:r>
        <w:rPr>
          <w:rFonts w:hint="default" w:ascii="Times New Roman" w:hAnsi="Times New Roman" w:cs="Times New Roman"/>
          <w:b/>
          <w:bCs/>
          <w:color w:val="auto"/>
          <w:kern w:val="2"/>
          <w:sz w:val="21"/>
          <w:szCs w:val="21"/>
          <w:highlight w:val="none"/>
          <w:lang w:val="en-US" w:eastAsia="zh-CN" w:bidi="zh-CN"/>
        </w:rPr>
        <w:t>.</w:t>
      </w:r>
      <w:r>
        <w:rPr>
          <w:rFonts w:hint="eastAsia" w:ascii="Times New Roman" w:hAnsi="Times New Roman" w:cs="Times New Roman"/>
          <w:b/>
          <w:bCs/>
          <w:color w:val="auto"/>
          <w:kern w:val="2"/>
          <w:sz w:val="21"/>
          <w:szCs w:val="21"/>
          <w:highlight w:val="none"/>
          <w:lang w:val="en-US" w:eastAsia="zh-CN" w:bidi="zh-CN"/>
        </w:rPr>
        <w:t>8-2</w:t>
      </w:r>
      <w:r>
        <w:rPr>
          <w:rFonts w:hint="default" w:ascii="Times New Roman" w:hAnsi="Times New Roman" w:cs="Times New Roman"/>
          <w:b/>
          <w:bCs/>
          <w:color w:val="auto"/>
          <w:kern w:val="2"/>
          <w:sz w:val="21"/>
          <w:szCs w:val="21"/>
          <w:highlight w:val="none"/>
          <w:lang w:val="en-US" w:eastAsia="zh-CN" w:bidi="zh-CN"/>
        </w:rPr>
        <w:t xml:space="preserve">  本项目Q值确定情况一览表（Q）</w:t>
      </w:r>
    </w:p>
    <w:tbl>
      <w:tblPr>
        <w:tblStyle w:val="31"/>
        <w:tblW w:w="465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0"/>
        <w:gridCol w:w="2252"/>
        <w:gridCol w:w="1864"/>
        <w:gridCol w:w="1609"/>
        <w:gridCol w:w="15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危险</w:t>
            </w:r>
            <w:r>
              <w:rPr>
                <w:rFonts w:hint="default" w:ascii="Times New Roman" w:hAnsi="Times New Roman" w:eastAsia="宋体" w:cs="Times New Roman"/>
                <w:color w:val="auto"/>
                <w:sz w:val="21"/>
                <w:szCs w:val="21"/>
                <w:highlight w:val="none"/>
                <w:lang w:eastAsia="zh-CN"/>
              </w:rPr>
              <w:t>物质</w:t>
            </w:r>
            <w:r>
              <w:rPr>
                <w:rFonts w:hint="default" w:ascii="Times New Roman" w:hAnsi="Times New Roman" w:eastAsia="宋体" w:cs="Times New Roman"/>
                <w:color w:val="auto"/>
                <w:sz w:val="21"/>
                <w:szCs w:val="21"/>
                <w:highlight w:val="none"/>
              </w:rPr>
              <w:t>名称</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最大存在量qi</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t</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临界量Q</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t</w:t>
            </w:r>
          </w:p>
        </w:tc>
        <w:tc>
          <w:tcPr>
            <w:tcW w:w="9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该物质的Q值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废机油</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014"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2500</w:t>
            </w:r>
          </w:p>
        </w:tc>
        <w:tc>
          <w:tcPr>
            <w:tcW w:w="969"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9" w:hRule="atLeast"/>
          <w:jc w:val="center"/>
        </w:trPr>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4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机油</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1014"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2500</w:t>
            </w:r>
          </w:p>
        </w:tc>
        <w:tc>
          <w:tcPr>
            <w:tcW w:w="969"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 w:hRule="atLeast"/>
          <w:jc w:val="center"/>
        </w:trPr>
        <w:tc>
          <w:tcPr>
            <w:tcW w:w="403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项目Q值Σ</w:t>
            </w:r>
          </w:p>
        </w:tc>
        <w:tc>
          <w:tcPr>
            <w:tcW w:w="9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0.00016</w:t>
            </w:r>
          </w:p>
        </w:tc>
      </w:tr>
    </w:tbl>
    <w:p>
      <w:pPr>
        <w:pStyle w:val="7"/>
        <w:bidi w:val="0"/>
        <w:jc w:val="both"/>
        <w:rPr>
          <w:color w:val="auto"/>
          <w:highlight w:val="none"/>
          <w:lang w:val="zh-CN"/>
        </w:rPr>
      </w:pPr>
      <w:r>
        <w:rPr>
          <w:rFonts w:hint="eastAsia"/>
          <w:color w:val="auto"/>
          <w:highlight w:val="none"/>
          <w:lang w:val="en-US" w:eastAsia="zh-CN"/>
        </w:rPr>
        <w:t>5.8.3.3</w:t>
      </w:r>
      <w:r>
        <w:rPr>
          <w:color w:val="auto"/>
          <w:highlight w:val="none"/>
          <w:lang w:val="zh-CN"/>
        </w:rPr>
        <w:t>环境风险潜势判定</w:t>
      </w:r>
    </w:p>
    <w:p>
      <w:pPr>
        <w:spacing w:line="360" w:lineRule="auto"/>
        <w:ind w:firstLine="480" w:firstLineChars="200"/>
        <w:rPr>
          <w:color w:val="auto"/>
          <w:kern w:val="0"/>
          <w:sz w:val="24"/>
          <w:highlight w:val="none"/>
          <w:lang w:val="zh-CN"/>
        </w:rPr>
      </w:pPr>
      <w:r>
        <w:rPr>
          <w:color w:val="auto"/>
          <w:kern w:val="0"/>
          <w:sz w:val="24"/>
          <w:highlight w:val="none"/>
          <w:lang w:val="zh-CN"/>
        </w:rPr>
        <w:t>本项目的Q值为0</w:t>
      </w:r>
      <w:r>
        <w:rPr>
          <w:rFonts w:hint="eastAsia"/>
          <w:color w:val="auto"/>
          <w:kern w:val="0"/>
          <w:sz w:val="24"/>
          <w:highlight w:val="none"/>
          <w:lang w:val="en-US" w:eastAsia="zh-CN"/>
        </w:rPr>
        <w:t>.00016</w:t>
      </w:r>
      <w:r>
        <w:rPr>
          <w:color w:val="auto"/>
          <w:kern w:val="0"/>
          <w:sz w:val="24"/>
          <w:highlight w:val="none"/>
          <w:lang w:val="zh-CN"/>
        </w:rPr>
        <w:t>，Q＜1时，本项目环境风险潜势为Ⅰ。</w:t>
      </w:r>
    </w:p>
    <w:p>
      <w:pPr>
        <w:pStyle w:val="6"/>
        <w:keepNext w:val="0"/>
        <w:keepLines w:val="0"/>
        <w:pageBreakBefore w:val="0"/>
        <w:widowControl w:val="0"/>
        <w:kinsoku/>
        <w:wordWrap/>
        <w:overflowPunct/>
        <w:topLinePunct w:val="0"/>
        <w:autoSpaceDE w:val="0"/>
        <w:autoSpaceDN w:val="0"/>
        <w:bidi w:val="0"/>
        <w:adjustRightInd w:val="0"/>
        <w:snapToGrid w:val="0"/>
        <w:ind w:left="0" w:firstLine="482" w:firstLineChars="200"/>
        <w:textAlignment w:val="auto"/>
        <w:rPr>
          <w:rFonts w:hint="default" w:ascii="Times New Roman" w:hAnsi="Times New Roman" w:eastAsia="宋体" w:cs="Times New Roman"/>
          <w:color w:val="auto"/>
          <w:highlight w:val="none"/>
        </w:rPr>
      </w:pPr>
      <w:r>
        <w:rPr>
          <w:rFonts w:hint="default" w:ascii="Times New Roman" w:hAnsi="Times New Roman" w:cs="Times New Roman"/>
          <w:b/>
          <w:bCs/>
          <w:snapToGrid w:val="0"/>
          <w:color w:val="auto"/>
          <w:kern w:val="0"/>
          <w:sz w:val="24"/>
          <w:szCs w:val="24"/>
          <w:highlight w:val="none"/>
          <w:lang w:val="en-US" w:eastAsia="zh-CN"/>
        </w:rPr>
        <w:t>5.8.4</w:t>
      </w:r>
      <w:r>
        <w:rPr>
          <w:rFonts w:hint="default" w:ascii="Times New Roman" w:hAnsi="Times New Roman" w:cs="Times New Roman"/>
          <w:b/>
          <w:bCs/>
          <w:snapToGrid w:val="0"/>
          <w:color w:val="auto"/>
          <w:kern w:val="0"/>
          <w:sz w:val="24"/>
          <w:szCs w:val="24"/>
          <w:highlight w:val="none"/>
          <w:lang w:val="de-DE"/>
        </w:rPr>
        <w:t>环境敏感目标调查</w:t>
      </w:r>
    </w:p>
    <w:p>
      <w:pPr>
        <w:bidi w:val="0"/>
        <w:rPr>
          <w:color w:val="auto"/>
          <w:highlight w:val="none"/>
        </w:rPr>
      </w:pPr>
      <w:r>
        <w:rPr>
          <w:color w:val="auto"/>
          <w:highlight w:val="none"/>
        </w:rPr>
        <w:t>根据项目涉及的危险物质可能的影响途径和所在区域的实际环境特点，其敏感目标的分布见表</w:t>
      </w:r>
      <w:r>
        <w:rPr>
          <w:rFonts w:hint="eastAsia"/>
          <w:color w:val="auto"/>
          <w:highlight w:val="none"/>
        </w:rPr>
        <w:t>5.8</w:t>
      </w:r>
      <w:r>
        <w:rPr>
          <w:color w:val="auto"/>
          <w:highlight w:val="none"/>
        </w:rPr>
        <w:t>-</w:t>
      </w:r>
      <w:r>
        <w:rPr>
          <w:rFonts w:hint="eastAsia"/>
          <w:color w:val="auto"/>
          <w:highlight w:val="none"/>
          <w:lang w:val="en-US" w:eastAsia="zh-CN"/>
        </w:rPr>
        <w:t>3</w:t>
      </w:r>
      <w:r>
        <w:rPr>
          <w:color w:val="auto"/>
          <w:highlight w:val="none"/>
        </w:rPr>
        <w:t>和图2.</w:t>
      </w:r>
      <w:r>
        <w:rPr>
          <w:rFonts w:hint="eastAsia"/>
          <w:color w:val="auto"/>
          <w:highlight w:val="none"/>
          <w:lang w:val="en-US" w:eastAsia="zh-CN"/>
        </w:rPr>
        <w:t>6</w:t>
      </w:r>
      <w:r>
        <w:rPr>
          <w:color w:val="auto"/>
          <w:highlight w:val="none"/>
        </w:rPr>
        <w:t>-</w:t>
      </w:r>
      <w:r>
        <w:rPr>
          <w:rFonts w:hint="eastAsia"/>
          <w:color w:val="auto"/>
          <w:highlight w:val="none"/>
          <w:lang w:val="en-US" w:eastAsia="zh-CN"/>
        </w:rPr>
        <w:t>2</w:t>
      </w:r>
      <w:r>
        <w:rPr>
          <w:color w:val="auto"/>
          <w:highlight w:val="none"/>
        </w:rPr>
        <w:t>。</w:t>
      </w:r>
    </w:p>
    <w:p>
      <w:pPr>
        <w:pStyle w:val="67"/>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5.8</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 xml:space="preserve">    环境</w:t>
      </w:r>
      <w:r>
        <w:rPr>
          <w:rFonts w:hint="default" w:ascii="Times New Roman" w:hAnsi="Times New Roman" w:eastAsia="宋体" w:cs="Times New Roman"/>
          <w:color w:val="auto"/>
          <w:sz w:val="21"/>
          <w:szCs w:val="21"/>
          <w:highlight w:val="none"/>
          <w:lang w:eastAsia="zh-CN"/>
        </w:rPr>
        <w:t>空气</w:t>
      </w:r>
      <w:r>
        <w:rPr>
          <w:rFonts w:hint="default" w:ascii="Times New Roman" w:hAnsi="Times New Roman" w:eastAsia="宋体" w:cs="Times New Roman"/>
          <w:color w:val="auto"/>
          <w:sz w:val="21"/>
          <w:szCs w:val="21"/>
          <w:highlight w:val="none"/>
        </w:rPr>
        <w:t>保护目标一览表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7"/>
        <w:gridCol w:w="1595"/>
        <w:gridCol w:w="890"/>
        <w:gridCol w:w="1006"/>
        <w:gridCol w:w="994"/>
        <w:gridCol w:w="925"/>
        <w:gridCol w:w="125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blHeader/>
          <w:jc w:val="center"/>
        </w:trPr>
        <w:tc>
          <w:tcPr>
            <w:tcW w:w="34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eastAsia" w:cs="Times New Roman"/>
                <w:color w:val="auto"/>
                <w:spacing w:val="-2"/>
                <w:sz w:val="21"/>
                <w:szCs w:val="21"/>
                <w:highlight w:val="none"/>
                <w:lang w:eastAsia="zh-CN"/>
              </w:rPr>
              <w:t>环境要素</w:t>
            </w:r>
          </w:p>
        </w:tc>
        <w:tc>
          <w:tcPr>
            <w:tcW w:w="96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名称</w:t>
            </w:r>
          </w:p>
        </w:tc>
        <w:tc>
          <w:tcPr>
            <w:tcW w:w="53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保护对象</w:t>
            </w:r>
          </w:p>
        </w:tc>
        <w:tc>
          <w:tcPr>
            <w:tcW w:w="60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保护内容</w:t>
            </w:r>
          </w:p>
        </w:tc>
        <w:tc>
          <w:tcPr>
            <w:tcW w:w="57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环境功能区</w:t>
            </w:r>
          </w:p>
        </w:tc>
        <w:tc>
          <w:tcPr>
            <w:tcW w:w="55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相对厂址方位</w:t>
            </w:r>
          </w:p>
        </w:tc>
        <w:tc>
          <w:tcPr>
            <w:tcW w:w="75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eastAsia="zh-CN"/>
              </w:rPr>
              <w:t>相对厂界距离</w:t>
            </w:r>
            <w:r>
              <w:rPr>
                <w:rFonts w:hint="default" w:ascii="Times New Roman" w:hAnsi="Times New Roman" w:eastAsia="宋体" w:cs="Times New Roman"/>
                <w:color w:val="auto"/>
                <w:spacing w:val="-2"/>
                <w:sz w:val="21"/>
                <w:szCs w:val="21"/>
                <w:highlight w:val="none"/>
                <w:lang w:val="en-US" w:eastAsia="zh-CN"/>
              </w:rPr>
              <w:t>/m</w:t>
            </w:r>
          </w:p>
        </w:tc>
        <w:tc>
          <w:tcPr>
            <w:tcW w:w="65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涉及人口</w:t>
            </w:r>
            <w:r>
              <w:rPr>
                <w:rFonts w:hint="default" w:ascii="Times New Roman" w:hAnsi="Times New Roman" w:eastAsia="宋体" w:cs="Times New Roman"/>
                <w:color w:val="auto"/>
                <w:spacing w:val="-3"/>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tblHeader/>
          <w:jc w:val="center"/>
        </w:trPr>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96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5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60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5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5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3"/>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34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cs="Times New Roman"/>
                <w:color w:val="auto"/>
                <w:spacing w:val="-2"/>
                <w:sz w:val="21"/>
                <w:szCs w:val="21"/>
                <w:highlight w:val="none"/>
                <w:lang w:eastAsia="zh-CN"/>
              </w:rPr>
            </w:pPr>
            <w:r>
              <w:rPr>
                <w:rFonts w:hint="eastAsia" w:cs="Times New Roman"/>
                <w:color w:val="auto"/>
                <w:spacing w:val="-2"/>
                <w:sz w:val="21"/>
                <w:szCs w:val="21"/>
                <w:highlight w:val="none"/>
                <w:lang w:eastAsia="zh-CN"/>
              </w:rPr>
              <w:t>大气</w:t>
            </w:r>
          </w:p>
        </w:tc>
        <w:tc>
          <w:tcPr>
            <w:tcW w:w="9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南园社区</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60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eastAsia" w:cs="Times New Roman"/>
                <w:color w:val="auto"/>
                <w:spacing w:val="-3"/>
                <w:sz w:val="21"/>
                <w:szCs w:val="21"/>
                <w:highlight w:val="none"/>
                <w:lang w:eastAsia="zh-CN"/>
              </w:rPr>
              <w:t>居民</w:t>
            </w:r>
          </w:p>
        </w:tc>
        <w:tc>
          <w:tcPr>
            <w:tcW w:w="57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2"/>
                <w:sz w:val="21"/>
                <w:szCs w:val="21"/>
                <w:highlight w:val="none"/>
              </w:rPr>
              <w:t>《环境空气质量标准》</w:t>
            </w:r>
            <w:r>
              <w:rPr>
                <w:rFonts w:hint="default" w:ascii="Times New Roman" w:hAnsi="Times New Roman" w:eastAsia="宋体" w:cs="Times New Roman"/>
                <w:color w:val="auto"/>
                <w:spacing w:val="-1"/>
                <w:sz w:val="21"/>
                <w:szCs w:val="21"/>
                <w:highlight w:val="none"/>
              </w:rPr>
              <w:t>（GB3095-2012）二级标准</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东南</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250</w:t>
            </w:r>
          </w:p>
        </w:tc>
        <w:tc>
          <w:tcPr>
            <w:tcW w:w="6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7"/>
                <w:sz w:val="21"/>
                <w:szCs w:val="21"/>
                <w:highlight w:val="none"/>
                <w:lang w:val="en-US" w:eastAsia="zh-CN"/>
              </w:rPr>
              <w:t>500</w:t>
            </w:r>
            <w:r>
              <w:rPr>
                <w:rFonts w:hint="default" w:ascii="Times New Roman" w:hAnsi="Times New Roman" w:eastAsia="宋体" w:cs="Times New Roman"/>
                <w:color w:val="auto"/>
                <w:spacing w:val="-7"/>
                <w:sz w:val="2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cs="Times New Roman"/>
                <w:color w:val="auto"/>
                <w:spacing w:val="-2"/>
                <w:sz w:val="21"/>
                <w:szCs w:val="21"/>
                <w:highlight w:val="none"/>
                <w:lang w:eastAsia="zh-CN"/>
              </w:rPr>
            </w:pPr>
          </w:p>
        </w:tc>
        <w:tc>
          <w:tcPr>
            <w:tcW w:w="9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阿克苏村</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60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4"/>
                <w:sz w:val="21"/>
                <w:szCs w:val="21"/>
                <w:highlight w:val="none"/>
                <w:lang w:eastAsia="zh-CN"/>
              </w:rPr>
            </w:pPr>
            <w:r>
              <w:rPr>
                <w:rFonts w:hint="eastAsia" w:cs="Times New Roman"/>
                <w:color w:val="auto"/>
                <w:spacing w:val="-3"/>
                <w:sz w:val="21"/>
                <w:szCs w:val="21"/>
                <w:highlight w:val="none"/>
                <w:lang w:eastAsia="zh-CN"/>
              </w:rPr>
              <w:t>居民</w:t>
            </w:r>
          </w:p>
        </w:tc>
        <w:tc>
          <w:tcPr>
            <w:tcW w:w="5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南</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1288</w:t>
            </w:r>
          </w:p>
        </w:tc>
        <w:tc>
          <w:tcPr>
            <w:tcW w:w="6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6"/>
                <w:sz w:val="21"/>
                <w:szCs w:val="21"/>
                <w:highlight w:val="none"/>
                <w:lang w:val="en-US" w:eastAsia="zh-CN"/>
              </w:rPr>
              <w:t>1000</w:t>
            </w:r>
            <w:r>
              <w:rPr>
                <w:rFonts w:hint="default" w:ascii="Times New Roman" w:hAnsi="Times New Roman" w:eastAsia="宋体" w:cs="Times New Roman"/>
                <w:color w:val="auto"/>
                <w:spacing w:val="-6"/>
                <w:sz w:val="2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cs="Times New Roman"/>
                <w:color w:val="auto"/>
                <w:spacing w:val="-2"/>
                <w:kern w:val="2"/>
                <w:sz w:val="21"/>
                <w:szCs w:val="21"/>
                <w:highlight w:val="none"/>
                <w:lang w:val="en-US" w:eastAsia="zh-CN" w:bidi="ar-SA"/>
              </w:rPr>
            </w:pPr>
          </w:p>
        </w:tc>
        <w:tc>
          <w:tcPr>
            <w:tcW w:w="9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kern w:val="2"/>
                <w:sz w:val="21"/>
                <w:szCs w:val="21"/>
                <w:highlight w:val="none"/>
                <w:lang w:val="en-US" w:eastAsia="zh-CN" w:bidi="ar-SA"/>
              </w:rPr>
              <w:t>糖厂家属院</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60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val="zh-CN" w:eastAsia="zh-CN" w:bidi="zh-CN"/>
              </w:rPr>
            </w:pPr>
            <w:r>
              <w:rPr>
                <w:rFonts w:hint="eastAsia" w:cs="Times New Roman"/>
                <w:color w:val="auto"/>
                <w:spacing w:val="-3"/>
                <w:sz w:val="21"/>
                <w:szCs w:val="21"/>
                <w:highlight w:val="none"/>
                <w:lang w:eastAsia="zh-CN"/>
              </w:rPr>
              <w:t>居民</w:t>
            </w:r>
          </w:p>
        </w:tc>
        <w:tc>
          <w:tcPr>
            <w:tcW w:w="5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pacing w:val="-2"/>
                <w:sz w:val="21"/>
                <w:szCs w:val="21"/>
                <w:highlight w:val="none"/>
                <w:lang w:eastAsia="zh-CN"/>
              </w:rPr>
            </w:pPr>
            <w:r>
              <w:rPr>
                <w:rFonts w:hint="eastAsia" w:cs="Times New Roman"/>
                <w:color w:val="auto"/>
                <w:spacing w:val="-2"/>
                <w:sz w:val="21"/>
                <w:szCs w:val="21"/>
                <w:highlight w:val="none"/>
                <w:lang w:eastAsia="zh-CN"/>
              </w:rPr>
              <w:t>西</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324</w:t>
            </w:r>
          </w:p>
        </w:tc>
        <w:tc>
          <w:tcPr>
            <w:tcW w:w="6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cs="Times New Roman"/>
                <w:color w:val="auto"/>
                <w:spacing w:val="-2"/>
                <w:kern w:val="2"/>
                <w:sz w:val="21"/>
                <w:szCs w:val="21"/>
                <w:highlight w:val="none"/>
                <w:lang w:val="en-US" w:eastAsia="zh-CN" w:bidi="ar-SA"/>
              </w:rPr>
            </w:pPr>
          </w:p>
        </w:tc>
        <w:tc>
          <w:tcPr>
            <w:tcW w:w="9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kern w:val="2"/>
                <w:sz w:val="21"/>
                <w:szCs w:val="21"/>
                <w:highlight w:val="none"/>
                <w:lang w:val="en-US" w:eastAsia="zh-CN" w:bidi="ar-SA"/>
              </w:rPr>
              <w:t>糖厂小学</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sz w:val="21"/>
                <w:szCs w:val="21"/>
                <w:highlight w:val="none"/>
                <w:lang w:eastAsia="zh-CN"/>
              </w:rPr>
              <w:t>学校</w:t>
            </w:r>
          </w:p>
        </w:tc>
        <w:tc>
          <w:tcPr>
            <w:tcW w:w="60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eastAsia" w:cs="Times New Roman"/>
                <w:color w:val="auto"/>
                <w:spacing w:val="-2"/>
                <w:sz w:val="21"/>
                <w:szCs w:val="21"/>
                <w:highlight w:val="none"/>
                <w:lang w:eastAsia="zh-CN"/>
              </w:rPr>
              <w:t>老师学生</w:t>
            </w:r>
          </w:p>
        </w:tc>
        <w:tc>
          <w:tcPr>
            <w:tcW w:w="5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pacing w:val="-2"/>
                <w:sz w:val="21"/>
                <w:szCs w:val="21"/>
                <w:highlight w:val="none"/>
                <w:lang w:eastAsia="zh-CN"/>
              </w:rPr>
            </w:pPr>
            <w:r>
              <w:rPr>
                <w:rFonts w:hint="eastAsia" w:cs="Times New Roman"/>
                <w:color w:val="auto"/>
                <w:spacing w:val="-2"/>
                <w:sz w:val="21"/>
                <w:szCs w:val="21"/>
                <w:highlight w:val="none"/>
                <w:lang w:eastAsia="zh-CN"/>
              </w:rPr>
              <w:t>西</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362</w:t>
            </w:r>
          </w:p>
        </w:tc>
        <w:tc>
          <w:tcPr>
            <w:tcW w:w="6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2"/>
                <w:sz w:val="21"/>
                <w:szCs w:val="21"/>
                <w:highlight w:val="none"/>
                <w:lang w:val="en-US" w:eastAsia="zh-CN"/>
              </w:rPr>
              <w:t>2</w:t>
            </w:r>
            <w:r>
              <w:rPr>
                <w:rFonts w:hint="default" w:ascii="Times New Roman" w:hAnsi="Times New Roman" w:eastAsia="宋体" w:cs="Times New Roman"/>
                <w:color w:val="auto"/>
                <w:spacing w:val="-2"/>
                <w:sz w:val="21"/>
                <w:szCs w:val="21"/>
                <w:highlight w:val="none"/>
              </w:rPr>
              <w:t>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cs="Times New Roman"/>
                <w:color w:val="auto"/>
                <w:spacing w:val="-2"/>
                <w:kern w:val="2"/>
                <w:sz w:val="21"/>
                <w:szCs w:val="21"/>
                <w:highlight w:val="none"/>
                <w:lang w:val="en-US" w:eastAsia="zh-CN" w:bidi="ar-SA"/>
              </w:rPr>
            </w:pPr>
          </w:p>
        </w:tc>
        <w:tc>
          <w:tcPr>
            <w:tcW w:w="9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kern w:val="2"/>
                <w:sz w:val="21"/>
                <w:szCs w:val="21"/>
                <w:highlight w:val="none"/>
                <w:lang w:val="en-US" w:eastAsia="zh-CN" w:bidi="ar-SA"/>
              </w:rPr>
              <w:t>塔斯尔海村</w:t>
            </w:r>
          </w:p>
        </w:tc>
        <w:tc>
          <w:tcPr>
            <w:tcW w:w="5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ascii="Times New Roman" w:hAnsi="Times New Roman" w:eastAsia="宋体" w:cs="Times New Roman"/>
                <w:color w:val="auto"/>
                <w:spacing w:val="-2"/>
                <w:sz w:val="21"/>
                <w:szCs w:val="21"/>
                <w:highlight w:val="none"/>
                <w:lang w:eastAsia="zh-CN"/>
              </w:rPr>
              <w:t>居民</w:t>
            </w:r>
            <w:r>
              <w:rPr>
                <w:rFonts w:hint="default" w:ascii="Times New Roman" w:hAnsi="Times New Roman" w:eastAsia="宋体" w:cs="Times New Roman"/>
                <w:color w:val="auto"/>
                <w:spacing w:val="-2"/>
                <w:sz w:val="21"/>
                <w:szCs w:val="21"/>
                <w:highlight w:val="none"/>
              </w:rPr>
              <w:t>区</w:t>
            </w:r>
          </w:p>
        </w:tc>
        <w:tc>
          <w:tcPr>
            <w:tcW w:w="60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居民</w:t>
            </w:r>
          </w:p>
        </w:tc>
        <w:tc>
          <w:tcPr>
            <w:tcW w:w="5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pacing w:val="-2"/>
                <w:sz w:val="21"/>
                <w:szCs w:val="21"/>
                <w:highlight w:val="none"/>
                <w:lang w:eastAsia="zh-CN"/>
              </w:rPr>
            </w:pPr>
            <w:r>
              <w:rPr>
                <w:rFonts w:hint="eastAsia" w:cs="Times New Roman"/>
                <w:color w:val="auto"/>
                <w:spacing w:val="-2"/>
                <w:sz w:val="21"/>
                <w:szCs w:val="21"/>
                <w:highlight w:val="none"/>
                <w:lang w:eastAsia="zh-CN"/>
              </w:rPr>
              <w:t>北</w:t>
            </w:r>
          </w:p>
        </w:tc>
        <w:tc>
          <w:tcPr>
            <w:tcW w:w="7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270</w:t>
            </w:r>
          </w:p>
        </w:tc>
        <w:tc>
          <w:tcPr>
            <w:tcW w:w="65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000人</w:t>
            </w:r>
          </w:p>
        </w:tc>
      </w:tr>
    </w:tbl>
    <w:p>
      <w:pPr>
        <w:pStyle w:val="6"/>
        <w:keepNext/>
        <w:keepLines/>
        <w:pageBreakBefore w:val="0"/>
        <w:widowControl w:val="0"/>
        <w:kinsoku/>
        <w:wordWrap/>
        <w:overflowPunct/>
        <w:topLinePunct w:val="0"/>
        <w:autoSpaceDE/>
        <w:autoSpaceDN/>
        <w:bidi w:val="0"/>
        <w:adjustRightInd w:val="0"/>
        <w:snapToGrid w:val="0"/>
        <w:ind w:left="0" w:firstLine="562" w:firstLineChars="200"/>
        <w:jc w:val="both"/>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5.8.5</w:t>
      </w:r>
      <w:r>
        <w:rPr>
          <w:rFonts w:hint="default" w:ascii="Times New Roman" w:hAnsi="Times New Roman" w:cs="Times New Roman"/>
          <w:color w:val="auto"/>
          <w:highlight w:val="none"/>
          <w:lang w:val="zh-CN"/>
        </w:rPr>
        <w:t>评价等级及评价范围</w:t>
      </w:r>
    </w:p>
    <w:p>
      <w:pPr>
        <w:pStyle w:val="7"/>
        <w:pageBreakBefore w:val="0"/>
        <w:widowControl w:val="0"/>
        <w:kinsoku/>
        <w:wordWrap/>
        <w:overflowPunct/>
        <w:topLinePunct w:val="0"/>
        <w:bidi w:val="0"/>
        <w:adjustRightInd w:val="0"/>
        <w:snapToGrid w:val="0"/>
        <w:ind w:left="0" w:firstLine="482" w:firstLineChars="200"/>
        <w:jc w:val="both"/>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5.8.5.1</w:t>
      </w:r>
      <w:r>
        <w:rPr>
          <w:rFonts w:hint="default" w:ascii="Times New Roman" w:hAnsi="Times New Roman" w:cs="Times New Roman"/>
          <w:color w:val="auto"/>
          <w:highlight w:val="none"/>
          <w:lang w:val="zh-CN"/>
        </w:rPr>
        <w:t>评价等级</w:t>
      </w:r>
    </w:p>
    <w:p>
      <w:pPr>
        <w:spacing w:line="360" w:lineRule="auto"/>
        <w:ind w:firstLine="480" w:firstLineChars="200"/>
        <w:rPr>
          <w:color w:val="auto"/>
          <w:kern w:val="0"/>
          <w:sz w:val="24"/>
          <w:highlight w:val="none"/>
          <w:lang w:val="zh-CN"/>
        </w:rPr>
      </w:pPr>
      <w:r>
        <w:rPr>
          <w:color w:val="auto"/>
          <w:kern w:val="0"/>
          <w:sz w:val="24"/>
          <w:highlight w:val="none"/>
          <w:lang w:val="zh-CN"/>
        </w:rPr>
        <w:t>根据《建设项目环境风险评价技术导则》（HJ169-2018）规定：</w:t>
      </w:r>
      <w:r>
        <w:rPr>
          <w:rFonts w:hint="eastAsia"/>
          <w:color w:val="auto"/>
          <w:kern w:val="0"/>
          <w:sz w:val="24"/>
          <w:highlight w:val="none"/>
          <w:lang w:val="zh-CN"/>
        </w:rPr>
        <w:t>“</w:t>
      </w:r>
      <w:r>
        <w:rPr>
          <w:color w:val="auto"/>
          <w:kern w:val="0"/>
          <w:sz w:val="24"/>
          <w:highlight w:val="none"/>
          <w:lang w:val="zh-CN"/>
        </w:rPr>
        <w:t>环境风险评价工作是依据建设项目涉及的物质及工艺系统危险性和所在地的环境敏感性确定环境风险潜势进行分级，环境影响评价工作等级划分为一级、二级、三级，</w:t>
      </w:r>
      <w:r>
        <w:rPr>
          <w:rFonts w:hint="eastAsia"/>
          <w:color w:val="auto"/>
          <w:kern w:val="0"/>
          <w:sz w:val="24"/>
          <w:highlight w:val="none"/>
          <w:lang w:val="zh-CN"/>
        </w:rPr>
        <w:t>”</w:t>
      </w:r>
      <w:r>
        <w:rPr>
          <w:color w:val="auto"/>
          <w:kern w:val="0"/>
          <w:sz w:val="24"/>
          <w:highlight w:val="none"/>
          <w:lang w:val="zh-CN"/>
        </w:rPr>
        <w:t>其具体分级判据见表</w:t>
      </w:r>
      <w:r>
        <w:rPr>
          <w:rFonts w:hint="eastAsia"/>
          <w:color w:val="auto"/>
          <w:kern w:val="0"/>
          <w:sz w:val="24"/>
          <w:highlight w:val="none"/>
        </w:rPr>
        <w:t>5.8</w:t>
      </w:r>
      <w:r>
        <w:rPr>
          <w:color w:val="auto"/>
          <w:kern w:val="0"/>
          <w:sz w:val="24"/>
          <w:highlight w:val="none"/>
          <w:lang w:val="zh-CN"/>
        </w:rPr>
        <w:t>-</w:t>
      </w:r>
      <w:r>
        <w:rPr>
          <w:rFonts w:hint="eastAsia"/>
          <w:color w:val="auto"/>
          <w:kern w:val="0"/>
          <w:sz w:val="24"/>
          <w:highlight w:val="none"/>
          <w:lang w:val="en-US" w:eastAsia="zh-CN"/>
        </w:rPr>
        <w:t>4</w:t>
      </w:r>
      <w:r>
        <w:rPr>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b/>
          <w:snapToGrid w:val="0"/>
          <w:color w:val="auto"/>
          <w:kern w:val="0"/>
          <w:sz w:val="21"/>
          <w:szCs w:val="18"/>
          <w:highlight w:val="none"/>
          <w:lang w:val="zh-CN"/>
        </w:rPr>
      </w:pPr>
      <w:r>
        <w:rPr>
          <w:b/>
          <w:snapToGrid w:val="0"/>
          <w:color w:val="auto"/>
          <w:kern w:val="0"/>
          <w:sz w:val="21"/>
          <w:szCs w:val="18"/>
          <w:highlight w:val="none"/>
          <w:lang w:val="zh-CN"/>
        </w:rPr>
        <w:t>表</w:t>
      </w:r>
      <w:r>
        <w:rPr>
          <w:rFonts w:hint="eastAsia"/>
          <w:b/>
          <w:snapToGrid w:val="0"/>
          <w:color w:val="auto"/>
          <w:kern w:val="0"/>
          <w:sz w:val="21"/>
          <w:szCs w:val="18"/>
          <w:highlight w:val="none"/>
        </w:rPr>
        <w:t>5.8</w:t>
      </w:r>
      <w:r>
        <w:rPr>
          <w:b/>
          <w:snapToGrid w:val="0"/>
          <w:color w:val="auto"/>
          <w:kern w:val="0"/>
          <w:sz w:val="21"/>
          <w:szCs w:val="18"/>
          <w:highlight w:val="none"/>
          <w:lang w:val="zh-CN"/>
        </w:rPr>
        <w:t>-</w:t>
      </w:r>
      <w:r>
        <w:rPr>
          <w:rFonts w:hint="eastAsia"/>
          <w:b/>
          <w:snapToGrid w:val="0"/>
          <w:color w:val="auto"/>
          <w:kern w:val="0"/>
          <w:sz w:val="21"/>
          <w:szCs w:val="18"/>
          <w:highlight w:val="none"/>
          <w:lang w:val="en-US" w:eastAsia="zh-CN"/>
        </w:rPr>
        <w:t>4</w:t>
      </w:r>
      <w:r>
        <w:rPr>
          <w:b/>
          <w:snapToGrid w:val="0"/>
          <w:color w:val="auto"/>
          <w:kern w:val="0"/>
          <w:sz w:val="21"/>
          <w:szCs w:val="18"/>
          <w:highlight w:val="none"/>
          <w:lang w:val="zh-CN"/>
        </w:rPr>
        <w:t xml:space="preserve">    项目环境影响评价等级判据一览表</w:t>
      </w:r>
    </w:p>
    <w:tbl>
      <w:tblPr>
        <w:tblStyle w:val="31"/>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6"/>
        <w:gridCol w:w="1456"/>
        <w:gridCol w:w="1704"/>
        <w:gridCol w:w="1706"/>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19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环境风险潜势</w:t>
            </w:r>
          </w:p>
        </w:tc>
        <w:tc>
          <w:tcPr>
            <w:tcW w:w="14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VI、VI+</w:t>
            </w:r>
          </w:p>
        </w:tc>
        <w:tc>
          <w:tcPr>
            <w:tcW w:w="17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III</w:t>
            </w:r>
          </w:p>
        </w:tc>
        <w:tc>
          <w:tcPr>
            <w:tcW w:w="17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II</w:t>
            </w:r>
          </w:p>
        </w:tc>
        <w:tc>
          <w:tcPr>
            <w:tcW w:w="1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19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环境风险评价等级</w:t>
            </w:r>
          </w:p>
        </w:tc>
        <w:tc>
          <w:tcPr>
            <w:tcW w:w="14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一</w:t>
            </w:r>
          </w:p>
        </w:tc>
        <w:tc>
          <w:tcPr>
            <w:tcW w:w="17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二</w:t>
            </w:r>
          </w:p>
        </w:tc>
        <w:tc>
          <w:tcPr>
            <w:tcW w:w="17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三</w:t>
            </w:r>
          </w:p>
        </w:tc>
        <w:tc>
          <w:tcPr>
            <w:tcW w:w="1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0"/>
                <w:highlight w:val="none"/>
              </w:rPr>
            </w:pPr>
            <w:r>
              <w:rPr>
                <w:color w:val="auto"/>
                <w:sz w:val="21"/>
                <w:szCs w:val="20"/>
                <w:highlight w:val="none"/>
              </w:rPr>
              <w:t>简单分析</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color w:val="auto"/>
          <w:kern w:val="0"/>
          <w:sz w:val="24"/>
          <w:highlight w:val="none"/>
          <w:lang w:val="zh-CN"/>
        </w:rPr>
      </w:pPr>
      <w:r>
        <w:rPr>
          <w:color w:val="auto"/>
          <w:kern w:val="0"/>
          <w:sz w:val="24"/>
          <w:highlight w:val="none"/>
          <w:lang w:val="zh-CN"/>
        </w:rPr>
        <w:t>本项目的环境风险潜势为I级，因此本项目的环境风险评价只需进行简单分析。</w:t>
      </w:r>
    </w:p>
    <w:p>
      <w:pPr>
        <w:pStyle w:val="7"/>
        <w:keepNext w:val="0"/>
        <w:keepLines w:val="0"/>
        <w:pageBreakBefore w:val="0"/>
        <w:widowControl w:val="0"/>
        <w:kinsoku/>
        <w:wordWrap/>
        <w:overflowPunct/>
        <w:topLinePunct w:val="0"/>
        <w:autoSpaceDE w:val="0"/>
        <w:autoSpaceDN w:val="0"/>
        <w:bidi w:val="0"/>
        <w:adjustRightInd w:val="0"/>
        <w:snapToGrid w:val="0"/>
        <w:ind w:left="0" w:firstLine="482" w:firstLineChars="200"/>
        <w:jc w:val="both"/>
        <w:textAlignment w:val="auto"/>
        <w:rPr>
          <w:color w:val="auto"/>
          <w:highlight w:val="none"/>
          <w:lang w:val="zh-CN"/>
        </w:rPr>
      </w:pPr>
      <w:r>
        <w:rPr>
          <w:rFonts w:hint="eastAsia"/>
          <w:color w:val="auto"/>
          <w:highlight w:val="none"/>
          <w:lang w:val="en-US" w:eastAsia="zh-CN"/>
        </w:rPr>
        <w:t>5.8.5.2</w:t>
      </w:r>
      <w:r>
        <w:rPr>
          <w:color w:val="auto"/>
          <w:highlight w:val="none"/>
          <w:lang w:val="zh-CN"/>
        </w:rPr>
        <w:t>评价范围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color w:val="auto"/>
          <w:kern w:val="0"/>
          <w:sz w:val="24"/>
          <w:highlight w:val="none"/>
          <w:lang w:val="zh-CN"/>
        </w:rPr>
      </w:pPr>
      <w:r>
        <w:rPr>
          <w:color w:val="auto"/>
          <w:kern w:val="0"/>
          <w:sz w:val="24"/>
          <w:highlight w:val="none"/>
          <w:lang w:val="zh-CN"/>
        </w:rPr>
        <w:t>根据《建设项目环境风险评价技术导则》（HJ169-2018）规定，本项目的环境风险评价只需进行简单分析，因此大气环境、地表水环境及地下水环境风险评价不设置评价范围。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color w:val="auto"/>
          <w:kern w:val="0"/>
          <w:sz w:val="24"/>
          <w:szCs w:val="24"/>
          <w:highlight w:val="none"/>
          <w:lang w:val="zh-CN"/>
        </w:rPr>
      </w:pPr>
      <w:r>
        <w:rPr>
          <w:color w:val="auto"/>
          <w:kern w:val="0"/>
          <w:sz w:val="24"/>
          <w:szCs w:val="24"/>
          <w:highlight w:val="none"/>
          <w:lang w:val="zh-CN"/>
        </w:rPr>
        <w:t>本次评价主要针对</w:t>
      </w:r>
      <w:r>
        <w:rPr>
          <w:rFonts w:hint="eastAsia"/>
          <w:color w:val="auto"/>
          <w:kern w:val="0"/>
          <w:sz w:val="24"/>
          <w:szCs w:val="24"/>
          <w:highlight w:val="none"/>
          <w:lang w:val="zh-CN"/>
        </w:rPr>
        <w:t>锅炉房</w:t>
      </w:r>
      <w:r>
        <w:rPr>
          <w:color w:val="auto"/>
          <w:kern w:val="0"/>
          <w:sz w:val="24"/>
          <w:szCs w:val="24"/>
          <w:highlight w:val="none"/>
          <w:lang w:val="zh-CN"/>
        </w:rPr>
        <w:t>的环境风险进行简单分析。</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5.8.6</w:t>
      </w:r>
      <w:r>
        <w:rPr>
          <w:rFonts w:hint="default" w:ascii="Times New Roman" w:hAnsi="Times New Roman" w:cs="Times New Roman"/>
          <w:color w:val="auto"/>
          <w:highlight w:val="none"/>
          <w:lang w:val="zh-CN"/>
        </w:rPr>
        <w:t>风险事故因素分析</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（1）常见事故</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锅炉是一种承压设备，如其经常在高温、高压状态下运行，则容易发生的事故有缺水、满水、受压部件破坏、锅炉内水冲击、燃烧设备故障以及附属设备损坏等。除上述事故，锅炉在运行过程中还会发生一些影响正常生产事故，如：炉排卡死、熔断；拦渣器熔断；前拱墙崩塌；再热器管、减温器管、疏水管、防腐管等管道的爆漏；锅炉烟管泄漏；锅炉灭火；锅炉入孔装置垫片冲出；锅炉上水控制系统等事故。</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（2）</w:t>
      </w:r>
      <w:r>
        <w:rPr>
          <w:rFonts w:hint="eastAsia" w:ascii="Times New Roman" w:hAnsi="Times New Roman" w:cs="Times New Roman"/>
          <w:color w:val="auto"/>
          <w:highlight w:val="none"/>
          <w:lang w:val="zh-CN"/>
        </w:rPr>
        <w:t>其他</w:t>
      </w:r>
      <w:r>
        <w:rPr>
          <w:rFonts w:ascii="Times New Roman" w:hAnsi="Times New Roman" w:cs="Times New Roman"/>
          <w:color w:val="auto"/>
          <w:highlight w:val="none"/>
          <w:lang w:val="zh-CN"/>
        </w:rPr>
        <w:t>突发事故</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hint="eastAsia" w:ascii="Times New Roman" w:hAnsi="Times New Roman" w:cs="Times New Roman"/>
          <w:color w:val="auto"/>
          <w:highlight w:val="none"/>
          <w:lang w:val="zh-CN"/>
        </w:rPr>
        <w:t>其他</w:t>
      </w:r>
      <w:r>
        <w:rPr>
          <w:rFonts w:ascii="Times New Roman" w:hAnsi="Times New Roman" w:cs="Times New Roman"/>
          <w:color w:val="auto"/>
          <w:highlight w:val="none"/>
          <w:lang w:val="zh-CN"/>
        </w:rPr>
        <w:t>突发事故主要有</w:t>
      </w:r>
      <w:r>
        <w:rPr>
          <w:rFonts w:hint="eastAsia" w:ascii="Times New Roman" w:hAnsi="Times New Roman" w:cs="Times New Roman"/>
          <w:color w:val="auto"/>
          <w:highlight w:val="none"/>
          <w:lang w:val="zh-CN"/>
        </w:rPr>
        <w:t>废机油泄漏、储煤煤尘爆炸事故</w:t>
      </w:r>
      <w:r>
        <w:rPr>
          <w:rFonts w:ascii="Times New Roman" w:hAnsi="Times New Roman" w:cs="Times New Roman"/>
          <w:color w:val="auto"/>
          <w:highlight w:val="none"/>
          <w:lang w:val="zh-CN"/>
        </w:rPr>
        <w:t>。</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5.8.7</w:t>
      </w:r>
      <w:r>
        <w:rPr>
          <w:rFonts w:hint="default" w:ascii="Times New Roman" w:hAnsi="Times New Roman" w:cs="Times New Roman"/>
          <w:color w:val="auto"/>
          <w:highlight w:val="none"/>
          <w:lang w:val="zh-CN"/>
        </w:rPr>
        <w:t>环境</w:t>
      </w:r>
      <w:r>
        <w:rPr>
          <w:rFonts w:hint="eastAsia" w:ascii="Times New Roman" w:hAnsi="Times New Roman" w:cs="Times New Roman"/>
          <w:color w:val="auto"/>
          <w:highlight w:val="none"/>
          <w:lang w:val="zh-CN"/>
        </w:rPr>
        <w:t>风险</w:t>
      </w:r>
      <w:r>
        <w:rPr>
          <w:rFonts w:hint="default" w:ascii="Times New Roman" w:hAnsi="Times New Roman" w:cs="Times New Roman"/>
          <w:color w:val="auto"/>
          <w:highlight w:val="none"/>
          <w:lang w:val="zh-CN"/>
        </w:rPr>
        <w:t>影响分析</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在工艺过程中发生的事故，不论是人为因素引起的，还是环境因素所致的，或是自身因素造成的，其结果都会给居民生活和企业生产带来不便，并造成供热单位经济损失，一旦事故严重，还可能危及人身安全，并对热源周围环境带来不同程度的影响，如：爆管时，锅炉间充满的混合气体会对大气环境造成一定污染；烟道泄漏时，排放大气中污染物会增多等。事故如不及时处理，将损坏设施，造成停炉，重则将引起锅炉爆炸，危及人身安全。</w:t>
      </w:r>
    </w:p>
    <w:p>
      <w:pPr>
        <w:keepNext w:val="0"/>
        <w:keepLines w:val="0"/>
        <w:pageBreakBefore w:val="0"/>
        <w:widowControl w:val="0"/>
        <w:kinsoku/>
        <w:wordWrap/>
        <w:overflowPunct/>
        <w:topLinePunct w:val="0"/>
        <w:autoSpaceDE w:val="0"/>
        <w:autoSpaceDN w:val="0"/>
        <w:bidi w:val="0"/>
        <w:adjustRightInd w:val="0"/>
        <w:snapToGrid w:val="0"/>
        <w:ind w:left="0" w:firstLine="480" w:firstLineChars="200"/>
        <w:textAlignment w:val="auto"/>
        <w:rPr>
          <w:rFonts w:hint="eastAsia" w:ascii="Times New Roman" w:hAnsi="Times New Roman" w:cs="Times New Roman"/>
          <w:color w:val="auto"/>
          <w:highlight w:val="none"/>
          <w:lang w:val="zh-CN"/>
        </w:rPr>
      </w:pPr>
      <w:r>
        <w:rPr>
          <w:rFonts w:hint="eastAsia"/>
          <w:color w:val="auto"/>
          <w:highlight w:val="none"/>
          <w:lang w:val="zh-CN"/>
        </w:rPr>
        <w:t>项目废机油暂存于危废间，危废间严格按照《危险废物贮存污染控制标准》（GB18957-2023）中有关规定进行建设，做到“六防”（防风、防晒、防雨、防漏、防渗、防腐）。本项目废机油暂存量极少，发生废机油泄漏时，废机油可以在危废间内收集，会有部分挥发性有机物</w:t>
      </w:r>
      <w:r>
        <w:rPr>
          <w:rFonts w:ascii="Times New Roman" w:hAnsi="Times New Roman" w:cs="Times New Roman"/>
          <w:color w:val="auto"/>
          <w:highlight w:val="none"/>
          <w:lang w:val="zh-CN"/>
        </w:rPr>
        <w:t>排放大气中污染物会增多等。事故如不及时处理，</w:t>
      </w:r>
      <w:r>
        <w:rPr>
          <w:rFonts w:hint="eastAsia" w:ascii="Times New Roman" w:hAnsi="Times New Roman" w:cs="Times New Roman"/>
          <w:color w:val="auto"/>
          <w:highlight w:val="none"/>
          <w:lang w:val="zh-CN"/>
        </w:rPr>
        <w:t>将影响周边环境。</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color w:val="auto"/>
          <w:highlight w:val="none"/>
          <w:lang w:val="zh-CN"/>
        </w:rPr>
      </w:pPr>
      <w:r>
        <w:rPr>
          <w:rFonts w:hint="eastAsia"/>
          <w:color w:val="auto"/>
          <w:highlight w:val="none"/>
          <w:lang w:val="zh-CN"/>
        </w:rPr>
        <w:t>项目煤场采取洒水抑尘措施，严格控制煤尘的产生，防止发生</w:t>
      </w:r>
      <w:r>
        <w:rPr>
          <w:rFonts w:hint="eastAsia" w:ascii="Times New Roman" w:hAnsi="Times New Roman" w:cs="Times New Roman"/>
          <w:color w:val="auto"/>
          <w:highlight w:val="none"/>
          <w:lang w:val="zh-CN"/>
        </w:rPr>
        <w:t>煤尘爆炸事故</w:t>
      </w:r>
      <w:r>
        <w:rPr>
          <w:rFonts w:ascii="Times New Roman" w:hAnsi="Times New Roman" w:cs="Times New Roman"/>
          <w:color w:val="auto"/>
          <w:highlight w:val="none"/>
          <w:lang w:val="zh-CN"/>
        </w:rPr>
        <w:t>。</w:t>
      </w:r>
      <w:r>
        <w:rPr>
          <w:rFonts w:hint="eastAsia" w:ascii="Times New Roman" w:hAnsi="Times New Roman" w:cs="Times New Roman"/>
          <w:color w:val="auto"/>
          <w:highlight w:val="none"/>
          <w:lang w:val="zh-CN"/>
        </w:rPr>
        <w:t>万一发生煤尘爆炸事故，</w:t>
      </w:r>
      <w:r>
        <w:rPr>
          <w:rFonts w:ascii="Times New Roman" w:hAnsi="Times New Roman" w:cs="Times New Roman"/>
          <w:color w:val="auto"/>
          <w:highlight w:val="none"/>
          <w:lang w:val="zh-CN"/>
        </w:rPr>
        <w:t>将损坏</w:t>
      </w:r>
      <w:r>
        <w:rPr>
          <w:rFonts w:hint="eastAsia" w:ascii="Times New Roman" w:hAnsi="Times New Roman" w:cs="Times New Roman"/>
          <w:color w:val="auto"/>
          <w:highlight w:val="none"/>
          <w:lang w:val="zh-CN"/>
        </w:rPr>
        <w:t>周边</w:t>
      </w:r>
      <w:r>
        <w:rPr>
          <w:rFonts w:ascii="Times New Roman" w:hAnsi="Times New Roman" w:cs="Times New Roman"/>
          <w:color w:val="auto"/>
          <w:highlight w:val="none"/>
          <w:lang w:val="zh-CN"/>
        </w:rPr>
        <w:t>设施，危及人身安全。</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jc w:val="both"/>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5.8.8</w:t>
      </w:r>
      <w:r>
        <w:rPr>
          <w:rFonts w:hint="default" w:ascii="Times New Roman" w:hAnsi="Times New Roman" w:cs="Times New Roman"/>
          <w:color w:val="auto"/>
          <w:highlight w:val="none"/>
          <w:lang w:val="zh-CN"/>
        </w:rPr>
        <w:t>事故防范措施</w:t>
      </w:r>
    </w:p>
    <w:p>
      <w:pPr>
        <w:pStyle w:val="7"/>
        <w:keepNext w:val="0"/>
        <w:keepLines w:val="0"/>
        <w:pageBreakBefore w:val="0"/>
        <w:widowControl w:val="0"/>
        <w:kinsoku/>
        <w:wordWrap/>
        <w:overflowPunct/>
        <w:topLinePunct w:val="0"/>
        <w:autoSpaceDE w:val="0"/>
        <w:autoSpaceDN w:val="0"/>
        <w:bidi w:val="0"/>
        <w:adjustRightInd w:val="0"/>
        <w:snapToGrid w:val="0"/>
        <w:ind w:left="0" w:firstLine="482" w:firstLineChars="200"/>
        <w:jc w:val="both"/>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5.8.8.1</w:t>
      </w:r>
      <w:r>
        <w:rPr>
          <w:rFonts w:hint="default" w:ascii="Times New Roman" w:hAnsi="Times New Roman" w:cs="Times New Roman"/>
          <w:color w:val="auto"/>
          <w:highlight w:val="none"/>
          <w:lang w:val="zh-CN"/>
        </w:rPr>
        <w:t>锅炉事故防范措施</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针对</w:t>
      </w:r>
      <w:r>
        <w:rPr>
          <w:rFonts w:hint="eastAsia" w:cs="Times New Roman"/>
          <w:color w:val="auto"/>
          <w:highlight w:val="none"/>
          <w:lang w:val="zh-CN"/>
        </w:rPr>
        <w:t>供热</w:t>
      </w:r>
      <w:r>
        <w:rPr>
          <w:rFonts w:ascii="Times New Roman" w:hAnsi="Times New Roman" w:cs="Times New Roman"/>
          <w:color w:val="auto"/>
          <w:highlight w:val="none"/>
          <w:lang w:val="zh-CN"/>
        </w:rPr>
        <w:t>工程中常见事故原因，本项目在设计、施工、操作及劳动组织等各方面均应采取必要预防措施，以防患于未然。具体建议采取措施如下：</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（1）各级管理人员应重视锅炉水质管理，并制定相应管理制度及岗位责任制；</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（2）定期排污规范化，并重视供热系统除污，防止供热系统污物回水进入锅炉；</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（3）锅炉本体设计上应将受热情况有较大差异受热面分设独立水循环系统；</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（4）设计中严格遵守国家和有关部门关于防火、防爆的安全标准规定，合理布局，防止火灾蔓延，相互影响；</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（5）锅炉房采用微机控制，监测控制锅炉房锅筒水位、给水压力等，配备报警器和变频远程控制器，实现锅炉安全运行；</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（6）操作人员必须经过严格岗位培训，提高操作水平和熟练程度，以避免因失误操作引起的事故，并对操作人员加强安全教育，以提高其责任心；</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（7）以各生产装置为单位，组织工人和技术人员对本装置易发生事故部位、事故类型及后果、事故防范及处置等进行分析，并编制安全手册，以提高安全操作水平和处置突发事故的应变能力；</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（8）在日常生产中应加强对设备、管道、泵、阀等的检修维护，及时发现问题及时处理，同时在锅炉每年停炉期间认真进行检修维护；</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（9）在仪器、仪表、设备的选型和采购方面坚持</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质量第一，安全可靠</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的原则，以减少因仪器、仪表、设备的原因造成的泄漏和爆漏；</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（10）锅炉操作人员应培训且获得上岗证后方可上岗，并在工程设计中应考虑防震、防雷击措施。</w:t>
      </w:r>
    </w:p>
    <w:p>
      <w:pPr>
        <w:pStyle w:val="7"/>
        <w:keepNext w:val="0"/>
        <w:keepLines w:val="0"/>
        <w:pageBreakBefore w:val="0"/>
        <w:widowControl w:val="0"/>
        <w:kinsoku/>
        <w:wordWrap/>
        <w:overflowPunct/>
        <w:topLinePunct w:val="0"/>
        <w:autoSpaceDE w:val="0"/>
        <w:autoSpaceDN w:val="0"/>
        <w:bidi w:val="0"/>
        <w:adjustRightInd w:val="0"/>
        <w:snapToGrid w:val="0"/>
        <w:ind w:left="0" w:firstLine="482" w:firstLineChars="200"/>
        <w:jc w:val="both"/>
        <w:textAlignment w:val="auto"/>
        <w:rPr>
          <w:color w:val="auto"/>
          <w:highlight w:val="none"/>
          <w:lang w:val="zh-CN"/>
        </w:rPr>
      </w:pPr>
      <w:r>
        <w:rPr>
          <w:rFonts w:hint="eastAsia"/>
          <w:color w:val="auto"/>
          <w:highlight w:val="none"/>
          <w:lang w:val="en-US" w:eastAsia="zh-CN"/>
        </w:rPr>
        <w:t>5.8.8.2</w:t>
      </w:r>
      <w:r>
        <w:rPr>
          <w:rFonts w:hint="eastAsia"/>
          <w:color w:val="auto"/>
          <w:highlight w:val="none"/>
          <w:lang w:val="zh-CN"/>
        </w:rPr>
        <w:t>废机油泄漏事故防范措施</w:t>
      </w:r>
    </w:p>
    <w:p>
      <w:pPr>
        <w:keepNext w:val="0"/>
        <w:keepLines w:val="0"/>
        <w:pageBreakBefore w:val="0"/>
        <w:widowControl w:val="0"/>
        <w:numPr>
          <w:ilvl w:val="0"/>
          <w:numId w:val="19"/>
        </w:numPr>
        <w:kinsoku/>
        <w:wordWrap/>
        <w:overflowPunct/>
        <w:topLinePunct w:val="0"/>
        <w:autoSpaceDE w:val="0"/>
        <w:autoSpaceDN w:val="0"/>
        <w:bidi w:val="0"/>
        <w:adjustRightInd w:val="0"/>
        <w:snapToGrid w:val="0"/>
        <w:ind w:left="0" w:firstLine="480" w:firstLineChars="200"/>
        <w:textAlignment w:val="auto"/>
        <w:rPr>
          <w:rFonts w:hint="eastAsia"/>
          <w:color w:val="auto"/>
          <w:highlight w:val="none"/>
          <w:lang w:val="zh-CN"/>
        </w:rPr>
      </w:pPr>
      <w:r>
        <w:rPr>
          <w:rFonts w:hint="eastAsia"/>
          <w:color w:val="auto"/>
          <w:highlight w:val="none"/>
          <w:lang w:val="zh-CN"/>
        </w:rPr>
        <w:t>危废间严格按照《危险废物贮存污染控制标准》（GB18957-2023）中有关规定进行建设，做到“六防”（防风、防晒、防雨、防漏、防渗、防腐）。</w:t>
      </w:r>
    </w:p>
    <w:p>
      <w:pPr>
        <w:keepNext w:val="0"/>
        <w:keepLines w:val="0"/>
        <w:pageBreakBefore w:val="0"/>
        <w:widowControl w:val="0"/>
        <w:numPr>
          <w:ilvl w:val="0"/>
          <w:numId w:val="19"/>
        </w:numPr>
        <w:kinsoku/>
        <w:wordWrap/>
        <w:overflowPunct/>
        <w:topLinePunct w:val="0"/>
        <w:autoSpaceDE w:val="0"/>
        <w:autoSpaceDN w:val="0"/>
        <w:bidi w:val="0"/>
        <w:adjustRightInd w:val="0"/>
        <w:snapToGrid w:val="0"/>
        <w:ind w:left="0" w:firstLine="480" w:firstLineChars="200"/>
        <w:textAlignment w:val="auto"/>
        <w:rPr>
          <w:color w:val="auto"/>
          <w:highlight w:val="none"/>
          <w:lang w:val="zh-CN"/>
        </w:rPr>
      </w:pPr>
      <w:r>
        <w:rPr>
          <w:rFonts w:hint="eastAsia"/>
          <w:color w:val="auto"/>
          <w:highlight w:val="none"/>
          <w:lang w:val="zh-CN"/>
        </w:rPr>
        <w:t>危废间外墙有显著标识、警示标志以及上墙制度。有危险性说明、管理人员姓名、电话等信息；装有危废的容器贴有标签，在标签上详细标明危废的名称、重量、成分、特性以及发生泄漏、扩散污染事故时的应急措施和补救方法。</w:t>
      </w:r>
    </w:p>
    <w:p>
      <w:pPr>
        <w:keepNext w:val="0"/>
        <w:keepLines w:val="0"/>
        <w:pageBreakBefore w:val="0"/>
        <w:widowControl w:val="0"/>
        <w:numPr>
          <w:ilvl w:val="0"/>
          <w:numId w:val="19"/>
        </w:numPr>
        <w:kinsoku/>
        <w:wordWrap/>
        <w:overflowPunct/>
        <w:topLinePunct w:val="0"/>
        <w:autoSpaceDE w:val="0"/>
        <w:autoSpaceDN w:val="0"/>
        <w:bidi w:val="0"/>
        <w:adjustRightInd w:val="0"/>
        <w:snapToGrid w:val="0"/>
        <w:ind w:left="0" w:leftChars="0" w:firstLine="480" w:firstLineChars="200"/>
        <w:textAlignment w:val="auto"/>
        <w:rPr>
          <w:rFonts w:hint="eastAsia"/>
          <w:color w:val="auto"/>
          <w:highlight w:val="none"/>
          <w:lang w:val="zh-CN"/>
        </w:rPr>
      </w:pPr>
      <w:r>
        <w:rPr>
          <w:rFonts w:hint="eastAsia"/>
          <w:color w:val="auto"/>
          <w:highlight w:val="none"/>
          <w:lang w:val="zh-CN"/>
        </w:rPr>
        <w:t>废机油收集在密封容器内，加强管理，做好记录和台账。同时尽快将废机油交有资质的单位进行处置。</w:t>
      </w:r>
    </w:p>
    <w:p>
      <w:pPr>
        <w:pStyle w:val="7"/>
        <w:keepNext w:val="0"/>
        <w:keepLines w:val="0"/>
        <w:pageBreakBefore w:val="0"/>
        <w:widowControl w:val="0"/>
        <w:kinsoku/>
        <w:wordWrap/>
        <w:overflowPunct/>
        <w:topLinePunct w:val="0"/>
        <w:autoSpaceDE w:val="0"/>
        <w:autoSpaceDN w:val="0"/>
        <w:bidi w:val="0"/>
        <w:adjustRightInd w:val="0"/>
        <w:snapToGrid w:val="0"/>
        <w:ind w:left="0" w:firstLine="482" w:firstLineChars="200"/>
        <w:jc w:val="both"/>
        <w:textAlignment w:val="auto"/>
        <w:rPr>
          <w:color w:val="auto"/>
          <w:highlight w:val="none"/>
          <w:lang w:val="zh-CN"/>
        </w:rPr>
      </w:pPr>
      <w:r>
        <w:rPr>
          <w:rFonts w:hint="eastAsia"/>
          <w:color w:val="auto"/>
          <w:highlight w:val="none"/>
          <w:lang w:val="en-US" w:eastAsia="zh-CN"/>
        </w:rPr>
        <w:t>5.8.8.3</w:t>
      </w:r>
      <w:r>
        <w:rPr>
          <w:rFonts w:hint="eastAsia"/>
          <w:color w:val="auto"/>
          <w:highlight w:val="none"/>
          <w:lang w:val="zh-CN"/>
        </w:rPr>
        <w:t>储煤煤尘爆炸防范措施</w:t>
      </w:r>
    </w:p>
    <w:p>
      <w:pPr>
        <w:keepNext w:val="0"/>
        <w:keepLines w:val="0"/>
        <w:pageBreakBefore w:val="0"/>
        <w:widowControl w:val="0"/>
        <w:numPr>
          <w:ilvl w:val="0"/>
          <w:numId w:val="20"/>
        </w:numPr>
        <w:kinsoku/>
        <w:wordWrap/>
        <w:overflowPunct/>
        <w:topLinePunct w:val="0"/>
        <w:autoSpaceDE w:val="0"/>
        <w:autoSpaceDN w:val="0"/>
        <w:bidi w:val="0"/>
        <w:adjustRightInd w:val="0"/>
        <w:snapToGrid w:val="0"/>
        <w:ind w:left="0" w:firstLine="480" w:firstLineChars="200"/>
        <w:textAlignment w:val="auto"/>
        <w:rPr>
          <w:rFonts w:hint="eastAsia"/>
          <w:color w:val="auto"/>
          <w:highlight w:val="none"/>
          <w:lang w:val="zh-CN"/>
        </w:rPr>
      </w:pPr>
      <w:r>
        <w:rPr>
          <w:rFonts w:hint="eastAsia"/>
          <w:color w:val="auto"/>
          <w:highlight w:val="none"/>
          <w:lang w:val="zh-CN"/>
        </w:rPr>
        <w:t>煤场采取洒水抑尘措施，严格控制煤尘的产生。</w:t>
      </w:r>
    </w:p>
    <w:p>
      <w:pPr>
        <w:keepNext w:val="0"/>
        <w:keepLines w:val="0"/>
        <w:pageBreakBefore w:val="0"/>
        <w:widowControl w:val="0"/>
        <w:numPr>
          <w:ilvl w:val="0"/>
          <w:numId w:val="20"/>
        </w:numPr>
        <w:kinsoku/>
        <w:wordWrap/>
        <w:overflowPunct/>
        <w:topLinePunct w:val="0"/>
        <w:autoSpaceDE w:val="0"/>
        <w:autoSpaceDN w:val="0"/>
        <w:bidi w:val="0"/>
        <w:adjustRightInd w:val="0"/>
        <w:snapToGrid w:val="0"/>
        <w:ind w:left="0" w:firstLine="480" w:firstLineChars="200"/>
        <w:textAlignment w:val="auto"/>
        <w:rPr>
          <w:color w:val="auto"/>
          <w:highlight w:val="none"/>
          <w:lang w:val="zh-CN"/>
        </w:rPr>
      </w:pPr>
      <w:r>
        <w:rPr>
          <w:rFonts w:hint="eastAsia"/>
          <w:color w:val="auto"/>
          <w:highlight w:val="none"/>
          <w:lang w:val="zh-CN"/>
        </w:rPr>
        <w:t>煤场区域内严禁烟火。</w:t>
      </w:r>
    </w:p>
    <w:p>
      <w:pPr>
        <w:keepNext w:val="0"/>
        <w:keepLines w:val="0"/>
        <w:pageBreakBefore w:val="0"/>
        <w:widowControl w:val="0"/>
        <w:numPr>
          <w:ilvl w:val="0"/>
          <w:numId w:val="20"/>
        </w:numPr>
        <w:kinsoku/>
        <w:wordWrap/>
        <w:overflowPunct/>
        <w:topLinePunct w:val="0"/>
        <w:autoSpaceDE w:val="0"/>
        <w:autoSpaceDN w:val="0"/>
        <w:bidi w:val="0"/>
        <w:adjustRightInd w:val="0"/>
        <w:snapToGrid w:val="0"/>
        <w:ind w:left="0" w:firstLine="480" w:firstLineChars="200"/>
        <w:textAlignment w:val="auto"/>
        <w:rPr>
          <w:color w:val="auto"/>
          <w:highlight w:val="none"/>
          <w:lang w:val="zh-CN"/>
        </w:rPr>
      </w:pPr>
      <w:r>
        <w:rPr>
          <w:rFonts w:hint="eastAsia"/>
          <w:color w:val="auto"/>
          <w:highlight w:val="none"/>
          <w:lang w:val="zh-CN"/>
        </w:rPr>
        <w:t>加强管理和巡查力度，发现隐患时，及时消除或上报单位主要负责人。</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5.8.9</w:t>
      </w:r>
      <w:r>
        <w:rPr>
          <w:rFonts w:hint="default" w:ascii="Times New Roman" w:hAnsi="Times New Roman" w:cs="Times New Roman"/>
          <w:color w:val="auto"/>
          <w:highlight w:val="none"/>
          <w:lang w:val="zh-CN"/>
        </w:rPr>
        <w:t>事故应急处理措施</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为了加强和规范对</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突发事件的应急处置工作，维护公众利益和社会利益，提高对</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突发事件的快速反应和处置能力，最大限度减少突发事件造成影响和损失，建设单位应在本项目运营期间采取如下事故应急处理措施：</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（1）建立事故应急处理组织体系，并且为其制定相应职责</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在</w:t>
      </w:r>
      <w:r>
        <w:rPr>
          <w:rFonts w:hint="eastAsia" w:cs="Times New Roman"/>
          <w:color w:val="auto"/>
          <w:highlight w:val="none"/>
          <w:lang w:eastAsia="zh-CN"/>
        </w:rPr>
        <w:t>额敏县</w:t>
      </w:r>
      <w:r>
        <w:rPr>
          <w:rFonts w:ascii="Times New Roman" w:hAnsi="Times New Roman" w:cs="Times New Roman"/>
          <w:color w:val="auto"/>
          <w:highlight w:val="none"/>
          <w:lang w:val="zh-CN"/>
        </w:rPr>
        <w:t>相关管理部门统一领导下，成立突发事故应急指挥部，领导和协调供热范围</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突发事故应急处置工作，主要职责为：a、组织实施突发事件应急预案；b、统一协调各有关部门应急处理</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突发事件；c、依据应急事件等级，提出预警方案，采取有关预警措施和紧急措施；d、部署和总结年度</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行业事故应急工作；e、负责</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突发事故应急信息的</w:t>
      </w:r>
      <w:r>
        <w:rPr>
          <w:rFonts w:hint="eastAsia" w:ascii="Times New Roman" w:hAnsi="Times New Roman" w:cs="Times New Roman"/>
          <w:color w:val="auto"/>
          <w:highlight w:val="none"/>
          <w:lang w:val="zh-CN"/>
        </w:rPr>
        <w:t>接收</w:t>
      </w:r>
      <w:r>
        <w:rPr>
          <w:rFonts w:ascii="Times New Roman" w:hAnsi="Times New Roman" w:cs="Times New Roman"/>
          <w:color w:val="auto"/>
          <w:highlight w:val="none"/>
          <w:lang w:val="zh-CN"/>
        </w:rPr>
        <w:t>、核实、处理、传递和通报；f、完成上级部门交办的其他工作。</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（2）建立并完善预防及应急处理机制，执行并落实各项事故应急处理措施</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地区</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事故应急救援机构应当定期研究城市</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安全应急救援工作，检查所辖范围内</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安全生产制度和应急救援预案的建立、实施情况，加强</w:t>
      </w:r>
      <w:r>
        <w:rPr>
          <w:rFonts w:hint="eastAsia" w:cs="Times New Roman"/>
          <w:color w:val="auto"/>
          <w:highlight w:val="none"/>
          <w:lang w:val="zh-CN"/>
        </w:rPr>
        <w:t>热力的生产和供应</w:t>
      </w:r>
      <w:r>
        <w:rPr>
          <w:rFonts w:ascii="Times New Roman" w:hAnsi="Times New Roman" w:cs="Times New Roman"/>
          <w:color w:val="auto"/>
          <w:highlight w:val="none"/>
          <w:lang w:val="zh-CN"/>
        </w:rPr>
        <w:t>安全宣传教育、监督检查工作，及时消除隐患，防患于未然。</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（3）建立并完善事故应急响应及终止机制</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A</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基本程序</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发生事故后，事故现场人员可拨打110报告事故情况，并且向当地事故应急救援机构报告，同时组织相关人员做好事故现场的抢险工作，事故所在地事故应急救援机构接到报告后，立即启动本地的应急救援预案，并且迅速向上级机关报告。</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B</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事故报告</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报告原则和程序：事故发生后，事故发生单位应立即报告当地应急救援机构，并在24小时内提交书面报告，应急救援机构接到事故报告后，1小时内报告上级部门。</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报告内容：（a）事故发生的时间、地点，事故类别，人员伤亡情况，设施损失及对</w:t>
      </w:r>
      <w:r>
        <w:rPr>
          <w:rFonts w:hint="eastAsia" w:cs="Times New Roman"/>
          <w:color w:val="auto"/>
          <w:highlight w:val="none"/>
          <w:lang w:val="zh-CN"/>
        </w:rPr>
        <w:t>厂区</w:t>
      </w:r>
      <w:r>
        <w:rPr>
          <w:rFonts w:ascii="Times New Roman" w:hAnsi="Times New Roman" w:cs="Times New Roman"/>
          <w:color w:val="auto"/>
          <w:highlight w:val="none"/>
          <w:lang w:val="zh-CN"/>
        </w:rPr>
        <w:t>造成影响的情况；（b）险情的基本情况，事故的简要经过，紧急抢险救援情况，直接经济损失；（c）险情或事故原因的初步分析或基本结论；（d）采取的措施；（e）事故报告单位、签发人及报告时间。</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C</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事故处置</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遵循“统一指挥、快速反应、各司其职、协同配合、科学高效”原则，共同做好事故应急处置及抢险救援工作。</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在事故发生后，应立即启动抢险应急救援预案，全力开展事故抢险工作，并且将有关情况及时向上级部门报告。</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D</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信息发布</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事故信息和新闻发布，由应急救援指挥部及事故所在地人民政府实行集中、统一管理，以确保信息准确，及时传递，并根据国家有关法律、法规向社会公布。</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E</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应急终止</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应急救援指挥部根据事故抢险工作进展的情况，决定应急救援终止，并及时向上级部门报告。</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抢险应急状态终止后，要对事故发生及抢险经过、事故原因、事故造成的后果（应包括伤亡人员情况及经济损失情况）、预防事故采取措施、应急预案效果及评估情况，应吸取经验教训及对事故责任单位及责任人处理等情况总结报告上级主管部门。</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（4）加强事故应急处置的保障工作</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A</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组织好应急救援预案工作基本力量</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组织建立专业抢险队伍，配备相应抢险设备，挑选专业技术过硬的人员担当重要责任，制定分类别的应急抢险工作规程。</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B</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在事件处理中定期总结经验</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针对处理事件过程中存在的问题，改进和完善各项应急准备工作，不断完善事故应急救援预案。</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C</w:t>
      </w:r>
      <w:r>
        <w:rPr>
          <w:rFonts w:hint="eastAsia" w:ascii="Times New Roman" w:hAnsi="Times New Roman" w:cs="Times New Roman"/>
          <w:color w:val="auto"/>
          <w:highlight w:val="none"/>
          <w:lang w:val="zh-CN"/>
        </w:rPr>
        <w:t>.</w:t>
      </w:r>
      <w:r>
        <w:rPr>
          <w:rFonts w:ascii="Times New Roman" w:hAnsi="Times New Roman" w:cs="Times New Roman"/>
          <w:color w:val="auto"/>
          <w:highlight w:val="none"/>
          <w:lang w:val="zh-CN"/>
        </w:rPr>
        <w:t>加强</w:t>
      </w:r>
      <w:r>
        <w:rPr>
          <w:rFonts w:hint="eastAsia" w:cs="Times New Roman"/>
          <w:color w:val="auto"/>
          <w:highlight w:val="none"/>
          <w:lang w:val="zh-CN"/>
        </w:rPr>
        <w:t>锅炉</w:t>
      </w:r>
      <w:r>
        <w:rPr>
          <w:rFonts w:ascii="Times New Roman" w:hAnsi="Times New Roman" w:cs="Times New Roman"/>
          <w:color w:val="auto"/>
          <w:highlight w:val="none"/>
          <w:lang w:val="zh-CN"/>
        </w:rPr>
        <w:t>使用知识及安全防范宣传工作</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firstLine="480" w:firstLineChars="200"/>
        <w:textAlignment w:val="auto"/>
        <w:rPr>
          <w:rFonts w:ascii="Times New Roman" w:hAnsi="Times New Roman" w:cs="Times New Roman"/>
          <w:color w:val="auto"/>
          <w:highlight w:val="none"/>
          <w:lang w:val="zh-CN"/>
        </w:rPr>
      </w:pPr>
      <w:r>
        <w:rPr>
          <w:rFonts w:ascii="Times New Roman" w:hAnsi="Times New Roman" w:cs="Times New Roman"/>
          <w:color w:val="auto"/>
          <w:highlight w:val="none"/>
          <w:lang w:val="zh-CN"/>
        </w:rPr>
        <w:t>有计划、</w:t>
      </w:r>
      <w:r>
        <w:rPr>
          <w:rFonts w:hint="eastAsia" w:ascii="Times New Roman" w:hAnsi="Times New Roman" w:cs="Times New Roman"/>
          <w:color w:val="auto"/>
          <w:highlight w:val="none"/>
          <w:lang w:val="zh-CN"/>
        </w:rPr>
        <w:t>有针对性地开展</w:t>
      </w:r>
      <w:r>
        <w:rPr>
          <w:rFonts w:ascii="Times New Roman" w:hAnsi="Times New Roman" w:cs="Times New Roman"/>
          <w:color w:val="auto"/>
          <w:highlight w:val="none"/>
          <w:lang w:val="zh-CN"/>
        </w:rPr>
        <w:t>预防事故及有关知识的宣传，增强公众及运营人员预防事故常识和防范意识，不断提高防范和应急反应能力。</w:t>
      </w:r>
    </w:p>
    <w:p>
      <w:pPr>
        <w:pStyle w:val="6"/>
        <w:keepNext w:val="0"/>
        <w:keepLines w:val="0"/>
        <w:pageBreakBefore w:val="0"/>
        <w:widowControl w:val="0"/>
        <w:kinsoku/>
        <w:wordWrap/>
        <w:overflowPunct/>
        <w:topLinePunct w:val="0"/>
        <w:autoSpaceDE w:val="0"/>
        <w:autoSpaceDN w:val="0"/>
        <w:bidi w:val="0"/>
        <w:adjustRightInd w:val="0"/>
        <w:snapToGrid w:val="0"/>
        <w:ind w:left="0" w:firstLine="562" w:firstLineChars="200"/>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5.8.10</w:t>
      </w:r>
      <w:r>
        <w:rPr>
          <w:rFonts w:hint="default" w:ascii="Times New Roman" w:hAnsi="Times New Roman" w:cs="Times New Roman"/>
          <w:color w:val="auto"/>
          <w:highlight w:val="none"/>
          <w:lang w:val="zh-CN"/>
        </w:rPr>
        <w:t>环境风险评价结论</w:t>
      </w:r>
    </w:p>
    <w:p>
      <w:pPr>
        <w:keepNext w:val="0"/>
        <w:keepLines w:val="0"/>
        <w:pageBreakBefore w:val="0"/>
        <w:widowControl w:val="0"/>
        <w:kinsoku/>
        <w:wordWrap/>
        <w:overflowPunct/>
        <w:topLinePunct w:val="0"/>
        <w:autoSpaceDE w:val="0"/>
        <w:autoSpaceDN w:val="0"/>
        <w:bidi w:val="0"/>
        <w:adjustRightInd w:val="0"/>
        <w:snapToGrid w:val="0"/>
        <w:ind w:left="0" w:firstLine="480" w:firstLineChars="200"/>
        <w:textAlignment w:val="auto"/>
        <w:rPr>
          <w:rFonts w:hint="eastAsia"/>
          <w:color w:val="auto"/>
          <w:highlight w:val="none"/>
          <w:lang w:val="zh-CN"/>
        </w:rPr>
      </w:pPr>
      <w:r>
        <w:rPr>
          <w:rFonts w:hint="eastAsia"/>
          <w:color w:val="auto"/>
          <w:highlight w:val="none"/>
          <w:lang w:val="zh-CN"/>
        </w:rPr>
        <w:t>经过分析可知，本项目需采用合理有效的风险防范措施，并制定严格的环境风险应急预案。在严格做好事故防范措施、制定紧急事件应急计划并做好事故善后处理的前提下，本项目的环境风险处于可接受水平。</w:t>
      </w:r>
    </w:p>
    <w:p>
      <w:pPr>
        <w:keepNext w:val="0"/>
        <w:keepLines w:val="0"/>
        <w:pageBreakBefore w:val="0"/>
        <w:widowControl w:val="0"/>
        <w:kinsoku/>
        <w:wordWrap/>
        <w:overflowPunct/>
        <w:topLinePunct w:val="0"/>
        <w:autoSpaceDE w:val="0"/>
        <w:autoSpaceDN w:val="0"/>
        <w:bidi w:val="0"/>
        <w:adjustRightInd w:val="0"/>
        <w:snapToGrid w:val="0"/>
        <w:ind w:left="0" w:firstLine="480" w:firstLineChars="200"/>
        <w:textAlignment w:val="auto"/>
        <w:rPr>
          <w:color w:val="auto"/>
          <w:highlight w:val="none"/>
          <w:lang w:val="zh-CN"/>
        </w:rPr>
      </w:pPr>
      <w:r>
        <w:rPr>
          <w:rFonts w:hint="eastAsia"/>
          <w:color w:val="auto"/>
          <w:highlight w:val="none"/>
          <w:lang w:val="zh-CN"/>
        </w:rPr>
        <w:t>根据《建设项目环境风险评价技术导则》（HJ169-2018）附录A要求，简单分析需填写建设项目环境风险简单分析内容表，</w:t>
      </w:r>
      <w:r>
        <w:rPr>
          <w:color w:val="auto"/>
          <w:highlight w:val="none"/>
          <w:lang w:val="zh-CN"/>
        </w:rPr>
        <w:t>见表</w:t>
      </w:r>
      <w:r>
        <w:rPr>
          <w:rFonts w:hint="eastAsia"/>
          <w:color w:val="auto"/>
          <w:highlight w:val="none"/>
        </w:rPr>
        <w:t>5.8</w:t>
      </w:r>
      <w:r>
        <w:rPr>
          <w:color w:val="auto"/>
          <w:highlight w:val="none"/>
          <w:lang w:val="zh-CN"/>
        </w:rPr>
        <w:t>-</w:t>
      </w:r>
      <w:r>
        <w:rPr>
          <w:rFonts w:hint="eastAsia"/>
          <w:color w:val="auto"/>
          <w:highlight w:val="none"/>
          <w:lang w:val="en-US" w:eastAsia="zh-CN"/>
        </w:rPr>
        <w:t>5</w:t>
      </w:r>
      <w:r>
        <w:rPr>
          <w:color w:val="auto"/>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b/>
          <w:bCs/>
          <w:color w:val="auto"/>
          <w:sz w:val="21"/>
          <w:szCs w:val="20"/>
          <w:highlight w:val="none"/>
        </w:rPr>
      </w:pPr>
      <w:r>
        <w:rPr>
          <w:b/>
          <w:bCs/>
          <w:color w:val="auto"/>
          <w:sz w:val="21"/>
          <w:szCs w:val="20"/>
          <w:highlight w:val="none"/>
        </w:rPr>
        <w:t>表</w:t>
      </w:r>
      <w:r>
        <w:rPr>
          <w:rFonts w:hint="eastAsia"/>
          <w:b/>
          <w:bCs/>
          <w:color w:val="auto"/>
          <w:sz w:val="21"/>
          <w:szCs w:val="20"/>
          <w:highlight w:val="none"/>
        </w:rPr>
        <w:t>5.8</w:t>
      </w:r>
      <w:r>
        <w:rPr>
          <w:b/>
          <w:bCs/>
          <w:color w:val="auto"/>
          <w:sz w:val="21"/>
          <w:szCs w:val="20"/>
          <w:highlight w:val="none"/>
        </w:rPr>
        <w:t>-</w:t>
      </w:r>
      <w:r>
        <w:rPr>
          <w:rFonts w:hint="eastAsia"/>
          <w:b/>
          <w:bCs/>
          <w:color w:val="auto"/>
          <w:sz w:val="21"/>
          <w:szCs w:val="20"/>
          <w:highlight w:val="none"/>
          <w:lang w:val="en-US" w:eastAsia="zh-CN"/>
        </w:rPr>
        <w:t>5</w:t>
      </w:r>
      <w:r>
        <w:rPr>
          <w:b/>
          <w:bCs/>
          <w:color w:val="auto"/>
          <w:sz w:val="21"/>
          <w:szCs w:val="20"/>
          <w:highlight w:val="none"/>
        </w:rPr>
        <w:t xml:space="preserve">    建设项目环境风险简单分析内容表</w:t>
      </w:r>
    </w:p>
    <w:tbl>
      <w:tblPr>
        <w:tblStyle w:val="31"/>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7"/>
        <w:gridCol w:w="1175"/>
        <w:gridCol w:w="2130"/>
        <w:gridCol w:w="870"/>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2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建设项目名称</w:t>
            </w:r>
          </w:p>
        </w:tc>
        <w:tc>
          <w:tcPr>
            <w:tcW w:w="6317"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21"/>
                <w:highlight w:val="none"/>
                <w:lang w:val="en-US"/>
              </w:rPr>
            </w:pPr>
            <w:r>
              <w:rPr>
                <w:rFonts w:hint="eastAsia"/>
                <w:color w:val="auto"/>
                <w:sz w:val="21"/>
                <w:szCs w:val="21"/>
                <w:highlight w:val="none"/>
                <w:lang w:eastAsia="zh-CN"/>
              </w:rPr>
              <w:t>中粮糖业控股股份有限公司额敏糖业分公司90吨/小时锅炉技改项目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22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建设地点</w:t>
            </w:r>
          </w:p>
        </w:tc>
        <w:tc>
          <w:tcPr>
            <w:tcW w:w="6317"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21"/>
                <w:highlight w:val="none"/>
                <w:lang w:val="en-US"/>
              </w:rPr>
            </w:pPr>
            <w:r>
              <w:rPr>
                <w:rFonts w:hint="eastAsia"/>
                <w:color w:val="auto"/>
                <w:sz w:val="21"/>
                <w:szCs w:val="21"/>
                <w:highlight w:val="none"/>
                <w:lang w:eastAsia="zh-CN"/>
              </w:rPr>
              <w:t>塔城地区额敏县桥南中粮路</w:t>
            </w:r>
            <w:r>
              <w:rPr>
                <w:rFonts w:hint="eastAsia"/>
                <w:color w:val="auto"/>
                <w:sz w:val="21"/>
                <w:szCs w:val="21"/>
                <w:highlight w:val="none"/>
                <w:lang w:val="en-US" w:eastAsia="zh-CN"/>
              </w:rPr>
              <w:t>21号中粮糖业控股股份有限公司额敏糖业分公司厂区内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2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地理坐标</w:t>
            </w:r>
          </w:p>
        </w:tc>
        <w:tc>
          <w:tcPr>
            <w:tcW w:w="1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经度</w:t>
            </w:r>
          </w:p>
        </w:tc>
        <w:tc>
          <w:tcPr>
            <w:tcW w:w="21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lang w:eastAsia="zh-CN"/>
              </w:rPr>
              <w:t>8</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39</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53.48</w:t>
            </w:r>
            <w:r>
              <w:rPr>
                <w:rFonts w:hint="default" w:ascii="Times New Roman" w:hAnsi="Times New Roman" w:cs="Times New Roman"/>
                <w:color w:val="auto"/>
                <w:sz w:val="21"/>
                <w:szCs w:val="21"/>
                <w:highlight w:val="none"/>
                <w:lang w:eastAsia="zh-CN"/>
              </w:rPr>
              <w:t>"</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21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eastAsia="zh-CN"/>
              </w:rPr>
              <w:t>46°</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27.55</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2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主要危险物质及分布</w:t>
            </w:r>
          </w:p>
        </w:tc>
        <w:tc>
          <w:tcPr>
            <w:tcW w:w="6317"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1" w:hRule="atLeast"/>
          <w:jc w:val="center"/>
        </w:trPr>
        <w:tc>
          <w:tcPr>
            <w:tcW w:w="22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环境影响途径及危害后果（大气、地表水、地下水等）</w:t>
            </w:r>
          </w:p>
        </w:tc>
        <w:tc>
          <w:tcPr>
            <w:tcW w:w="6317"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在工艺过程中发生的事故，都会给居民生活和企业生产带来不便，并 造成供热单位经济损失，一旦事故严重，还可能危及人身安全，并对热源周围环境带来不同程度的影响，如：爆管时，锅炉间充满的混合气体会对大气环境造成一定污染；烟道泄漏时，排放大气中污染物会 增多等。事故如不及时处理，将损坏设施，造成停炉，停暖，重则将引起锅炉爆炸，危及人身安全。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1" w:hRule="atLeast"/>
          <w:jc w:val="center"/>
        </w:trPr>
        <w:tc>
          <w:tcPr>
            <w:tcW w:w="22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风险防范措施要求</w:t>
            </w:r>
          </w:p>
        </w:tc>
        <w:tc>
          <w:tcPr>
            <w:tcW w:w="6317"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（1）各级管理人员应重视锅炉水质管理，并制定相应管理制度及岗位责任制；</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（2）定期排污规范化，并重视</w:t>
            </w:r>
            <w:r>
              <w:rPr>
                <w:rFonts w:hint="eastAsia"/>
                <w:color w:val="auto"/>
                <w:sz w:val="21"/>
                <w:szCs w:val="21"/>
                <w:highlight w:val="none"/>
                <w:lang w:eastAsia="zh-CN"/>
              </w:rPr>
              <w:t>锅炉</w:t>
            </w:r>
            <w:r>
              <w:rPr>
                <w:color w:val="auto"/>
                <w:sz w:val="21"/>
                <w:szCs w:val="21"/>
                <w:highlight w:val="none"/>
              </w:rPr>
              <w:t>系统除污，防止污物回水进入锅炉；</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（3）锅炉本体设计上应将受热情况有较大差异受热面分设独立水循 环系统；</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（4）设计中严格遵守国家和有关部门关于防火、防爆的安全标准规 定，合理布局，防止火灾蔓延，相互影响；</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（5）锅炉房采用微机控制，监测控制锅炉房锅筒水位、给水压力等， 配备报警器和变频远程控制器，实现锅炉安全运行；</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（6）操作人员必须经过严格岗位培训，提高操作水平和熟练程度，以避免因失误操作引起的事故，并对操作人员加强安全教育，以提高其责任心；</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（7）以各生产装置为单位，组织工人和技术人员对本装置易发生事故部位、事故类型及后果、事故防范及处置等进行分析，并编制安全手册，以提高安全操作水平和处置突发事故的应变能力；</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（8）在日常生产中应加强对设备、管道、泵、阀等的检修维护，及时发现问题及时处理，同时在锅炉每年停炉期间认真进行检修维护；</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（9）在仪器、仪表、设备的选型和采购方面坚持“质量第一，安全可靠”的原则，以减少因仪器、仪表、设备的原因造成的泄漏和爆漏；</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t>（10）锅炉操作人员应培训且获得上岗证后方可上岗，并在工程设计中应考虑防震、防雷击措施。</w:t>
            </w:r>
          </w:p>
        </w:tc>
      </w:tr>
    </w:tbl>
    <w:p>
      <w:pPr>
        <w:keepNext w:val="0"/>
        <w:keepLines w:val="0"/>
        <w:pageBreakBefore w:val="0"/>
        <w:widowControl w:val="0"/>
        <w:kinsoku/>
        <w:wordWrap/>
        <w:overflowPunct/>
        <w:topLinePunct w:val="0"/>
        <w:autoSpaceDE w:val="0"/>
        <w:autoSpaceDN w:val="0"/>
        <w:bidi w:val="0"/>
        <w:adjustRightInd/>
        <w:snapToGrid/>
        <w:spacing w:before="0" w:beforeLines="50"/>
        <w:textAlignment w:val="auto"/>
        <w:rPr>
          <w:rFonts w:hint="default" w:ascii="Times New Roman" w:hAnsi="Times New Roman" w:cs="Times New Roman"/>
          <w:snapToGrid w:val="0"/>
          <w:color w:val="0000FF"/>
          <w:spacing w:val="0"/>
          <w:szCs w:val="24"/>
          <w:highlight w:val="none"/>
          <w:lang w:val="en-US" w:eastAsia="zh-CN"/>
        </w:rPr>
      </w:pPr>
      <w:r>
        <w:rPr>
          <w:rFonts w:hint="default" w:ascii="Times New Roman" w:hAnsi="Times New Roman" w:cs="Times New Roman"/>
          <w:snapToGrid w:val="0"/>
          <w:color w:val="0000FF"/>
          <w:spacing w:val="0"/>
          <w:szCs w:val="24"/>
          <w:highlight w:val="none"/>
          <w:lang w:val="en-US" w:eastAsia="zh-CN"/>
        </w:rPr>
        <w:t>本项目风险自查表见表5.</w:t>
      </w:r>
      <w:r>
        <w:rPr>
          <w:rFonts w:hint="eastAsia" w:ascii="Times New Roman" w:hAnsi="Times New Roman" w:cs="Times New Roman"/>
          <w:snapToGrid w:val="0"/>
          <w:color w:val="0000FF"/>
          <w:spacing w:val="0"/>
          <w:szCs w:val="24"/>
          <w:highlight w:val="none"/>
          <w:lang w:val="en-US" w:eastAsia="zh-CN"/>
        </w:rPr>
        <w:t>8-6</w:t>
      </w:r>
      <w:r>
        <w:rPr>
          <w:rFonts w:hint="default" w:ascii="Times New Roman" w:hAnsi="Times New Roman" w:cs="Times New Roman"/>
          <w:snapToGrid w:val="0"/>
          <w:color w:val="0000FF"/>
          <w:spacing w:val="0"/>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宋体"/>
          <w:b/>
          <w:bCs/>
          <w:color w:val="auto"/>
          <w:sz w:val="21"/>
          <w:szCs w:val="20"/>
          <w:highlight w:val="none"/>
          <w:lang w:val="en-US" w:eastAsia="zh-CN"/>
        </w:rPr>
      </w:pPr>
      <w:bookmarkStart w:id="300" w:name="_Toc15394814"/>
      <w:bookmarkStart w:id="301" w:name="_Toc45187209"/>
      <w:bookmarkStart w:id="302" w:name="_Toc50649021"/>
      <w:bookmarkStart w:id="303" w:name="_Toc35434209"/>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宋体"/>
          <w:b/>
          <w:bCs/>
          <w:color w:val="auto"/>
          <w:sz w:val="21"/>
          <w:szCs w:val="20"/>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宋体"/>
          <w:b/>
          <w:bCs/>
          <w:color w:val="0000FF"/>
          <w:sz w:val="21"/>
          <w:szCs w:val="20"/>
          <w:highlight w:val="none"/>
        </w:rPr>
      </w:pPr>
      <w:r>
        <w:rPr>
          <w:rFonts w:hint="default" w:ascii="Times New Roman" w:hAnsi="Times New Roman" w:eastAsia="宋体" w:cs="宋体"/>
          <w:b/>
          <w:bCs/>
          <w:color w:val="0000FF"/>
          <w:sz w:val="21"/>
          <w:szCs w:val="20"/>
          <w:highlight w:val="none"/>
          <w:lang w:val="en-US" w:eastAsia="zh-CN"/>
        </w:rPr>
        <w:t>表5.</w:t>
      </w:r>
      <w:r>
        <w:rPr>
          <w:rFonts w:hint="eastAsia" w:ascii="Times New Roman" w:hAnsi="Times New Roman" w:eastAsia="宋体" w:cs="宋体"/>
          <w:b/>
          <w:bCs/>
          <w:color w:val="0000FF"/>
          <w:sz w:val="21"/>
          <w:szCs w:val="20"/>
          <w:highlight w:val="none"/>
          <w:lang w:val="en-US" w:eastAsia="zh-CN"/>
        </w:rPr>
        <w:t xml:space="preserve">8-6   </w:t>
      </w:r>
      <w:r>
        <w:rPr>
          <w:rFonts w:hint="default" w:ascii="Times New Roman" w:hAnsi="Times New Roman" w:eastAsia="宋体" w:cs="宋体"/>
          <w:b/>
          <w:bCs/>
          <w:color w:val="0000FF"/>
          <w:sz w:val="21"/>
          <w:szCs w:val="20"/>
          <w:highlight w:val="none"/>
          <w:lang w:val="en-US" w:eastAsia="zh-CN"/>
        </w:rPr>
        <w:t xml:space="preserve">   环境风险影响评价自查表</w:t>
      </w:r>
      <w:bookmarkEnd w:id="300"/>
      <w:bookmarkEnd w:id="301"/>
      <w:bookmarkEnd w:id="302"/>
      <w:bookmarkEnd w:id="303"/>
    </w:p>
    <w:tbl>
      <w:tblPr>
        <w:tblStyle w:val="3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57"/>
        <w:gridCol w:w="1339"/>
        <w:gridCol w:w="756"/>
        <w:gridCol w:w="242"/>
        <w:gridCol w:w="361"/>
        <w:gridCol w:w="419"/>
        <w:gridCol w:w="286"/>
        <w:gridCol w:w="191"/>
        <w:gridCol w:w="521"/>
        <w:gridCol w:w="710"/>
        <w:gridCol w:w="10"/>
        <w:gridCol w:w="755"/>
        <w:gridCol w:w="118"/>
        <w:gridCol w:w="10"/>
        <w:gridCol w:w="129"/>
        <w:gridCol w:w="672"/>
        <w:gridCol w:w="11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tblHeader/>
          <w:jc w:val="center"/>
        </w:trPr>
        <w:tc>
          <w:tcPr>
            <w:tcW w:w="12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工作内容</w:t>
            </w:r>
          </w:p>
        </w:tc>
        <w:tc>
          <w:tcPr>
            <w:tcW w:w="3710" w:type="pct"/>
            <w:gridSpan w:val="1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完成情况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风险</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调查</w:t>
            </w:r>
          </w:p>
        </w:tc>
        <w:tc>
          <w:tcPr>
            <w:tcW w:w="78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危险物质</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名称</w:t>
            </w:r>
          </w:p>
        </w:tc>
        <w:tc>
          <w:tcPr>
            <w:tcW w:w="76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c>
          <w:tcPr>
            <w:tcW w:w="83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c>
          <w:tcPr>
            <w:tcW w:w="394"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c>
          <w:tcPr>
            <w:tcW w:w="668"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存在总量/t</w:t>
            </w:r>
          </w:p>
        </w:tc>
        <w:tc>
          <w:tcPr>
            <w:tcW w:w="76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c>
          <w:tcPr>
            <w:tcW w:w="83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c>
          <w:tcPr>
            <w:tcW w:w="394"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c>
          <w:tcPr>
            <w:tcW w:w="668"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环境敏感性</w:t>
            </w:r>
          </w:p>
        </w:tc>
        <w:tc>
          <w:tcPr>
            <w:tcW w:w="4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大气</w:t>
            </w:r>
          </w:p>
        </w:tc>
        <w:tc>
          <w:tcPr>
            <w:tcW w:w="1603"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500m范围内人口数</w:t>
            </w:r>
            <w:r>
              <w:rPr>
                <w:rFonts w:hint="eastAsia" w:ascii="Times New Roman" w:hAnsi="Times New Roman" w:cs="Times New Roman"/>
                <w:color w:val="0000FF"/>
                <w:sz w:val="21"/>
                <w:szCs w:val="21"/>
                <w:highlight w:val="none"/>
                <w:lang w:val="en-US" w:eastAsia="zh-CN"/>
              </w:rPr>
              <w:t xml:space="preserve"> </w:t>
            </w:r>
            <w:r>
              <w:rPr>
                <w:rFonts w:hint="eastAsia" w:ascii="Times New Roman" w:hAnsi="Times New Roman" w:cs="Times New Roman"/>
                <w:color w:val="0000FF"/>
                <w:sz w:val="21"/>
                <w:szCs w:val="21"/>
                <w:highlight w:val="none"/>
                <w:u w:val="single"/>
                <w:lang w:val="en-US" w:eastAsia="zh-CN"/>
              </w:rPr>
              <w:t>/</w:t>
            </w:r>
            <w:r>
              <w:rPr>
                <w:rFonts w:hint="default" w:ascii="Times New Roman" w:hAnsi="Times New Roman" w:cs="Times New Roman"/>
                <w:color w:val="0000FF"/>
                <w:sz w:val="21"/>
                <w:szCs w:val="21"/>
                <w:highlight w:val="none"/>
              </w:rPr>
              <w:t>人</w:t>
            </w:r>
          </w:p>
        </w:tc>
        <w:tc>
          <w:tcPr>
            <w:tcW w:w="1662"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5km范围内人口数</w:t>
            </w:r>
            <w:r>
              <w:rPr>
                <w:rFonts w:hint="eastAsia" w:ascii="Times New Roman" w:hAnsi="Times New Roman" w:cs="Times New Roman"/>
                <w:color w:val="0000FF"/>
                <w:sz w:val="21"/>
                <w:szCs w:val="21"/>
                <w:highlight w:val="none"/>
                <w:u w:val="single"/>
                <w:lang w:val="en-US" w:eastAsia="zh-CN"/>
              </w:rPr>
              <w:t>/</w:t>
            </w:r>
            <w:r>
              <w:rPr>
                <w:rFonts w:hint="default" w:ascii="Times New Roman" w:hAnsi="Times New Roman" w:cs="Times New Roman"/>
                <w:color w:val="0000FF"/>
                <w:sz w:val="21"/>
                <w:szCs w:val="21"/>
                <w:highlight w:val="none"/>
              </w:rPr>
              <w:t>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2203"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每公里管段周边200m范围内人口数</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（最大）</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u w:val="single"/>
              </w:rPr>
              <w:t>0</w:t>
            </w:r>
            <w:r>
              <w:rPr>
                <w:rFonts w:hint="default" w:ascii="Times New Roman" w:hAnsi="Times New Roman" w:cs="Times New Roman"/>
                <w:color w:val="0000FF"/>
                <w:sz w:val="21"/>
                <w:szCs w:val="21"/>
                <w:highlight w:val="none"/>
              </w:rPr>
              <w:t>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4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地表水</w:t>
            </w:r>
          </w:p>
        </w:tc>
        <w:tc>
          <w:tcPr>
            <w:tcW w:w="88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地表水功能敏感性</w:t>
            </w:r>
          </w:p>
        </w:tc>
        <w:tc>
          <w:tcPr>
            <w:tcW w:w="7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F1</w:t>
            </w:r>
            <w:r>
              <w:rPr>
                <w:rFonts w:hint="eastAsia" w:ascii="Times New Roman" w:hAnsi="Times New Roman" w:cs="Times New Roman"/>
                <w:color w:val="0000FF"/>
                <w:sz w:val="21"/>
                <w:szCs w:val="21"/>
                <w:highlight w:val="none"/>
                <w:lang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F2</w:t>
            </w:r>
            <w:r>
              <w:rPr>
                <w:rFonts w:hint="eastAsia" w:ascii="Times New Roman" w:hAnsi="Times New Roman" w:cs="Times New Roman"/>
                <w:color w:val="0000FF"/>
                <w:sz w:val="21"/>
                <w:szCs w:val="21"/>
                <w:highlight w:val="none"/>
                <w:lang w:eastAsia="zh-CN"/>
              </w:rPr>
              <w:t>□</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F3</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88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环境敏感目标分级</w:t>
            </w:r>
          </w:p>
        </w:tc>
        <w:tc>
          <w:tcPr>
            <w:tcW w:w="7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S1</w:t>
            </w:r>
            <w:r>
              <w:rPr>
                <w:rFonts w:hint="eastAsia" w:ascii="Times New Roman" w:hAnsi="Times New Roman" w:cs="Times New Roman"/>
                <w:color w:val="0000FF"/>
                <w:sz w:val="21"/>
                <w:szCs w:val="21"/>
                <w:highlight w:val="none"/>
                <w:lang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S2</w:t>
            </w:r>
            <w:r>
              <w:rPr>
                <w:rFonts w:hint="eastAsia" w:ascii="Times New Roman" w:hAnsi="Times New Roman" w:cs="Times New Roman"/>
                <w:color w:val="0000FF"/>
                <w:sz w:val="21"/>
                <w:szCs w:val="21"/>
                <w:highlight w:val="none"/>
                <w:lang w:eastAsia="zh-CN"/>
              </w:rPr>
              <w:t>□</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S3</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4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地下水</w:t>
            </w:r>
          </w:p>
        </w:tc>
        <w:tc>
          <w:tcPr>
            <w:tcW w:w="88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地下水功能敏感性</w:t>
            </w:r>
          </w:p>
        </w:tc>
        <w:tc>
          <w:tcPr>
            <w:tcW w:w="7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G1</w:t>
            </w:r>
            <w:r>
              <w:rPr>
                <w:rFonts w:hint="eastAsia" w:ascii="Times New Roman" w:hAnsi="Times New Roman" w:cs="Times New Roman"/>
                <w:color w:val="0000FF"/>
                <w:sz w:val="21"/>
                <w:szCs w:val="21"/>
                <w:highlight w:val="none"/>
                <w:lang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G2</w:t>
            </w:r>
            <w:r>
              <w:rPr>
                <w:rFonts w:hint="eastAsia" w:ascii="Times New Roman" w:hAnsi="Times New Roman" w:cs="Times New Roman"/>
                <w:color w:val="0000FF"/>
                <w:sz w:val="21"/>
                <w:szCs w:val="21"/>
                <w:highlight w:val="none"/>
                <w:lang w:eastAsia="zh-CN"/>
              </w:rPr>
              <w:t>□</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G3</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88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包气带防污性能</w:t>
            </w:r>
          </w:p>
        </w:tc>
        <w:tc>
          <w:tcPr>
            <w:tcW w:w="7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D1</w:t>
            </w:r>
            <w:r>
              <w:rPr>
                <w:rFonts w:hint="eastAsia" w:ascii="Times New Roman" w:hAnsi="Times New Roman" w:cs="Times New Roman"/>
                <w:color w:val="0000FF"/>
                <w:sz w:val="21"/>
                <w:szCs w:val="21"/>
                <w:highlight w:val="none"/>
                <w:lang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D2</w:t>
            </w:r>
            <w:r>
              <w:rPr>
                <w:rFonts w:hint="eastAsia" w:ascii="Times New Roman" w:hAnsi="Times New Roman" w:cs="Times New Roman"/>
                <w:color w:val="0000FF"/>
                <w:sz w:val="21"/>
                <w:szCs w:val="21"/>
                <w:highlight w:val="none"/>
                <w:lang w:eastAsia="zh-CN"/>
              </w:rPr>
              <w:t>□</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D3</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物质及工艺系统危险性</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Q值</w:t>
            </w:r>
          </w:p>
        </w:tc>
        <w:tc>
          <w:tcPr>
            <w:tcW w:w="88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rPr>
              <w:t>Q＜1</w:t>
            </w:r>
            <w:r>
              <w:rPr>
                <w:rFonts w:hint="eastAsia" w:ascii="Times New Roman" w:hAnsi="Times New Roman" w:cs="Times New Roman"/>
                <w:color w:val="0000FF"/>
                <w:sz w:val="21"/>
                <w:szCs w:val="21"/>
                <w:highlight w:val="none"/>
                <w:lang w:eastAsia="zh-CN"/>
              </w:rPr>
              <w:t>☑</w:t>
            </w:r>
          </w:p>
        </w:tc>
        <w:tc>
          <w:tcPr>
            <w:tcW w:w="7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1≤Q＜10</w:t>
            </w:r>
            <w:r>
              <w:rPr>
                <w:rFonts w:hint="eastAsia" w:ascii="Times New Roman" w:hAnsi="Times New Roman" w:cs="Times New Roman"/>
                <w:color w:val="0000FF"/>
                <w:sz w:val="21"/>
                <w:szCs w:val="21"/>
                <w:highlight w:val="none"/>
                <w:lang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rPr>
              <w:t>10≤Q＜100</w:t>
            </w:r>
            <w:r>
              <w:rPr>
                <w:rFonts w:hint="eastAsia" w:ascii="Times New Roman" w:hAnsi="Times New Roman" w:cs="Times New Roman"/>
                <w:color w:val="0000FF"/>
                <w:sz w:val="21"/>
                <w:szCs w:val="21"/>
                <w:highlight w:val="none"/>
                <w:lang w:eastAsia="zh-CN"/>
              </w:rPr>
              <w:t>□</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Q＞100□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M值</w:t>
            </w:r>
          </w:p>
        </w:tc>
        <w:tc>
          <w:tcPr>
            <w:tcW w:w="88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M1</w:t>
            </w:r>
            <w:r>
              <w:rPr>
                <w:rFonts w:hint="eastAsia" w:ascii="Times New Roman" w:hAnsi="Times New Roman" w:cs="Times New Roman"/>
                <w:color w:val="0000FF"/>
                <w:sz w:val="21"/>
                <w:szCs w:val="21"/>
                <w:highlight w:val="none"/>
                <w:lang w:eastAsia="zh-CN"/>
              </w:rPr>
              <w:t>□</w:t>
            </w:r>
          </w:p>
        </w:tc>
        <w:tc>
          <w:tcPr>
            <w:tcW w:w="7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w:t>
            </w:r>
            <w:r>
              <w:rPr>
                <w:rFonts w:hint="default" w:ascii="Times New Roman" w:hAnsi="Times New Roman" w:cs="Times New Roman"/>
                <w:color w:val="0000FF"/>
                <w:sz w:val="21"/>
                <w:szCs w:val="21"/>
                <w:highlight w:val="none"/>
                <w:lang w:val="en-US" w:eastAsia="zh-CN"/>
              </w:rPr>
              <w:t>2</w:t>
            </w:r>
            <w:r>
              <w:rPr>
                <w:rFonts w:hint="eastAsia" w:ascii="Times New Roman" w:hAnsi="Times New Roman" w:cs="Times New Roman"/>
                <w:color w:val="0000FF"/>
                <w:sz w:val="21"/>
                <w:szCs w:val="21"/>
                <w:highlight w:val="none"/>
                <w:lang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w:t>
            </w:r>
            <w:r>
              <w:rPr>
                <w:rFonts w:hint="default" w:ascii="Times New Roman" w:hAnsi="Times New Roman" w:cs="Times New Roman"/>
                <w:color w:val="0000FF"/>
                <w:sz w:val="21"/>
                <w:szCs w:val="21"/>
                <w:highlight w:val="none"/>
                <w:lang w:val="en-US" w:eastAsia="zh-CN"/>
              </w:rPr>
              <w:t>3</w:t>
            </w:r>
            <w:r>
              <w:rPr>
                <w:rFonts w:hint="eastAsia" w:ascii="Times New Roman" w:hAnsi="Times New Roman" w:cs="Times New Roman"/>
                <w:color w:val="0000FF"/>
                <w:sz w:val="21"/>
                <w:szCs w:val="21"/>
                <w:highlight w:val="none"/>
                <w:lang w:eastAsia="zh-CN"/>
              </w:rPr>
              <w:t>□</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M4</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P值</w:t>
            </w:r>
          </w:p>
        </w:tc>
        <w:tc>
          <w:tcPr>
            <w:tcW w:w="88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P1</w:t>
            </w:r>
            <w:r>
              <w:rPr>
                <w:rFonts w:hint="eastAsia" w:ascii="Times New Roman" w:hAnsi="Times New Roman" w:cs="Times New Roman"/>
                <w:color w:val="0000FF"/>
                <w:sz w:val="21"/>
                <w:szCs w:val="21"/>
                <w:highlight w:val="none"/>
                <w:lang w:eastAsia="zh-CN"/>
              </w:rPr>
              <w:t>□</w:t>
            </w:r>
          </w:p>
        </w:tc>
        <w:tc>
          <w:tcPr>
            <w:tcW w:w="7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P2</w:t>
            </w:r>
            <w:r>
              <w:rPr>
                <w:rFonts w:hint="eastAsia" w:ascii="Times New Roman" w:hAnsi="Times New Roman" w:cs="Times New Roman"/>
                <w:color w:val="0000FF"/>
                <w:sz w:val="21"/>
                <w:szCs w:val="21"/>
                <w:highlight w:val="none"/>
                <w:lang w:eastAsia="zh-CN"/>
              </w:rPr>
              <w:t>□</w:t>
            </w:r>
          </w:p>
        </w:tc>
        <w:tc>
          <w:tcPr>
            <w:tcW w:w="599"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rPr>
              <w:t>P3</w:t>
            </w:r>
            <w:r>
              <w:rPr>
                <w:rFonts w:hint="eastAsia" w:ascii="Times New Roman" w:hAnsi="Times New Roman" w:cs="Times New Roman"/>
                <w:color w:val="0000FF"/>
                <w:sz w:val="21"/>
                <w:szCs w:val="21"/>
                <w:highlight w:val="none"/>
                <w:lang w:eastAsia="zh-CN"/>
              </w:rPr>
              <w:t>□</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P4</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环境敏感程度</w:t>
            </w:r>
          </w:p>
        </w:tc>
        <w:tc>
          <w:tcPr>
            <w:tcW w:w="79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大气</w:t>
            </w:r>
          </w:p>
        </w:tc>
        <w:tc>
          <w:tcPr>
            <w:tcW w:w="83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E1</w:t>
            </w:r>
            <w:r>
              <w:rPr>
                <w:rFonts w:hint="eastAsia" w:ascii="Times New Roman" w:hAnsi="Times New Roman" w:cs="Times New Roman"/>
                <w:color w:val="0000FF"/>
                <w:sz w:val="21"/>
                <w:szCs w:val="21"/>
                <w:highlight w:val="none"/>
                <w:lang w:eastAsia="zh-CN"/>
              </w:rPr>
              <w:t>□</w:t>
            </w:r>
          </w:p>
        </w:tc>
        <w:tc>
          <w:tcPr>
            <w:tcW w:w="93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E2</w:t>
            </w:r>
            <w:r>
              <w:rPr>
                <w:rFonts w:hint="eastAsia" w:ascii="Times New Roman" w:hAnsi="Times New Roman" w:cs="Times New Roman"/>
                <w:color w:val="0000FF"/>
                <w:sz w:val="21"/>
                <w:szCs w:val="21"/>
                <w:highlight w:val="none"/>
                <w:lang w:eastAsia="zh-CN"/>
              </w:rPr>
              <w:t>□</w:t>
            </w:r>
          </w:p>
        </w:tc>
        <w:tc>
          <w:tcPr>
            <w:tcW w:w="114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E3</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9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地表水</w:t>
            </w:r>
          </w:p>
        </w:tc>
        <w:tc>
          <w:tcPr>
            <w:tcW w:w="83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E1</w:t>
            </w:r>
            <w:r>
              <w:rPr>
                <w:rFonts w:hint="eastAsia" w:ascii="Times New Roman" w:hAnsi="Times New Roman" w:cs="Times New Roman"/>
                <w:color w:val="0000FF"/>
                <w:sz w:val="21"/>
                <w:szCs w:val="21"/>
                <w:highlight w:val="none"/>
                <w:lang w:eastAsia="zh-CN"/>
              </w:rPr>
              <w:t>□</w:t>
            </w:r>
          </w:p>
        </w:tc>
        <w:tc>
          <w:tcPr>
            <w:tcW w:w="93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E2</w:t>
            </w:r>
            <w:r>
              <w:rPr>
                <w:rFonts w:hint="eastAsia" w:ascii="Times New Roman" w:hAnsi="Times New Roman" w:cs="Times New Roman"/>
                <w:color w:val="0000FF"/>
                <w:sz w:val="21"/>
                <w:szCs w:val="21"/>
                <w:highlight w:val="none"/>
                <w:lang w:eastAsia="zh-CN"/>
              </w:rPr>
              <w:t>□</w:t>
            </w:r>
          </w:p>
        </w:tc>
        <w:tc>
          <w:tcPr>
            <w:tcW w:w="114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E3</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9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地下水</w:t>
            </w:r>
          </w:p>
        </w:tc>
        <w:tc>
          <w:tcPr>
            <w:tcW w:w="83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E1</w:t>
            </w:r>
            <w:r>
              <w:rPr>
                <w:rFonts w:hint="eastAsia" w:ascii="Times New Roman" w:hAnsi="Times New Roman" w:cs="Times New Roman"/>
                <w:color w:val="0000FF"/>
                <w:sz w:val="21"/>
                <w:szCs w:val="21"/>
                <w:highlight w:val="none"/>
                <w:lang w:eastAsia="zh-CN"/>
              </w:rPr>
              <w:t>□</w:t>
            </w:r>
          </w:p>
        </w:tc>
        <w:tc>
          <w:tcPr>
            <w:tcW w:w="93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E2</w:t>
            </w:r>
            <w:r>
              <w:rPr>
                <w:rFonts w:hint="eastAsia" w:ascii="Times New Roman" w:hAnsi="Times New Roman" w:cs="Times New Roman"/>
                <w:color w:val="0000FF"/>
                <w:sz w:val="21"/>
                <w:szCs w:val="21"/>
                <w:highlight w:val="none"/>
                <w:lang w:eastAsia="zh-CN"/>
              </w:rPr>
              <w:t>□</w:t>
            </w:r>
          </w:p>
        </w:tc>
        <w:tc>
          <w:tcPr>
            <w:tcW w:w="114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E3</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环境风险潜势</w:t>
            </w:r>
          </w:p>
        </w:tc>
        <w:tc>
          <w:tcPr>
            <w:tcW w:w="58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IV</w:t>
            </w:r>
            <w:r>
              <w:rPr>
                <w:rFonts w:hint="default" w:ascii="Times New Roman" w:hAnsi="Times New Roman" w:cs="Times New Roman"/>
                <w:color w:val="0000FF"/>
                <w:sz w:val="21"/>
                <w:szCs w:val="21"/>
                <w:highlight w:val="none"/>
                <w:vertAlign w:val="superscript"/>
              </w:rPr>
              <w:t>+</w:t>
            </w:r>
            <w:r>
              <w:rPr>
                <w:rFonts w:hint="eastAsia" w:ascii="Times New Roman" w:hAnsi="Times New Roman" w:cs="Times New Roman"/>
                <w:color w:val="0000FF"/>
                <w:sz w:val="21"/>
                <w:szCs w:val="21"/>
                <w:highlight w:val="none"/>
                <w:lang w:eastAsia="zh-CN"/>
              </w:rPr>
              <w:t>□</w:t>
            </w:r>
          </w:p>
        </w:tc>
        <w:tc>
          <w:tcPr>
            <w:tcW w:w="73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rPr>
              <w:t>IV</w:t>
            </w:r>
            <w:r>
              <w:rPr>
                <w:rFonts w:hint="eastAsia" w:ascii="Times New Roman" w:hAnsi="Times New Roman" w:cs="Times New Roman"/>
                <w:color w:val="0000FF"/>
                <w:sz w:val="21"/>
                <w:szCs w:val="21"/>
                <w:highlight w:val="none"/>
                <w:lang w:eastAsia="zh-CN"/>
              </w:rPr>
              <w:t>□</w:t>
            </w:r>
          </w:p>
        </w:tc>
        <w:tc>
          <w:tcPr>
            <w:tcW w:w="729"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rPr>
              <w:t>III</w:t>
            </w:r>
            <w:r>
              <w:rPr>
                <w:rFonts w:hint="eastAsia" w:ascii="Times New Roman" w:hAnsi="Times New Roman" w:cs="Times New Roman"/>
                <w:color w:val="0000FF"/>
                <w:sz w:val="21"/>
                <w:szCs w:val="21"/>
                <w:highlight w:val="none"/>
                <w:lang w:eastAsia="zh-CN"/>
              </w:rPr>
              <w:t>□</w:t>
            </w:r>
          </w:p>
        </w:tc>
        <w:tc>
          <w:tcPr>
            <w:tcW w:w="593"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II</w:t>
            </w:r>
            <w:r>
              <w:rPr>
                <w:rFonts w:hint="eastAsia" w:ascii="Times New Roman" w:hAnsi="Times New Roman" w:cs="Times New Roman"/>
                <w:color w:val="0000FF"/>
                <w:sz w:val="21"/>
                <w:szCs w:val="21"/>
                <w:highlight w:val="none"/>
                <w:lang w:eastAsia="zh-CN"/>
              </w:rPr>
              <w:t>□</w:t>
            </w:r>
          </w:p>
        </w:tc>
        <w:tc>
          <w:tcPr>
            <w:tcW w:w="106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I</w:t>
            </w:r>
            <w:r>
              <w:rPr>
                <w:rFonts w:hint="eastAsia" w:ascii="Times New Roman" w:hAnsi="Times New Roman" w:cs="Times New Roman"/>
                <w:color w:val="0000FF"/>
                <w:sz w:val="21"/>
                <w:szCs w:val="21"/>
                <w:highlight w:val="none"/>
                <w:lang w:eastAsia="zh-CN"/>
              </w:rPr>
              <w:sym w:font="Wingdings 2" w:char="0052"/>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评价等级</w:t>
            </w:r>
          </w:p>
        </w:tc>
        <w:tc>
          <w:tcPr>
            <w:tcW w:w="79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一级</w:t>
            </w:r>
            <w:r>
              <w:rPr>
                <w:rFonts w:hint="eastAsia" w:ascii="Times New Roman" w:hAnsi="Times New Roman" w:cs="Times New Roman"/>
                <w:color w:val="0000FF"/>
                <w:sz w:val="21"/>
                <w:szCs w:val="21"/>
                <w:highlight w:val="none"/>
                <w:lang w:eastAsia="zh-CN"/>
              </w:rPr>
              <w:t>□</w:t>
            </w:r>
          </w:p>
        </w:tc>
        <w:tc>
          <w:tcPr>
            <w:tcW w:w="83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rPr>
              <w:t>二级</w:t>
            </w:r>
            <w:r>
              <w:rPr>
                <w:rFonts w:hint="eastAsia" w:ascii="Times New Roman" w:hAnsi="Times New Roman" w:cs="Times New Roman"/>
                <w:color w:val="0000FF"/>
                <w:sz w:val="21"/>
                <w:szCs w:val="21"/>
                <w:highlight w:val="none"/>
                <w:lang w:eastAsia="zh-CN"/>
              </w:rPr>
              <w:t>□</w:t>
            </w:r>
          </w:p>
        </w:tc>
        <w:tc>
          <w:tcPr>
            <w:tcW w:w="93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三级</w:t>
            </w:r>
            <w:r>
              <w:rPr>
                <w:rFonts w:hint="eastAsia" w:ascii="Times New Roman" w:hAnsi="Times New Roman" w:cs="Times New Roman"/>
                <w:color w:val="0000FF"/>
                <w:sz w:val="21"/>
                <w:szCs w:val="21"/>
                <w:highlight w:val="none"/>
                <w:lang w:eastAsia="zh-CN"/>
              </w:rPr>
              <w:t>□</w:t>
            </w:r>
          </w:p>
        </w:tc>
        <w:tc>
          <w:tcPr>
            <w:tcW w:w="114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简单分析</w:t>
            </w:r>
            <w:r>
              <w:rPr>
                <w:rFonts w:hint="eastAsia" w:ascii="Times New Roman" w:hAnsi="Times New Roman" w:cs="Times New Roman"/>
                <w:color w:val="0000FF"/>
                <w:sz w:val="21"/>
                <w:szCs w:val="21"/>
                <w:highlight w:val="none"/>
                <w:lang w:eastAsia="zh-CN"/>
              </w:rPr>
              <w:sym w:font="Wingdings 2" w:char="0052"/>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风险</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识别</w:t>
            </w: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物质危险性</w:t>
            </w:r>
          </w:p>
        </w:tc>
        <w:tc>
          <w:tcPr>
            <w:tcW w:w="1630"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有毒有害</w:t>
            </w:r>
            <w:r>
              <w:rPr>
                <w:rFonts w:hint="eastAsia" w:ascii="Times New Roman" w:hAnsi="Times New Roman" w:cs="Times New Roman"/>
                <w:color w:val="0000FF"/>
                <w:sz w:val="21"/>
                <w:szCs w:val="21"/>
                <w:highlight w:val="none"/>
                <w:lang w:eastAsia="zh-CN"/>
              </w:rPr>
              <w:t>□</w:t>
            </w:r>
          </w:p>
        </w:tc>
        <w:tc>
          <w:tcPr>
            <w:tcW w:w="208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易燃易爆</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pacing w:val="-11"/>
                <w:sz w:val="21"/>
                <w:szCs w:val="21"/>
                <w:highlight w:val="none"/>
              </w:rPr>
              <w:t>环境风险类型</w:t>
            </w:r>
          </w:p>
        </w:tc>
        <w:tc>
          <w:tcPr>
            <w:tcW w:w="1630"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泄漏</w:t>
            </w:r>
            <w:r>
              <w:rPr>
                <w:rFonts w:hint="eastAsia" w:ascii="Times New Roman" w:hAnsi="Times New Roman" w:cs="Times New Roman"/>
                <w:color w:val="0000FF"/>
                <w:sz w:val="21"/>
                <w:szCs w:val="21"/>
                <w:highlight w:val="none"/>
                <w:lang w:eastAsia="zh-CN"/>
              </w:rPr>
              <w:sym w:font="Wingdings 2" w:char="00A3"/>
            </w:r>
          </w:p>
        </w:tc>
        <w:tc>
          <w:tcPr>
            <w:tcW w:w="208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火灾、爆炸引发伴生/次生污染物排放</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影响途径</w:t>
            </w:r>
          </w:p>
        </w:tc>
        <w:tc>
          <w:tcPr>
            <w:tcW w:w="1044"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大气</w:t>
            </w:r>
            <w:r>
              <w:rPr>
                <w:rFonts w:hint="eastAsia" w:ascii="Times New Roman" w:hAnsi="Times New Roman" w:cs="Times New Roman"/>
                <w:color w:val="0000FF"/>
                <w:sz w:val="21"/>
                <w:szCs w:val="21"/>
                <w:highlight w:val="none"/>
                <w:lang w:eastAsia="zh-CN"/>
              </w:rPr>
              <w:sym w:font="Wingdings 2" w:char="0052"/>
            </w:r>
          </w:p>
        </w:tc>
        <w:tc>
          <w:tcPr>
            <w:tcW w:w="1452"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地表水</w:t>
            </w:r>
            <w:r>
              <w:rPr>
                <w:rFonts w:hint="eastAsia" w:ascii="Times New Roman" w:hAnsi="Times New Roman" w:cs="Times New Roman"/>
                <w:color w:val="0000FF"/>
                <w:sz w:val="21"/>
                <w:szCs w:val="21"/>
                <w:highlight w:val="none"/>
                <w:lang w:eastAsia="zh-CN"/>
              </w:rPr>
              <w:sym w:font="Wingdings 2" w:char="00A3"/>
            </w:r>
          </w:p>
        </w:tc>
        <w:tc>
          <w:tcPr>
            <w:tcW w:w="1214"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地下水</w:t>
            </w:r>
            <w:r>
              <w:rPr>
                <w:rFonts w:hint="eastAsia" w:ascii="Times New Roman" w:hAnsi="Times New Roman" w:cs="Times New Roman"/>
                <w:color w:val="0000FF"/>
                <w:sz w:val="21"/>
                <w:szCs w:val="21"/>
                <w:highlight w:val="none"/>
                <w:lang w:eastAsia="zh-CN"/>
              </w:rPr>
              <w:sym w:font="Wingdings 2" w:char="00A3"/>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12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事故情形分析</w:t>
            </w:r>
          </w:p>
        </w:tc>
        <w:tc>
          <w:tcPr>
            <w:tcW w:w="79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源强设定方法</w:t>
            </w:r>
            <w:r>
              <w:rPr>
                <w:rFonts w:hint="eastAsia" w:ascii="Times New Roman" w:hAnsi="Times New Roman" w:cs="Times New Roman"/>
                <w:color w:val="0000FF"/>
                <w:sz w:val="21"/>
                <w:szCs w:val="21"/>
                <w:highlight w:val="none"/>
                <w:lang w:eastAsia="zh-CN"/>
              </w:rPr>
              <w:t>□</w:t>
            </w:r>
          </w:p>
        </w:tc>
        <w:tc>
          <w:tcPr>
            <w:tcW w:w="83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计算法</w:t>
            </w:r>
            <w:r>
              <w:rPr>
                <w:rFonts w:hint="eastAsia" w:ascii="Times New Roman" w:hAnsi="Times New Roman" w:cs="Times New Roman"/>
                <w:color w:val="0000FF"/>
                <w:sz w:val="21"/>
                <w:szCs w:val="21"/>
                <w:highlight w:val="none"/>
                <w:lang w:eastAsia="zh-CN"/>
              </w:rPr>
              <w:t>□</w:t>
            </w:r>
          </w:p>
        </w:tc>
        <w:tc>
          <w:tcPr>
            <w:tcW w:w="86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经验估算法</w:t>
            </w:r>
            <w:r>
              <w:rPr>
                <w:rFonts w:hint="eastAsia" w:ascii="Times New Roman" w:hAnsi="Times New Roman" w:cs="Times New Roman"/>
                <w:color w:val="0000FF"/>
                <w:sz w:val="21"/>
                <w:szCs w:val="21"/>
                <w:highlight w:val="none"/>
                <w:lang w:eastAsia="zh-CN"/>
              </w:rPr>
              <w:t>□</w:t>
            </w:r>
          </w:p>
        </w:tc>
        <w:tc>
          <w:tcPr>
            <w:tcW w:w="1214"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其他估算法</w:t>
            </w:r>
            <w:r>
              <w:rPr>
                <w:rFonts w:hint="eastAsia" w:ascii="Times New Roman" w:hAnsi="Times New Roman" w:cs="Times New Roman"/>
                <w:color w:val="0000FF"/>
                <w:sz w:val="21"/>
                <w:szCs w:val="21"/>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风险预测与评价</w:t>
            </w:r>
          </w:p>
        </w:tc>
        <w:tc>
          <w:tcPr>
            <w:tcW w:w="78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大气</w:t>
            </w:r>
          </w:p>
        </w:tc>
        <w:tc>
          <w:tcPr>
            <w:tcW w:w="79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预测模型</w:t>
            </w:r>
          </w:p>
        </w:tc>
        <w:tc>
          <w:tcPr>
            <w:tcW w:w="832"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SLAB□</w:t>
            </w:r>
          </w:p>
        </w:tc>
        <w:tc>
          <w:tcPr>
            <w:tcW w:w="941"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AFTOX□</w:t>
            </w:r>
          </w:p>
        </w:tc>
        <w:tc>
          <w:tcPr>
            <w:tcW w:w="113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98" w:type="pct"/>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预测结果</w:t>
            </w:r>
          </w:p>
        </w:tc>
        <w:tc>
          <w:tcPr>
            <w:tcW w:w="2912"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大气毒性终点浓度-1  最大影响范围_</w:t>
            </w:r>
            <w:r>
              <w:rPr>
                <w:rFonts w:hint="default" w:ascii="Times New Roman" w:hAnsi="Times New Roman" w:cs="Times New Roman"/>
                <w:color w:val="0000FF"/>
                <w:sz w:val="21"/>
                <w:szCs w:val="21"/>
                <w:highlight w:val="none"/>
                <w:lang w:val="en-US" w:eastAsia="zh-CN"/>
              </w:rPr>
              <w:t>/</w:t>
            </w:r>
            <w:r>
              <w:rPr>
                <w:rFonts w:hint="default" w:ascii="Times New Roman" w:hAnsi="Times New Roman" w:cs="Times New Roman"/>
                <w:color w:val="0000FF"/>
                <w:sz w:val="21"/>
                <w:szCs w:val="21"/>
                <w:highlight w:val="none"/>
              </w:rPr>
              <w:t>__m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98" w:type="pct"/>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2912"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大气毒性终点浓度-2  最大影响范围_</w:t>
            </w:r>
            <w:r>
              <w:rPr>
                <w:rFonts w:hint="default" w:ascii="Times New Roman" w:hAnsi="Times New Roman" w:cs="Times New Roman"/>
                <w:color w:val="0000FF"/>
                <w:sz w:val="21"/>
                <w:szCs w:val="21"/>
                <w:highlight w:val="none"/>
                <w:lang w:val="en-US" w:eastAsia="zh-CN"/>
              </w:rPr>
              <w:t>/</w:t>
            </w:r>
            <w:r>
              <w:rPr>
                <w:rFonts w:hint="default" w:ascii="Times New Roman" w:hAnsi="Times New Roman" w:cs="Times New Roman"/>
                <w:color w:val="0000FF"/>
                <w:sz w:val="21"/>
                <w:szCs w:val="21"/>
                <w:highlight w:val="none"/>
              </w:rPr>
              <w:t>__m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地表水</w:t>
            </w:r>
          </w:p>
        </w:tc>
        <w:tc>
          <w:tcPr>
            <w:tcW w:w="3710" w:type="pct"/>
            <w:gridSpan w:val="1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最近环境敏感目标___</w:t>
            </w:r>
            <w:r>
              <w:rPr>
                <w:rFonts w:hint="default" w:ascii="Times New Roman" w:hAnsi="Times New Roman" w:cs="Times New Roman"/>
                <w:color w:val="0000FF"/>
                <w:sz w:val="21"/>
                <w:szCs w:val="21"/>
                <w:highlight w:val="none"/>
                <w:lang w:val="en-US" w:eastAsia="zh-CN"/>
              </w:rPr>
              <w:t>/</w:t>
            </w:r>
            <w:r>
              <w:rPr>
                <w:rFonts w:hint="default" w:ascii="Times New Roman" w:hAnsi="Times New Roman" w:cs="Times New Roman"/>
                <w:color w:val="0000FF"/>
                <w:sz w:val="21"/>
                <w:szCs w:val="21"/>
                <w:highlight w:val="none"/>
              </w:rPr>
              <w:t>__，到达时间____</w:t>
            </w:r>
            <w:r>
              <w:rPr>
                <w:rFonts w:hint="default" w:ascii="Times New Roman" w:hAnsi="Times New Roman" w:cs="Times New Roman"/>
                <w:color w:val="0000FF"/>
                <w:sz w:val="21"/>
                <w:szCs w:val="21"/>
                <w:highlight w:val="none"/>
                <w:lang w:val="en-US" w:eastAsia="zh-CN"/>
              </w:rPr>
              <w:t>/</w:t>
            </w:r>
            <w:r>
              <w:rPr>
                <w:rFonts w:hint="default" w:ascii="Times New Roman" w:hAnsi="Times New Roman" w:cs="Times New Roman"/>
                <w:color w:val="0000FF"/>
                <w:sz w:val="21"/>
                <w:szCs w:val="21"/>
                <w:highlight w:val="none"/>
              </w:rPr>
              <w:t>__h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地下水</w:t>
            </w:r>
          </w:p>
        </w:tc>
        <w:tc>
          <w:tcPr>
            <w:tcW w:w="3710" w:type="pct"/>
            <w:gridSpan w:val="1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下游厂区边界到达时间__</w:t>
            </w:r>
            <w:r>
              <w:rPr>
                <w:rFonts w:hint="default" w:ascii="Times New Roman" w:hAnsi="Times New Roman" w:cs="Times New Roman"/>
                <w:color w:val="0000FF"/>
                <w:sz w:val="21"/>
                <w:szCs w:val="21"/>
                <w:highlight w:val="none"/>
                <w:lang w:val="en-US" w:eastAsia="zh-CN"/>
              </w:rPr>
              <w:t>/</w:t>
            </w:r>
            <w:r>
              <w:rPr>
                <w:rFonts w:hint="default" w:ascii="Times New Roman" w:hAnsi="Times New Roman" w:cs="Times New Roman"/>
                <w:color w:val="0000FF"/>
                <w:sz w:val="21"/>
                <w:szCs w:val="21"/>
                <w:highlight w:val="none"/>
              </w:rPr>
              <w:t>___d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p>
        </w:tc>
        <w:tc>
          <w:tcPr>
            <w:tcW w:w="3710" w:type="pct"/>
            <w:gridSpan w:val="1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最近环境敏感目标___</w:t>
            </w:r>
            <w:r>
              <w:rPr>
                <w:rFonts w:hint="default" w:ascii="Times New Roman" w:hAnsi="Times New Roman" w:cs="Times New Roman"/>
                <w:color w:val="0000FF"/>
                <w:sz w:val="21"/>
                <w:szCs w:val="21"/>
                <w:highlight w:val="none"/>
                <w:lang w:val="en-US" w:eastAsia="zh-CN"/>
              </w:rPr>
              <w:t>/</w:t>
            </w:r>
            <w:r>
              <w:rPr>
                <w:rFonts w:hint="default" w:ascii="Times New Roman" w:hAnsi="Times New Roman" w:cs="Times New Roman"/>
                <w:color w:val="0000FF"/>
                <w:sz w:val="21"/>
                <w:szCs w:val="21"/>
                <w:highlight w:val="none"/>
              </w:rPr>
              <w:t>__，到达时间____</w:t>
            </w:r>
            <w:r>
              <w:rPr>
                <w:rFonts w:hint="default" w:ascii="Times New Roman" w:hAnsi="Times New Roman" w:cs="Times New Roman"/>
                <w:color w:val="0000FF"/>
                <w:sz w:val="21"/>
                <w:szCs w:val="21"/>
                <w:highlight w:val="none"/>
                <w:lang w:val="en-US" w:eastAsia="zh-CN"/>
              </w:rPr>
              <w:t>/</w:t>
            </w:r>
            <w:r>
              <w:rPr>
                <w:rFonts w:hint="default" w:ascii="Times New Roman" w:hAnsi="Times New Roman" w:cs="Times New Roman"/>
                <w:color w:val="0000FF"/>
                <w:sz w:val="21"/>
                <w:szCs w:val="21"/>
                <w:highlight w:val="none"/>
              </w:rPr>
              <w:t>__d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重点风险防范措施</w:t>
            </w:r>
          </w:p>
        </w:tc>
        <w:tc>
          <w:tcPr>
            <w:tcW w:w="4496" w:type="pct"/>
            <w:gridSpan w:val="1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fldChar w:fldCharType="begin"/>
            </w:r>
            <w:r>
              <w:rPr>
                <w:rFonts w:hint="default" w:ascii="Times New Roman" w:hAnsi="Times New Roman" w:cs="Times New Roman"/>
                <w:color w:val="0000FF"/>
                <w:kern w:val="0"/>
                <w:sz w:val="21"/>
                <w:szCs w:val="21"/>
                <w:highlight w:val="none"/>
              </w:rPr>
              <w:instrText xml:space="preserve"> = 1 \* GB3 </w:instrText>
            </w:r>
            <w:r>
              <w:rPr>
                <w:rFonts w:hint="default" w:ascii="Times New Roman" w:hAnsi="Times New Roman" w:cs="Times New Roman"/>
                <w:color w:val="0000FF"/>
                <w:kern w:val="0"/>
                <w:sz w:val="21"/>
                <w:szCs w:val="21"/>
                <w:highlight w:val="none"/>
              </w:rPr>
              <w:fldChar w:fldCharType="separate"/>
            </w:r>
            <w:r>
              <w:rPr>
                <w:rFonts w:hint="default" w:ascii="Times New Roman" w:hAnsi="Times New Roman" w:cs="Times New Roman"/>
                <w:color w:val="0000FF"/>
                <w:kern w:val="0"/>
                <w:sz w:val="21"/>
                <w:szCs w:val="21"/>
                <w:highlight w:val="none"/>
              </w:rPr>
              <w:t>①</w:t>
            </w:r>
            <w:r>
              <w:rPr>
                <w:rFonts w:hint="default" w:ascii="Times New Roman" w:hAnsi="Times New Roman" w:cs="Times New Roman"/>
                <w:color w:val="0000FF"/>
                <w:kern w:val="0"/>
                <w:sz w:val="21"/>
                <w:szCs w:val="21"/>
                <w:highlight w:val="none"/>
              </w:rPr>
              <w:fldChar w:fldCharType="end"/>
            </w:r>
            <w:r>
              <w:rPr>
                <w:rFonts w:hint="default" w:ascii="Times New Roman" w:hAnsi="Times New Roman" w:cs="Times New Roman"/>
                <w:color w:val="0000FF"/>
                <w:kern w:val="0"/>
                <w:sz w:val="21"/>
                <w:szCs w:val="21"/>
                <w:highlight w:val="none"/>
              </w:rPr>
              <w:t>制定安全生产方针、政策、计划和各种规范，完善安全管理制度和安全操作</w:t>
            </w:r>
            <w:r>
              <w:rPr>
                <w:rFonts w:hint="default" w:ascii="Times New Roman" w:hAnsi="Times New Roman" w:eastAsia="宋体" w:cs="Times New Roman"/>
                <w:color w:val="0000FF"/>
                <w:kern w:val="0"/>
                <w:sz w:val="21"/>
                <w:szCs w:val="21"/>
                <w:highlight w:val="none"/>
              </w:rPr>
              <w:t>规程，建立健全环境管理体系和监测体系，完善各种规章制度标准；</w:t>
            </w:r>
            <w:r>
              <w:rPr>
                <w:rFonts w:hint="default" w:ascii="Times New Roman" w:hAnsi="Times New Roman" w:cs="Times New Roman"/>
                <w:color w:val="0000FF"/>
                <w:kern w:val="0"/>
                <w:sz w:val="21"/>
                <w:szCs w:val="21"/>
                <w:highlight w:val="none"/>
              </w:rPr>
              <w:t>②</w:t>
            </w:r>
            <w:r>
              <w:rPr>
                <w:rFonts w:hint="default" w:ascii="Times New Roman" w:hAnsi="Times New Roman" w:eastAsia="宋体" w:cs="Times New Roman"/>
                <w:color w:val="0000FF"/>
                <w:kern w:val="0"/>
                <w:sz w:val="21"/>
                <w:szCs w:val="21"/>
                <w:highlight w:val="none"/>
              </w:rPr>
              <w:t>定期对管线进行巡视，定期进行管道壁厚和防腐情况检测；③按消防规定配备泡沫灭火器、干粉灭火器、消防铁锹和其它消防器材。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评价结论与建议</w:t>
            </w:r>
          </w:p>
        </w:tc>
        <w:tc>
          <w:tcPr>
            <w:tcW w:w="4496" w:type="pct"/>
            <w:gridSpan w:val="1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在做好相应的环境风险防范措施的前提下，本工程的环境风险是可以防控的。</w:t>
            </w:r>
          </w:p>
        </w:tc>
      </w:tr>
    </w:tbl>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spacing w:line="255" w:lineRule="exact"/>
        <w:rPr>
          <w:sz w:val="21"/>
        </w:rPr>
        <w:sectPr>
          <w:footerReference r:id="rId21" w:type="default"/>
          <w:footerReference r:id="rId22" w:type="even"/>
          <w:pgSz w:w="11910" w:h="16840"/>
          <w:pgMar w:top="1440" w:right="1803" w:bottom="1440" w:left="1803" w:header="896" w:footer="1088" w:gutter="0"/>
          <w:pgBorders>
            <w:top w:val="none" w:sz="0" w:space="0"/>
            <w:left w:val="none" w:sz="0" w:space="0"/>
            <w:bottom w:val="none" w:sz="0" w:space="0"/>
            <w:right w:val="none" w:sz="0" w:space="0"/>
          </w:pgBorders>
          <w:cols w:space="0" w:num="1"/>
        </w:sectPr>
      </w:pPr>
      <w:bookmarkStart w:id="304" w:name="5.2_运营期环境影响预测与评价"/>
      <w:bookmarkEnd w:id="304"/>
      <w:bookmarkStart w:id="305" w:name="_bookmark24"/>
      <w:bookmarkEnd w:id="305"/>
    </w:p>
    <w:p>
      <w:pPr>
        <w:pStyle w:val="4"/>
        <w:tabs>
          <w:tab w:val="left" w:pos="1444"/>
        </w:tabs>
        <w:adjustRightInd w:val="0"/>
        <w:snapToGrid w:val="0"/>
        <w:spacing w:before="0" w:line="360" w:lineRule="auto"/>
        <w:ind w:right="0" w:firstLine="723" w:firstLineChars="200"/>
        <w:jc w:val="both"/>
      </w:pPr>
      <w:bookmarkStart w:id="306" w:name="第六章__环境保护措施及其可行性论证"/>
      <w:bookmarkEnd w:id="306"/>
      <w:bookmarkStart w:id="307" w:name="_Toc7602"/>
      <w:bookmarkStart w:id="308" w:name="_Toc24503"/>
      <w:bookmarkStart w:id="309" w:name="_Toc29050"/>
      <w:r>
        <w:t>第六章</w:t>
      </w:r>
      <w:r>
        <w:rPr>
          <w:rFonts w:hint="eastAsia"/>
          <w:lang w:val="en-US"/>
        </w:rPr>
        <w:t xml:space="preserve">  </w:t>
      </w:r>
      <w:r>
        <w:t>环境保护措施及其可行性论证</w:t>
      </w:r>
      <w:bookmarkEnd w:id="307"/>
      <w:bookmarkEnd w:id="308"/>
      <w:bookmarkEnd w:id="309"/>
    </w:p>
    <w:p>
      <w:pPr>
        <w:pStyle w:val="5"/>
        <w:keepNext w:val="0"/>
        <w:keepLines w:val="0"/>
        <w:pageBreakBefore w:val="0"/>
        <w:widowControl w:val="0"/>
        <w:numPr>
          <w:ilvl w:val="1"/>
          <w:numId w:val="21"/>
        </w:numPr>
        <w:tabs>
          <w:tab w:val="left" w:pos="1100"/>
        </w:tabs>
        <w:kinsoku/>
        <w:wordWrap/>
        <w:overflowPunct/>
        <w:topLinePunct w:val="0"/>
        <w:autoSpaceDE w:val="0"/>
        <w:autoSpaceDN w:val="0"/>
        <w:bidi w:val="0"/>
        <w:adjustRightInd w:val="0"/>
        <w:snapToGrid w:val="0"/>
        <w:spacing w:line="360" w:lineRule="auto"/>
        <w:ind w:left="0"/>
        <w:jc w:val="both"/>
        <w:textAlignment w:val="auto"/>
      </w:pPr>
      <w:bookmarkStart w:id="310" w:name="6.1_施工期环境保护措施分析"/>
      <w:bookmarkEnd w:id="310"/>
      <w:bookmarkStart w:id="311" w:name="_bookmark26"/>
      <w:bookmarkEnd w:id="311"/>
      <w:bookmarkStart w:id="312" w:name="_Toc19349"/>
      <w:bookmarkStart w:id="313" w:name="_Toc28153"/>
      <w:bookmarkStart w:id="314" w:name="_Toc12415"/>
      <w:r>
        <w:t>施工期环境保护措施分析</w:t>
      </w:r>
      <w:bookmarkEnd w:id="312"/>
      <w:bookmarkEnd w:id="313"/>
      <w:bookmarkEnd w:id="314"/>
    </w:p>
    <w:p>
      <w:pPr>
        <w:pStyle w:val="6"/>
        <w:numPr>
          <w:ilvl w:val="2"/>
          <w:numId w:val="21"/>
        </w:numPr>
        <w:tabs>
          <w:tab w:val="left" w:pos="1241"/>
        </w:tabs>
        <w:adjustRightInd w:val="0"/>
        <w:snapToGrid w:val="0"/>
        <w:spacing w:line="360" w:lineRule="auto"/>
        <w:jc w:val="both"/>
      </w:pPr>
      <w:bookmarkStart w:id="315" w:name="6.1.1_环境空气污染防治措施分析"/>
      <w:bookmarkEnd w:id="315"/>
      <w:r>
        <w:t>环境空气污染防治措施分析</w:t>
      </w:r>
    </w:p>
    <w:p>
      <w:pPr>
        <w:pStyle w:val="62"/>
        <w:jc w:val="both"/>
        <w:rPr>
          <w:rFonts w:ascii="Times New Roman" w:hAnsi="Times New Roman"/>
          <w:color w:val="auto"/>
          <w:highlight w:val="none"/>
        </w:rPr>
      </w:pPr>
      <w:r>
        <w:rPr>
          <w:rFonts w:ascii="Times New Roman" w:hAnsi="Times New Roman"/>
          <w:color w:val="auto"/>
          <w:highlight w:val="none"/>
        </w:rPr>
        <w:t>为使施工过程中产生的粉尘和废气对周围环境空气的影响降低到最小程度，建议采取以下防护措施：</w:t>
      </w:r>
    </w:p>
    <w:p>
      <w:pPr>
        <w:pStyle w:val="62"/>
        <w:jc w:val="both"/>
        <w:rPr>
          <w:rFonts w:hint="default" w:ascii="Times New Roman" w:hAnsi="Times New Roman" w:eastAsia="宋体" w:cs="Times New Roman"/>
          <w:color w:val="auto"/>
          <w:highlight w:val="none"/>
        </w:rPr>
      </w:pPr>
      <w:r>
        <w:rPr>
          <w:rFonts w:ascii="Times New Roman" w:hAnsi="Times New Roman"/>
          <w:color w:val="auto"/>
          <w:highlight w:val="none"/>
        </w:rPr>
        <w:t>（</w:t>
      </w:r>
      <w:r>
        <w:rPr>
          <w:rFonts w:hint="default" w:ascii="Times New Roman" w:hAnsi="Times New Roman" w:eastAsia="宋体" w:cs="Times New Roman"/>
          <w:color w:val="auto"/>
          <w:highlight w:val="none"/>
        </w:rPr>
        <w:t>1）在施工场区设置100%标准围挡。有围挡对施工扬尘的控制相对无围挡时有明显改善，当风速2.5m/s时，可使影响距离缩短40%。</w:t>
      </w:r>
    </w:p>
    <w:p>
      <w:pPr>
        <w:pStyle w:val="62"/>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裸露黄土100%覆盖。施工场区应经常洒水，保持场地湿润，减少起尘量；开挖、钻孔过程中，洒水使作业保持一定的湿度：对施工场地内松散、干涸的表土，也应经常洒水防治粉尘；回填土方时，在表层土质干燥时应适当洒水，防止粉尘飞扬。未能及时清运或要存留的土方必须集中堆放，同时采取密目网覆盖或绿化措施，定时进行洒水、防止扬尘产生。</w:t>
      </w:r>
    </w:p>
    <w:p>
      <w:pPr>
        <w:pStyle w:val="62"/>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（3）施工道路100%硬化。施工现场内主要道路必须进行硬化处理，根据工程规模配备相应数量的专职保洁人员清扫保洁，保持道路干净无扬尘。</w:t>
      </w:r>
    </w:p>
    <w:p>
      <w:pPr>
        <w:pStyle w:val="62"/>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（4）渣土运输车辆100%密闭拉运。渣土车辆进行清运时必须采取密闭措施，防止车辆在行进过程中出现扬尘或渣土漏撒。并规定工地上运输车辆的行车路线，保证行车路线上的路面基本清洁，以减少扬尘污染。</w:t>
      </w:r>
    </w:p>
    <w:p>
      <w:pPr>
        <w:pStyle w:val="62"/>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（4）施工现场出入车辆100%冲洗清洁。现场安排保洁人员用高压水枪对车辆槽帮和车轮进行补充冲洗，确保所有运输车辆干净出场，严禁带泥上路，并在运输车辆加蓬盖。</w:t>
      </w:r>
    </w:p>
    <w:p>
      <w:pPr>
        <w:pStyle w:val="62"/>
        <w:jc w:val="both"/>
        <w:rPr>
          <w:rFonts w:ascii="Times New Roman" w:hAnsi="Times New Roman"/>
          <w:color w:val="auto"/>
          <w:highlight w:val="none"/>
        </w:rPr>
      </w:pPr>
      <w:r>
        <w:rPr>
          <w:rFonts w:hint="default" w:ascii="Times New Roman" w:hAnsi="Times New Roman" w:eastAsia="宋体" w:cs="Times New Roman"/>
          <w:color w:val="auto"/>
          <w:highlight w:val="none"/>
        </w:rPr>
        <w:t>（5）运土卡车及建筑材料运输车应按规定配置防洒装备，装载不宜过满，保证运输过程中不散落；并规划好运输车辆的运行路线与时间，尽量避免在繁华区、交通集中区和居民住宅等敏感区行驶；对环境要求高的</w:t>
      </w:r>
      <w:r>
        <w:rPr>
          <w:rFonts w:ascii="Times New Roman" w:hAnsi="Times New Roman"/>
          <w:color w:val="auto"/>
          <w:highlight w:val="none"/>
        </w:rPr>
        <w:t>路段，应根据实际情况选择在夜间运输，以减少粉尘对环境的影响。</w:t>
      </w:r>
    </w:p>
    <w:p>
      <w:pPr>
        <w:pStyle w:val="62"/>
        <w:jc w:val="both"/>
        <w:rPr>
          <w:rFonts w:ascii="Times New Roman" w:hAnsi="Times New Roman"/>
          <w:color w:val="auto"/>
          <w:highlight w:val="none"/>
        </w:rPr>
      </w:pPr>
      <w:r>
        <w:rPr>
          <w:rFonts w:ascii="Times New Roman" w:hAnsi="Times New Roman"/>
          <w:color w:val="auto"/>
          <w:highlight w:val="none"/>
        </w:rPr>
        <w:t>（6）对运输过程中洒落在路面上的泥土要及时清扫，以减少运行过程中的扬尘。</w:t>
      </w:r>
    </w:p>
    <w:p>
      <w:pPr>
        <w:pStyle w:val="14"/>
        <w:adjustRightInd w:val="0"/>
        <w:snapToGrid w:val="0"/>
        <w:spacing w:line="360" w:lineRule="auto"/>
        <w:ind w:left="0" w:firstLine="480" w:firstLineChars="200"/>
        <w:jc w:val="both"/>
      </w:pPr>
      <w:r>
        <w:rPr>
          <w:rFonts w:ascii="Times New Roman" w:hAnsi="Times New Roman"/>
          <w:color w:val="auto"/>
          <w:highlight w:val="none"/>
        </w:rPr>
        <w:t>（7）建筑物拆除100%湿法作业。施工结束时，及时对施工占用场地进行恢复平整，对闲置空地进行绿化。对建筑物实施拆除时，必须辅以持续加压洒水或喷淋措施，抑制扬尘污染。施工过程中，严禁将废弃的建筑材料作为燃料燃烧。</w:t>
      </w:r>
    </w:p>
    <w:p>
      <w:pPr>
        <w:pStyle w:val="6"/>
        <w:numPr>
          <w:ilvl w:val="2"/>
          <w:numId w:val="21"/>
        </w:numPr>
        <w:tabs>
          <w:tab w:val="left" w:pos="1241"/>
        </w:tabs>
        <w:adjustRightInd w:val="0"/>
        <w:snapToGrid w:val="0"/>
        <w:spacing w:line="360" w:lineRule="auto"/>
        <w:jc w:val="both"/>
      </w:pPr>
      <w:bookmarkStart w:id="316" w:name="6.1.2_水污染防治措施分析"/>
      <w:bookmarkEnd w:id="316"/>
      <w:r>
        <w:t>水污染防治措施分析</w:t>
      </w:r>
    </w:p>
    <w:p>
      <w:pPr>
        <w:bidi w:val="0"/>
        <w:rPr>
          <w:color w:val="auto"/>
          <w:highlight w:val="none"/>
        </w:rPr>
      </w:pPr>
      <w:r>
        <w:rPr>
          <w:color w:val="auto"/>
          <w:highlight w:val="none"/>
        </w:rPr>
        <w:t>施工现场设沉淀池，将施工废水排入沉淀池处理后，用于洒水降尘，避免乱流现象。生活污水</w:t>
      </w:r>
      <w:r>
        <w:rPr>
          <w:rFonts w:hint="eastAsia"/>
          <w:color w:val="auto"/>
          <w:highlight w:val="none"/>
        </w:rPr>
        <w:t>排入市政污水管网</w:t>
      </w:r>
      <w:r>
        <w:rPr>
          <w:color w:val="auto"/>
          <w:highlight w:val="none"/>
        </w:rPr>
        <w:t>。</w:t>
      </w:r>
    </w:p>
    <w:p>
      <w:pPr>
        <w:pStyle w:val="14"/>
        <w:adjustRightInd w:val="0"/>
        <w:snapToGrid w:val="0"/>
        <w:spacing w:line="360" w:lineRule="auto"/>
        <w:ind w:left="0" w:firstLine="480" w:firstLineChars="200"/>
        <w:jc w:val="both"/>
      </w:pPr>
      <w:r>
        <w:rPr>
          <w:rFonts w:ascii="Times New Roman" w:hAnsi="Times New Roman"/>
          <w:color w:val="auto"/>
          <w:highlight w:val="none"/>
        </w:rPr>
        <w:t>采取上述措施后，可以有效地做好施工污水的防治，加之施工活动周期较短，因此不会导致施工场地周围水环境的污染。</w:t>
      </w:r>
    </w:p>
    <w:p>
      <w:pPr>
        <w:pStyle w:val="6"/>
        <w:numPr>
          <w:ilvl w:val="2"/>
          <w:numId w:val="21"/>
        </w:numPr>
        <w:tabs>
          <w:tab w:val="left" w:pos="1241"/>
        </w:tabs>
        <w:adjustRightInd w:val="0"/>
        <w:snapToGrid w:val="0"/>
        <w:spacing w:line="360" w:lineRule="auto"/>
        <w:jc w:val="both"/>
      </w:pPr>
      <w:bookmarkStart w:id="317" w:name="6.1.3_噪声污染防治措施分析"/>
      <w:bookmarkEnd w:id="317"/>
      <w:r>
        <w:t>噪声污染防治措施分析</w:t>
      </w:r>
    </w:p>
    <w:p>
      <w:pPr>
        <w:pStyle w:val="62"/>
        <w:jc w:val="both"/>
        <w:rPr>
          <w:rFonts w:ascii="Times New Roman" w:hAnsi="Times New Roman"/>
          <w:color w:val="auto"/>
          <w:highlight w:val="none"/>
        </w:rPr>
      </w:pPr>
      <w:r>
        <w:rPr>
          <w:rFonts w:ascii="Times New Roman" w:hAnsi="Times New Roman"/>
          <w:color w:val="auto"/>
          <w:highlight w:val="none"/>
        </w:rPr>
        <w:t>项目施工期间虽然作业噪声不可避免，但为减小其噪声对周围环境的影响，建议建设单位采取适当的措施来减轻其噪声的影响范围。</w:t>
      </w:r>
    </w:p>
    <w:p>
      <w:pPr>
        <w:pStyle w:val="62"/>
        <w:jc w:val="both"/>
        <w:rPr>
          <w:rFonts w:ascii="Times New Roman" w:hAnsi="Times New Roman"/>
          <w:color w:val="auto"/>
          <w:highlight w:val="none"/>
        </w:rPr>
      </w:pPr>
      <w:r>
        <w:rPr>
          <w:rFonts w:ascii="Times New Roman" w:hAnsi="Times New Roman"/>
          <w:color w:val="auto"/>
          <w:highlight w:val="none"/>
        </w:rPr>
        <w:t>（1）避免在夜间进行材料运输等工作。</w:t>
      </w:r>
    </w:p>
    <w:p>
      <w:pPr>
        <w:pStyle w:val="62"/>
        <w:jc w:val="both"/>
        <w:rPr>
          <w:rFonts w:ascii="Times New Roman" w:hAnsi="Times New Roman"/>
          <w:color w:val="auto"/>
          <w:highlight w:val="none"/>
        </w:rPr>
      </w:pPr>
      <w:r>
        <w:rPr>
          <w:rFonts w:ascii="Times New Roman" w:hAnsi="Times New Roman"/>
          <w:color w:val="auto"/>
          <w:highlight w:val="none"/>
        </w:rPr>
        <w:t>（2）尽量选用低噪声机械设备或带隔声、消声的设备。</w:t>
      </w:r>
    </w:p>
    <w:p>
      <w:pPr>
        <w:pStyle w:val="62"/>
        <w:jc w:val="both"/>
        <w:rPr>
          <w:rFonts w:ascii="Times New Roman" w:hAnsi="Times New Roman"/>
          <w:color w:val="auto"/>
          <w:highlight w:val="none"/>
        </w:rPr>
      </w:pPr>
      <w:r>
        <w:rPr>
          <w:rFonts w:ascii="Times New Roman" w:hAnsi="Times New Roman"/>
          <w:color w:val="auto"/>
          <w:highlight w:val="none"/>
        </w:rPr>
        <w:t>（3）在施工边界，设置临时隔声屏障，以减少噪声的影响。</w:t>
      </w:r>
    </w:p>
    <w:p>
      <w:pPr>
        <w:pStyle w:val="62"/>
        <w:jc w:val="both"/>
        <w:rPr>
          <w:rFonts w:ascii="Times New Roman" w:hAnsi="Times New Roman"/>
          <w:color w:val="auto"/>
          <w:highlight w:val="none"/>
        </w:rPr>
      </w:pPr>
      <w:r>
        <w:rPr>
          <w:rFonts w:ascii="Times New Roman" w:hAnsi="Times New Roman"/>
          <w:color w:val="auto"/>
          <w:highlight w:val="none"/>
        </w:rPr>
        <w:t>（4）对较高噪声值的固定设备，应建设隔声间或声屏障。</w:t>
      </w:r>
    </w:p>
    <w:p>
      <w:pPr>
        <w:pStyle w:val="14"/>
        <w:adjustRightInd w:val="0"/>
        <w:snapToGrid w:val="0"/>
        <w:spacing w:line="360" w:lineRule="auto"/>
        <w:ind w:left="0" w:firstLine="480" w:firstLineChars="200"/>
        <w:jc w:val="both"/>
      </w:pPr>
      <w:r>
        <w:rPr>
          <w:rFonts w:ascii="Times New Roman" w:hAnsi="Times New Roman"/>
          <w:color w:val="auto"/>
          <w:highlight w:val="none"/>
        </w:rPr>
        <w:t>采取上述措施后，可有效地降低施工噪声，保证施工场界噪声对周围环境影响较小。</w:t>
      </w:r>
    </w:p>
    <w:p>
      <w:pPr>
        <w:pStyle w:val="6"/>
        <w:numPr>
          <w:ilvl w:val="2"/>
          <w:numId w:val="21"/>
        </w:numPr>
        <w:tabs>
          <w:tab w:val="left" w:pos="1241"/>
        </w:tabs>
        <w:adjustRightInd w:val="0"/>
        <w:snapToGrid w:val="0"/>
        <w:spacing w:line="360" w:lineRule="auto"/>
        <w:jc w:val="both"/>
      </w:pPr>
      <w:bookmarkStart w:id="318" w:name="6.1.4_固体废弃物污染防治措施分析"/>
      <w:bookmarkEnd w:id="318"/>
      <w:r>
        <w:t>固体废弃物污染防治措施分析</w:t>
      </w:r>
    </w:p>
    <w:p>
      <w:pPr>
        <w:pStyle w:val="62"/>
        <w:jc w:val="both"/>
        <w:rPr>
          <w:rFonts w:ascii="Times New Roman" w:hAnsi="Times New Roman"/>
          <w:color w:val="auto"/>
          <w:highlight w:val="none"/>
        </w:rPr>
      </w:pPr>
      <w:r>
        <w:rPr>
          <w:rFonts w:ascii="Times New Roman" w:hAnsi="Times New Roman"/>
          <w:color w:val="auto"/>
          <w:highlight w:val="none"/>
        </w:rPr>
        <w:t>（1）根据《城市建筑垃圾管理规定》（建设部令第139号，2005年3月23日）有关规定，建设单位和施工单位要重视和加强建筑垃圾的管理，采取积极措施防止其对环境的污染。</w:t>
      </w:r>
    </w:p>
    <w:p>
      <w:pPr>
        <w:pStyle w:val="62"/>
        <w:jc w:val="both"/>
        <w:rPr>
          <w:rFonts w:ascii="Times New Roman" w:hAnsi="Times New Roman"/>
          <w:color w:val="auto"/>
          <w:highlight w:val="none"/>
        </w:rPr>
      </w:pPr>
      <w:r>
        <w:rPr>
          <w:rFonts w:ascii="Times New Roman" w:hAnsi="Times New Roman"/>
          <w:color w:val="auto"/>
          <w:highlight w:val="none"/>
        </w:rPr>
        <w:t>（2）施工单位要向当地市容卫生管理部门提出建筑垃圾处置的请示报告，经批准后将建筑垃圾清运到指定地点合理消纳，防止水土流失和破坏当地景观。</w:t>
      </w:r>
    </w:p>
    <w:p>
      <w:pPr>
        <w:pStyle w:val="62"/>
        <w:jc w:val="both"/>
        <w:rPr>
          <w:rFonts w:ascii="Times New Roman" w:hAnsi="Times New Roman"/>
          <w:color w:val="auto"/>
          <w:highlight w:val="none"/>
        </w:rPr>
      </w:pPr>
      <w:r>
        <w:rPr>
          <w:rFonts w:ascii="Times New Roman" w:hAnsi="Times New Roman"/>
          <w:color w:val="auto"/>
          <w:highlight w:val="none"/>
        </w:rPr>
        <w:t>（3）对施工期间产生的建筑垃圾进行分类收集、分类暂存，能够回收利用的尽量回收综合利用，以节约宝贵的资源。</w:t>
      </w:r>
    </w:p>
    <w:p>
      <w:pPr>
        <w:pStyle w:val="62"/>
        <w:jc w:val="both"/>
        <w:rPr>
          <w:rFonts w:ascii="Times New Roman" w:hAnsi="Times New Roman"/>
          <w:color w:val="auto"/>
          <w:highlight w:val="none"/>
        </w:rPr>
      </w:pPr>
      <w:r>
        <w:rPr>
          <w:rFonts w:ascii="Times New Roman" w:hAnsi="Times New Roman"/>
          <w:color w:val="auto"/>
          <w:highlight w:val="none"/>
        </w:rPr>
        <w:t>（4）对建筑垃圾要进行收集并固定地点集中暂存，尽量缩短暂存时间，争取日产日清。同时要做好建筑垃圾暂存点的防护工作，避免风吹、雨淋散失或流失。</w:t>
      </w:r>
    </w:p>
    <w:p>
      <w:pPr>
        <w:pStyle w:val="62"/>
        <w:jc w:val="both"/>
        <w:rPr>
          <w:rFonts w:ascii="Times New Roman" w:hAnsi="Times New Roman"/>
          <w:color w:val="auto"/>
          <w:highlight w:val="none"/>
        </w:rPr>
      </w:pPr>
      <w:r>
        <w:rPr>
          <w:rFonts w:ascii="Times New Roman" w:hAnsi="Times New Roman"/>
          <w:color w:val="auto"/>
          <w:highlight w:val="none"/>
        </w:rPr>
        <w:t>（5）生活垃圾集中收集，由环卫部门运至垃圾填埋场填埋。</w:t>
      </w:r>
    </w:p>
    <w:p>
      <w:pPr>
        <w:pStyle w:val="62"/>
        <w:jc w:val="both"/>
        <w:rPr>
          <w:rFonts w:ascii="Times New Roman" w:hAnsi="Times New Roman"/>
          <w:color w:val="auto"/>
          <w:highlight w:val="none"/>
        </w:rPr>
      </w:pPr>
      <w:r>
        <w:rPr>
          <w:rFonts w:ascii="Times New Roman" w:hAnsi="Times New Roman"/>
          <w:color w:val="auto"/>
          <w:highlight w:val="none"/>
        </w:rPr>
        <w:t>（6）施工单位不准将各种固体废物随意丢弃和随意排放。</w:t>
      </w:r>
    </w:p>
    <w:p>
      <w:pPr>
        <w:pStyle w:val="14"/>
        <w:adjustRightInd w:val="0"/>
        <w:snapToGrid w:val="0"/>
        <w:spacing w:line="360" w:lineRule="auto"/>
        <w:ind w:left="0" w:firstLine="480" w:firstLineChars="200"/>
        <w:jc w:val="both"/>
      </w:pPr>
      <w:r>
        <w:rPr>
          <w:color w:val="auto"/>
          <w:highlight w:val="none"/>
        </w:rPr>
        <w:t>一般情况下，项目建设施工过程会对施工场地及周围地区的环境质量产生一定的影响，必须引起建设单位及施工单位的高度重视，切实做好防护措施，使其对环境的影响减至最低限度。</w:t>
      </w:r>
    </w:p>
    <w:p>
      <w:pPr>
        <w:pStyle w:val="6"/>
        <w:numPr>
          <w:ilvl w:val="2"/>
          <w:numId w:val="21"/>
        </w:numPr>
        <w:tabs>
          <w:tab w:val="left" w:pos="1241"/>
        </w:tabs>
        <w:adjustRightInd w:val="0"/>
        <w:snapToGrid w:val="0"/>
        <w:spacing w:line="360" w:lineRule="auto"/>
        <w:jc w:val="both"/>
      </w:pPr>
      <w:bookmarkStart w:id="319" w:name="6.1.5_生态防治措施分析"/>
      <w:bookmarkEnd w:id="319"/>
      <w:r>
        <w:t>生态防治措施分析</w:t>
      </w:r>
    </w:p>
    <w:p>
      <w:pPr>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lang w:val="en-US" w:eastAsia="zh-CN"/>
        </w:rPr>
        <w:t>工程及其附属设施</w:t>
      </w:r>
      <w:r>
        <w:rPr>
          <w:rFonts w:hint="eastAsia"/>
          <w:color w:val="auto"/>
          <w:highlight w:val="none"/>
          <w:lang w:val="en-US" w:eastAsia="zh-CN"/>
        </w:rPr>
        <w:t>建设</w:t>
      </w:r>
      <w:r>
        <w:rPr>
          <w:rFonts w:hint="default"/>
          <w:color w:val="auto"/>
          <w:highlight w:val="none"/>
          <w:lang w:val="en-US" w:eastAsia="zh-CN"/>
        </w:rPr>
        <w:t>不可避免将对区域土壤、植被等生态环境造成影响，应从以下几方面采取相关保护措施，最大程度降低对周围的影响。</w:t>
      </w:r>
    </w:p>
    <w:p>
      <w:pPr>
        <w:pStyle w:val="7"/>
        <w:bidi w:val="0"/>
        <w:jc w:val="both"/>
        <w:rPr>
          <w:rFonts w:hint="default"/>
          <w:color w:val="auto"/>
          <w:highlight w:val="none"/>
          <w:lang w:val="en-US" w:eastAsia="zh-CN"/>
        </w:rPr>
      </w:pPr>
      <w:r>
        <w:rPr>
          <w:rFonts w:hint="eastAsia"/>
          <w:color w:val="auto"/>
          <w:highlight w:val="none"/>
          <w:lang w:val="en-US" w:eastAsia="zh-CN"/>
        </w:rPr>
        <w:t>6.1.5.1</w:t>
      </w:r>
      <w:r>
        <w:rPr>
          <w:rFonts w:hint="default"/>
          <w:color w:val="auto"/>
          <w:highlight w:val="none"/>
          <w:lang w:val="en-US" w:eastAsia="zh-CN"/>
        </w:rPr>
        <w:t>临时占地生态环境保护措施</w:t>
      </w:r>
    </w:p>
    <w:p>
      <w:pPr>
        <w:rPr>
          <w:rFonts w:hint="default"/>
          <w:color w:val="auto"/>
          <w:highlight w:val="none"/>
          <w:lang w:val="en-US" w:eastAsia="zh-CN"/>
        </w:rPr>
      </w:pPr>
      <w:r>
        <w:rPr>
          <w:rFonts w:hint="default"/>
          <w:color w:val="auto"/>
          <w:highlight w:val="none"/>
          <w:lang w:val="en-US" w:eastAsia="zh-CN"/>
        </w:rPr>
        <w:t>项目在建设过程中，严格控制临时占地面积。各类临时占地应充分利用区域内地形地貌、尽可能减少占地面积，减少对植被的破坏面积；减少挖方、填方量。施工期避开雨雪及大风天气，减少区域水土流失。土方临时堆放场地周围应修建防止水土流失的临时防护设施。</w:t>
      </w:r>
    </w:p>
    <w:p>
      <w:pPr>
        <w:pStyle w:val="7"/>
        <w:bidi w:val="0"/>
        <w:jc w:val="both"/>
        <w:rPr>
          <w:rFonts w:hint="default"/>
          <w:color w:val="auto"/>
          <w:highlight w:val="none"/>
          <w:lang w:val="en-US" w:eastAsia="zh-CN"/>
        </w:rPr>
      </w:pPr>
      <w:r>
        <w:rPr>
          <w:rFonts w:hint="eastAsia"/>
          <w:color w:val="auto"/>
          <w:highlight w:val="none"/>
          <w:lang w:val="en-US" w:eastAsia="zh-CN"/>
        </w:rPr>
        <w:t>6.1.5.2</w:t>
      </w:r>
      <w:r>
        <w:rPr>
          <w:rFonts w:hint="default"/>
          <w:color w:val="auto"/>
          <w:highlight w:val="none"/>
          <w:lang w:val="en-US" w:eastAsia="zh-CN"/>
        </w:rPr>
        <w:t>其他生态措施</w:t>
      </w:r>
    </w:p>
    <w:p>
      <w:pPr>
        <w:rPr>
          <w:rFonts w:hint="default"/>
          <w:color w:val="auto"/>
          <w:highlight w:val="none"/>
          <w:lang w:val="en-US" w:eastAsia="zh-CN"/>
        </w:rPr>
      </w:pPr>
      <w:r>
        <w:rPr>
          <w:rFonts w:hint="default"/>
          <w:color w:val="auto"/>
          <w:highlight w:val="none"/>
          <w:lang w:val="en-US" w:eastAsia="zh-CN"/>
        </w:rPr>
        <w:t>（1）工程施工前按照相关法律法规的规定办理占用的各项审批手续，编制施工结束后生态恢复的可行性方案，获得相关主管部门批准后方可开始施工。</w:t>
      </w:r>
    </w:p>
    <w:p>
      <w:pPr>
        <w:rPr>
          <w:rFonts w:hint="default"/>
          <w:color w:val="auto"/>
          <w:highlight w:val="none"/>
          <w:lang w:val="en-US" w:eastAsia="zh-CN"/>
        </w:rPr>
      </w:pPr>
      <w:r>
        <w:rPr>
          <w:rFonts w:hint="default"/>
          <w:color w:val="auto"/>
          <w:highlight w:val="none"/>
          <w:lang w:val="en-US" w:eastAsia="zh-CN"/>
        </w:rPr>
        <w:t>（2）开工前，施工单位对临时设施进行严格的规划，以达到既方便施工，又少占临时用地的目的。</w:t>
      </w:r>
    </w:p>
    <w:p>
      <w:pPr>
        <w:rPr>
          <w:rFonts w:hint="default"/>
          <w:color w:val="auto"/>
          <w:highlight w:val="none"/>
          <w:lang w:val="en-US" w:eastAsia="zh-CN"/>
        </w:rPr>
      </w:pPr>
      <w:r>
        <w:rPr>
          <w:rFonts w:hint="default"/>
          <w:color w:val="auto"/>
          <w:highlight w:val="none"/>
          <w:lang w:val="en-US" w:eastAsia="zh-CN"/>
        </w:rPr>
        <w:t>（3）施工过程中，加强施工人员的管理，禁止施工人员对野生植被滥砍滥伐、乱捕乱猎野生动物，严格限制人员的活动范围，破坏沿线的生态环境。</w:t>
      </w:r>
    </w:p>
    <w:p>
      <w:pPr>
        <w:rPr>
          <w:rFonts w:hint="default"/>
          <w:color w:val="auto"/>
          <w:highlight w:val="none"/>
          <w:lang w:val="en-US" w:eastAsia="zh-CN"/>
        </w:rPr>
      </w:pPr>
      <w:r>
        <w:rPr>
          <w:rFonts w:hint="default"/>
          <w:color w:val="auto"/>
          <w:highlight w:val="none"/>
          <w:lang w:val="en-US" w:eastAsia="zh-CN"/>
        </w:rPr>
        <w:t>（4）确保施工人员和车辆在规定范围内作业，严禁车辆碾压植被；尽量减少对作业区周围植被的影响。</w:t>
      </w:r>
    </w:p>
    <w:p>
      <w:pPr>
        <w:rPr>
          <w:rFonts w:hint="default"/>
          <w:color w:val="auto"/>
          <w:highlight w:val="none"/>
          <w:lang w:val="en-US" w:eastAsia="zh-CN"/>
        </w:rPr>
      </w:pPr>
      <w:r>
        <w:rPr>
          <w:rFonts w:hint="default"/>
          <w:color w:val="auto"/>
          <w:highlight w:val="none"/>
          <w:lang w:val="en-US" w:eastAsia="zh-CN"/>
        </w:rPr>
        <w:t>（5）要减少夜间作业，避免灯光、噪声对夜间动物活动的惊扰；不准随便破坏动物居住场所，严禁捕捉各种鸟类，划定其在非施工期间的活动范围。</w:t>
      </w:r>
    </w:p>
    <w:p>
      <w:pPr>
        <w:rPr>
          <w:rFonts w:hint="default"/>
          <w:color w:val="auto"/>
          <w:highlight w:val="none"/>
          <w:lang w:val="en-US" w:eastAsia="zh-CN"/>
        </w:rPr>
      </w:pPr>
      <w:r>
        <w:rPr>
          <w:rFonts w:hint="default"/>
          <w:color w:val="auto"/>
          <w:highlight w:val="none"/>
          <w:lang w:val="en-US" w:eastAsia="zh-CN"/>
        </w:rPr>
        <w:t>（6）尽量缩短施工期，减轻对野生动物的干扰，并使土壤暴露时间缩短，施工结束后，施工单位应负责及时清理现场，使之尽快恢复原状，减少对生态景观的影响。</w:t>
      </w:r>
    </w:p>
    <w:p>
      <w:pPr>
        <w:rPr>
          <w:rFonts w:hint="default"/>
          <w:color w:val="auto"/>
          <w:highlight w:val="none"/>
          <w:lang w:val="en-US" w:eastAsia="zh-CN"/>
        </w:rPr>
      </w:pPr>
      <w:r>
        <w:rPr>
          <w:rFonts w:hint="default"/>
          <w:color w:val="auto"/>
          <w:highlight w:val="none"/>
          <w:lang w:val="en-US" w:eastAsia="zh-CN"/>
        </w:rPr>
        <w:t>（7）应充分利用现有道路作为施工道路进行施工作业，尽量缩小活动范围，减少对地表的破坏。</w:t>
      </w:r>
    </w:p>
    <w:p>
      <w:pPr>
        <w:rPr>
          <w:rFonts w:hint="default"/>
          <w:color w:val="auto"/>
          <w:highlight w:val="none"/>
          <w:lang w:val="en-US" w:eastAsia="zh-CN"/>
        </w:rPr>
      </w:pPr>
      <w:r>
        <w:rPr>
          <w:rFonts w:hint="default"/>
          <w:color w:val="auto"/>
          <w:highlight w:val="none"/>
          <w:lang w:val="en-US" w:eastAsia="zh-CN"/>
        </w:rPr>
        <w:t>（8）加大培训力度，提高全员环保意识。要把环境保护培训工作列为重要工作之一。在项目开工前，首先对全体职工进行环境保护有关法律、法规知识的培训；其次广大参建职工认真遵守，严格履行好自己的环保职责，确保全员环境保护意识进一步增强。</w:t>
      </w:r>
    </w:p>
    <w:p>
      <w:pPr>
        <w:pStyle w:val="6"/>
        <w:keepNext w:val="0"/>
        <w:keepLines w:val="0"/>
        <w:pageBreakBefore w:val="0"/>
        <w:widowControl w:val="0"/>
        <w:kinsoku/>
        <w:wordWrap/>
        <w:overflowPunct/>
        <w:topLinePunct w:val="0"/>
        <w:autoSpaceDE w:val="0"/>
        <w:autoSpaceDN w:val="0"/>
        <w:bidi w:val="0"/>
        <w:adjustRightInd w:val="0"/>
        <w:snapToGrid w:val="0"/>
        <w:ind w:left="0" w:leftChars="0" w:firstLine="482" w:firstLineChars="200"/>
        <w:textAlignment w:val="auto"/>
        <w:rPr>
          <w:rFonts w:hint="eastAsia" w:ascii="Times New Roman" w:hAnsi="Times New Roman" w:eastAsia="宋体" w:cs="宋体"/>
          <w:b/>
          <w:bCs/>
          <w:color w:val="auto"/>
          <w:sz w:val="24"/>
          <w:szCs w:val="24"/>
          <w:highlight w:val="none"/>
          <w:lang w:val="en-US" w:eastAsia="zh-CN" w:bidi="zh-CN"/>
        </w:rPr>
      </w:pPr>
      <w:r>
        <w:rPr>
          <w:rFonts w:hint="eastAsia" w:ascii="Times New Roman" w:hAnsi="Times New Roman" w:eastAsia="宋体" w:cs="宋体"/>
          <w:b/>
          <w:bCs/>
          <w:color w:val="auto"/>
          <w:sz w:val="24"/>
          <w:szCs w:val="24"/>
          <w:highlight w:val="none"/>
          <w:lang w:val="en-US" w:eastAsia="zh-CN" w:bidi="zh-CN"/>
        </w:rPr>
        <w:t>6.1.5.3防沙治沙措施</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本项目在施工期过程中如果存在不合理活动将会导致沙质土壤上植被及覆盖物被破坏，造成沙土裸露，形成流沙。为了防止工程施工造成土壤沙化，本环评要求建设单位严格按照《中华人民共和国防沙治沙法》（</w:t>
      </w:r>
      <w:r>
        <w:rPr>
          <w:rFonts w:hint="default" w:ascii="Times New Roman" w:hAnsi="Times New Roman" w:eastAsia="宋体" w:cs="Times New Roman"/>
          <w:color w:val="auto"/>
          <w:sz w:val="24"/>
          <w:highlight w:val="none"/>
          <w:lang w:val="en-US" w:eastAsia="zh-CN"/>
        </w:rPr>
        <w:t>2018</w:t>
      </w:r>
      <w:r>
        <w:rPr>
          <w:rFonts w:hint="eastAsia" w:ascii="Times New Roman" w:hAnsi="Times New Roman" w:eastAsia="宋体" w:cs="Times New Roman"/>
          <w:color w:val="auto"/>
          <w:sz w:val="24"/>
          <w:highlight w:val="none"/>
          <w:lang w:val="en-US" w:eastAsia="zh-CN"/>
        </w:rPr>
        <w:t>）中有关规定，执行以下防沙治沙措施：</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）施工期限定施工区范围，应量尽减少对地面的扰动，减少对地表植被的破坏。</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）在工程施工前对划定的施工区范围内的地表进行勘查，对可利用的草皮或熟土应进行剥离分类保存，待施工后期用于项目区绿化。</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）施工过程中尽量减少大开挖工序，对开挖土方尽快回填基础或采取围挡遮盖措施，并定期洒水抑尘。对扰动地表尽快进行整治。</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）施工后及时清理现场，尽可能恢复原状地貌，做到</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工完、料尽、场清、整洁</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）对项目区以外临时扰动地面恢复原有生态。对受到施工人员、车辆或机械破坏的地面均应及时修整，恢复原貌。</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）项目建设及运营过程中，对于已经遭受破坏的植被，应及时通过绿化措施来进行补偿，尽量使项目区较施工前生态环境有所提高。</w:t>
      </w:r>
    </w:p>
    <w:p>
      <w:pPr>
        <w:pStyle w:val="14"/>
        <w:adjustRightInd w:val="0"/>
        <w:snapToGrid w:val="0"/>
        <w:spacing w:line="360" w:lineRule="auto"/>
        <w:ind w:left="0" w:firstLine="480" w:firstLineChars="200"/>
        <w:jc w:val="both"/>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）合理规划临时工程的位置，尽可能减小扰动范围；临时施工占地在施工结束后及时清理施工垃圾，对施工场地进行平整、压实，临时堆土场和临时施工道路进行绿化措施。</w:t>
      </w:r>
    </w:p>
    <w:p>
      <w:pPr>
        <w:pStyle w:val="5"/>
        <w:keepNext w:val="0"/>
        <w:keepLines w:val="0"/>
        <w:pageBreakBefore w:val="0"/>
        <w:widowControl w:val="0"/>
        <w:numPr>
          <w:ilvl w:val="1"/>
          <w:numId w:val="21"/>
        </w:numPr>
        <w:tabs>
          <w:tab w:val="left" w:pos="1100"/>
        </w:tabs>
        <w:kinsoku/>
        <w:wordWrap/>
        <w:overflowPunct/>
        <w:topLinePunct w:val="0"/>
        <w:autoSpaceDE w:val="0"/>
        <w:autoSpaceDN w:val="0"/>
        <w:bidi w:val="0"/>
        <w:adjustRightInd w:val="0"/>
        <w:snapToGrid w:val="0"/>
        <w:spacing w:line="360" w:lineRule="auto"/>
        <w:ind w:left="0"/>
        <w:jc w:val="both"/>
        <w:textAlignment w:val="auto"/>
      </w:pPr>
      <w:bookmarkStart w:id="320" w:name="_bookmark27"/>
      <w:bookmarkEnd w:id="320"/>
      <w:bookmarkStart w:id="321" w:name="6.2_运营期环境保护措施分析"/>
      <w:bookmarkEnd w:id="321"/>
      <w:bookmarkStart w:id="322" w:name="_Toc29614"/>
      <w:bookmarkStart w:id="323" w:name="_Toc20270"/>
      <w:bookmarkStart w:id="324" w:name="_Toc13182"/>
      <w:r>
        <w:t>运营期环境保护措施分析</w:t>
      </w:r>
      <w:bookmarkEnd w:id="322"/>
      <w:bookmarkEnd w:id="323"/>
      <w:bookmarkEnd w:id="324"/>
    </w:p>
    <w:p>
      <w:pPr>
        <w:pStyle w:val="6"/>
        <w:numPr>
          <w:ilvl w:val="2"/>
          <w:numId w:val="21"/>
        </w:numPr>
        <w:tabs>
          <w:tab w:val="left" w:pos="1241"/>
        </w:tabs>
        <w:adjustRightInd w:val="0"/>
        <w:snapToGrid w:val="0"/>
        <w:spacing w:line="360" w:lineRule="auto"/>
        <w:jc w:val="both"/>
      </w:pPr>
      <w:bookmarkStart w:id="325" w:name="6.2.1_环境空气污染防治措施分析"/>
      <w:bookmarkEnd w:id="325"/>
      <w:r>
        <w:t>环境空气污染防治措施分析</w:t>
      </w:r>
    </w:p>
    <w:p>
      <w:pPr>
        <w:bidi w:val="0"/>
        <w:rPr>
          <w:rFonts w:hint="eastAsia"/>
          <w:color w:val="auto"/>
          <w:highlight w:val="none"/>
        </w:rPr>
      </w:pPr>
      <w:bookmarkStart w:id="326" w:name="6.2.1.1_养殖场无组织恶臭气体防治措施"/>
      <w:bookmarkEnd w:id="326"/>
      <w:r>
        <w:rPr>
          <w:rFonts w:ascii="Times New Roman" w:hAnsi="Times New Roman" w:cs="Times New Roman"/>
          <w:color w:val="auto"/>
          <w:spacing w:val="-2"/>
          <w:highlight w:val="none"/>
        </w:rPr>
        <w:t>根据</w:t>
      </w:r>
      <w:r>
        <w:rPr>
          <w:rFonts w:ascii="Times New Roman" w:hAnsi="Times New Roman" w:cs="Times New Roman"/>
          <w:color w:val="auto"/>
          <w:spacing w:val="-3"/>
          <w:highlight w:val="none"/>
        </w:rPr>
        <w:t>《排污许可证申</w:t>
      </w:r>
      <w:r>
        <w:rPr>
          <w:rFonts w:ascii="Times New Roman" w:hAnsi="Times New Roman" w:cs="Times New Roman"/>
          <w:color w:val="auto"/>
          <w:spacing w:val="-2"/>
          <w:highlight w:val="none"/>
        </w:rPr>
        <w:t>请与核发技术规范</w:t>
      </w:r>
      <w:r>
        <w:rPr>
          <w:rFonts w:ascii="Times New Roman" w:hAnsi="Times New Roman" w:cs="Times New Roman"/>
          <w:color w:val="auto"/>
          <w:spacing w:val="43"/>
          <w:highlight w:val="none"/>
        </w:rPr>
        <w:t xml:space="preserve"> </w:t>
      </w:r>
      <w:r>
        <w:rPr>
          <w:rFonts w:ascii="Times New Roman" w:hAnsi="Times New Roman" w:cs="Times New Roman"/>
          <w:color w:val="auto"/>
          <w:spacing w:val="-2"/>
          <w:highlight w:val="none"/>
        </w:rPr>
        <w:t>锅炉》</w:t>
      </w:r>
      <w:r>
        <w:rPr>
          <w:rFonts w:hint="eastAsia" w:cs="Times New Roman"/>
          <w:color w:val="auto"/>
          <w:spacing w:val="-2"/>
          <w:highlight w:val="none"/>
          <w:lang w:eastAsia="zh-CN"/>
        </w:rPr>
        <w:t>（</w:t>
      </w:r>
      <w:r>
        <w:rPr>
          <w:rFonts w:ascii="Times New Roman" w:hAnsi="Times New Roman" w:cs="Times New Roman"/>
          <w:color w:val="auto"/>
          <w:spacing w:val="-2"/>
          <w:highlight w:val="none"/>
        </w:rPr>
        <w:t>HJ991-2018</w:t>
      </w:r>
      <w:r>
        <w:rPr>
          <w:rFonts w:hint="eastAsia" w:cs="Times New Roman"/>
          <w:color w:val="auto"/>
          <w:spacing w:val="-2"/>
          <w:highlight w:val="none"/>
          <w:lang w:eastAsia="zh-CN"/>
        </w:rPr>
        <w:t>）</w:t>
      </w:r>
      <w:r>
        <w:rPr>
          <w:rFonts w:ascii="Times New Roman" w:hAnsi="Times New Roman" w:cs="Times New Roman"/>
          <w:color w:val="auto"/>
          <w:highlight w:val="none"/>
        </w:rPr>
        <w:t>和</w:t>
      </w:r>
      <w:r>
        <w:rPr>
          <w:rFonts w:ascii="Times New Roman" w:hAnsi="Times New Roman" w:cs="Times New Roman"/>
          <w:color w:val="auto"/>
          <w:spacing w:val="-2"/>
          <w:highlight w:val="none"/>
        </w:rPr>
        <w:t>《工业锅炉污染防治可行技术指南》</w:t>
      </w:r>
      <w:r>
        <w:rPr>
          <w:rFonts w:hint="eastAsia" w:ascii="Times New Roman" w:hAnsi="Times New Roman" w:cs="Times New Roman"/>
          <w:color w:val="auto"/>
          <w:spacing w:val="-2"/>
          <w:highlight w:val="none"/>
          <w:lang w:eastAsia="zh-CN"/>
        </w:rPr>
        <w:t>（</w:t>
      </w:r>
      <w:r>
        <w:rPr>
          <w:rFonts w:ascii="Times New Roman" w:hAnsi="Times New Roman" w:cs="Times New Roman"/>
          <w:color w:val="auto"/>
          <w:spacing w:val="3"/>
          <w:highlight w:val="none"/>
        </w:rPr>
        <w:t>HJ1178-2021</w:t>
      </w:r>
      <w:r>
        <w:rPr>
          <w:rFonts w:hint="eastAsia" w:ascii="Times New Roman" w:hAnsi="Times New Roman" w:cs="Times New Roman"/>
          <w:color w:val="auto"/>
          <w:spacing w:val="3"/>
          <w:highlight w:val="none"/>
        </w:rPr>
        <w:t>）</w:t>
      </w:r>
      <w:r>
        <w:rPr>
          <w:rFonts w:ascii="Times New Roman" w:hAnsi="Times New Roman" w:cs="Times New Roman"/>
          <w:color w:val="auto"/>
          <w:spacing w:val="3"/>
          <w:highlight w:val="none"/>
        </w:rPr>
        <w:t>中推荐技术，</w:t>
      </w:r>
      <w:r>
        <w:rPr>
          <w:rFonts w:hint="eastAsia" w:ascii="Times New Roman" w:hAnsi="Times New Roman" w:cs="Times New Roman"/>
          <w:color w:val="auto"/>
          <w:highlight w:val="none"/>
        </w:rPr>
        <w:t>本工程新建</w:t>
      </w:r>
      <w:r>
        <w:rPr>
          <w:rFonts w:hint="eastAsia" w:cs="Times New Roman"/>
          <w:color w:val="auto"/>
          <w:highlight w:val="none"/>
          <w:lang w:val="en-US" w:eastAsia="zh-CN"/>
        </w:rPr>
        <w:t>1</w:t>
      </w:r>
      <w:r>
        <w:rPr>
          <w:rFonts w:hint="eastAsia" w:ascii="Times New Roman" w:hAnsi="Times New Roman" w:cs="Times New Roman"/>
          <w:color w:val="auto"/>
          <w:highlight w:val="none"/>
        </w:rPr>
        <w:t>台</w:t>
      </w:r>
      <w:r>
        <w:rPr>
          <w:rFonts w:hint="eastAsia" w:cs="Times New Roman"/>
          <w:color w:val="auto"/>
          <w:highlight w:val="none"/>
          <w:lang w:val="en-US" w:eastAsia="zh-CN"/>
        </w:rPr>
        <w:t>90t/h</w:t>
      </w:r>
      <w:r>
        <w:rPr>
          <w:rFonts w:hint="eastAsia" w:cs="Times New Roman"/>
          <w:color w:val="auto"/>
          <w:highlight w:val="none"/>
        </w:rPr>
        <w:t>的燃煤</w:t>
      </w:r>
      <w:r>
        <w:rPr>
          <w:color w:val="auto"/>
          <w:spacing w:val="-4"/>
          <w:highlight w:val="none"/>
        </w:rPr>
        <w:t>锅炉</w:t>
      </w:r>
      <w:r>
        <w:rPr>
          <w:rFonts w:hint="eastAsia"/>
          <w:color w:val="auto"/>
          <w:spacing w:val="-4"/>
          <w:highlight w:val="none"/>
        </w:rPr>
        <w:t>，</w:t>
      </w:r>
      <w:r>
        <w:rPr>
          <w:rFonts w:ascii="Times New Roman" w:hAnsi="Times New Roman" w:cs="Times New Roman"/>
          <w:color w:val="auto"/>
          <w:highlight w:val="none"/>
        </w:rPr>
        <w:t>配套的烟气治理设备为S</w:t>
      </w:r>
      <w:r>
        <w:rPr>
          <w:rFonts w:hint="eastAsia" w:ascii="Times New Roman" w:hAnsi="Times New Roman" w:cs="Times New Roman"/>
          <w:color w:val="auto"/>
          <w:highlight w:val="none"/>
        </w:rPr>
        <w:t>N</w:t>
      </w:r>
      <w:r>
        <w:rPr>
          <w:rFonts w:ascii="Times New Roman" w:hAnsi="Times New Roman" w:cs="Times New Roman"/>
          <w:color w:val="auto"/>
          <w:highlight w:val="none"/>
        </w:rPr>
        <w:t>CR脱硝+布袋除尘+</w:t>
      </w:r>
      <w:r>
        <w:rPr>
          <w:rFonts w:hint="eastAsia" w:cs="Times New Roman"/>
          <w:color w:val="00B050"/>
          <w:highlight w:val="none"/>
          <w:lang w:eastAsia="zh-CN"/>
        </w:rPr>
        <w:t>石灰石膏法</w:t>
      </w:r>
      <w:r>
        <w:rPr>
          <w:rFonts w:ascii="Times New Roman" w:hAnsi="Times New Roman" w:cs="Times New Roman"/>
          <w:color w:val="auto"/>
          <w:highlight w:val="none"/>
        </w:rPr>
        <w:t>脱硫，先经脱硝工艺脱硝后，经布袋除尘器除尘</w:t>
      </w:r>
      <w:r>
        <w:rPr>
          <w:rFonts w:hint="eastAsia" w:ascii="Times New Roman" w:hAnsi="Times New Roman" w:cs="Times New Roman"/>
          <w:color w:val="auto"/>
          <w:highlight w:val="none"/>
        </w:rPr>
        <w:t>后，经</w:t>
      </w:r>
      <w:r>
        <w:rPr>
          <w:rFonts w:hint="eastAsia" w:cs="Times New Roman"/>
          <w:color w:val="00B050"/>
          <w:highlight w:val="none"/>
          <w:lang w:eastAsia="zh-CN"/>
        </w:rPr>
        <w:t>石灰石膏法</w:t>
      </w:r>
      <w:r>
        <w:rPr>
          <w:rFonts w:ascii="Times New Roman" w:hAnsi="Times New Roman" w:cs="Times New Roman"/>
          <w:color w:val="auto"/>
          <w:highlight w:val="none"/>
        </w:rPr>
        <w:t>脱硫，从而达到烟气达标排放。经</w:t>
      </w:r>
      <w:r>
        <w:rPr>
          <w:rFonts w:hint="eastAsia" w:cs="Times New Roman"/>
          <w:color w:val="auto"/>
          <w:highlight w:val="none"/>
          <w:lang w:val="en-US" w:eastAsia="zh-CN"/>
        </w:rPr>
        <w:t>45</w:t>
      </w:r>
      <w:r>
        <w:rPr>
          <w:rFonts w:ascii="Times New Roman" w:hAnsi="Times New Roman" w:cs="Times New Roman"/>
          <w:color w:val="auto"/>
          <w:highlight w:val="none"/>
        </w:rPr>
        <w:t>m高的烟囱排放，综合除尘效率≥99.</w:t>
      </w:r>
      <w:r>
        <w:rPr>
          <w:rFonts w:hint="eastAsia" w:ascii="Times New Roman" w:hAnsi="Times New Roman" w:cs="Times New Roman"/>
          <w:color w:val="auto"/>
          <w:highlight w:val="none"/>
        </w:rPr>
        <w:t>5</w:t>
      </w:r>
      <w:r>
        <w:rPr>
          <w:rFonts w:ascii="Times New Roman" w:hAnsi="Times New Roman" w:cs="Times New Roman"/>
          <w:color w:val="auto"/>
          <w:highlight w:val="none"/>
        </w:rPr>
        <w:t>%，脱硫效率≥</w:t>
      </w:r>
      <w:r>
        <w:rPr>
          <w:rFonts w:hint="eastAsia" w:ascii="Times New Roman" w:hAnsi="Times New Roman" w:cs="Times New Roman"/>
          <w:color w:val="auto"/>
          <w:highlight w:val="none"/>
        </w:rPr>
        <w:t>85</w:t>
      </w:r>
      <w:r>
        <w:rPr>
          <w:rFonts w:ascii="Times New Roman" w:hAnsi="Times New Roman" w:cs="Times New Roman"/>
          <w:color w:val="auto"/>
          <w:highlight w:val="none"/>
        </w:rPr>
        <w:t>%，脱硝效率≥</w:t>
      </w:r>
      <w:r>
        <w:rPr>
          <w:rFonts w:hint="eastAsia" w:cs="Times New Roman"/>
          <w:color w:val="auto"/>
          <w:highlight w:val="none"/>
          <w:lang w:val="en-US" w:eastAsia="zh-CN"/>
        </w:rPr>
        <w:t>4</w:t>
      </w:r>
      <w:r>
        <w:rPr>
          <w:rFonts w:ascii="Times New Roman" w:hAnsi="Times New Roman" w:cs="Times New Roman"/>
          <w:color w:val="auto"/>
          <w:highlight w:val="none"/>
        </w:rPr>
        <w:t>0%。烟尘、NOx、SO</w:t>
      </w:r>
      <w:r>
        <w:rPr>
          <w:rFonts w:ascii="Times New Roman" w:hAnsi="Times New Roman" w:cs="Times New Roman"/>
          <w:color w:val="auto"/>
          <w:highlight w:val="none"/>
          <w:vertAlign w:val="subscript"/>
        </w:rPr>
        <w:t>2</w:t>
      </w:r>
      <w:r>
        <w:rPr>
          <w:rFonts w:hint="eastAsia" w:ascii="Times New Roman" w:hAnsi="Times New Roman" w:cs="Times New Roman"/>
          <w:color w:val="auto"/>
          <w:highlight w:val="none"/>
        </w:rPr>
        <w:t>、</w:t>
      </w:r>
      <w:r>
        <w:rPr>
          <w:rFonts w:ascii="Times New Roman" w:hAnsi="Times New Roman" w:cs="Times New Roman"/>
          <w:color w:val="auto"/>
          <w:highlight w:val="none"/>
        </w:rPr>
        <w:t>均能满足《</w:t>
      </w:r>
      <w:r>
        <w:rPr>
          <w:rFonts w:hint="eastAsia" w:ascii="Times New Roman" w:hAnsi="Times New Roman" w:cs="Times New Roman"/>
          <w:color w:val="auto"/>
          <w:highlight w:val="none"/>
          <w:lang w:eastAsia="zh-CN"/>
        </w:rPr>
        <w:t>火电厂大气污染物排放标准</w:t>
      </w:r>
      <w:r>
        <w:rPr>
          <w:rFonts w:ascii="Times New Roman" w:hAnsi="Times New Roman" w:cs="Times New Roman"/>
          <w:color w:val="auto"/>
          <w:highlight w:val="none"/>
        </w:rPr>
        <w:t>》（GB</w:t>
      </w:r>
      <w:r>
        <w:rPr>
          <w:rFonts w:hint="eastAsia" w:ascii="Times New Roman" w:hAnsi="Times New Roman" w:cs="Times New Roman"/>
          <w:color w:val="auto"/>
          <w:highlight w:val="none"/>
          <w:lang w:val="en-US" w:eastAsia="zh-CN"/>
        </w:rPr>
        <w:t>13223</w:t>
      </w:r>
      <w:r>
        <w:rPr>
          <w:rFonts w:ascii="Times New Roman" w:hAnsi="Times New Roman" w:cs="Times New Roman"/>
          <w:color w:val="auto"/>
          <w:highlight w:val="none"/>
        </w:rPr>
        <w:t>-201</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cs="Times New Roman"/>
          <w:color w:val="auto"/>
          <w:highlight w:val="none"/>
          <w:lang w:eastAsia="zh-CN"/>
        </w:rPr>
        <w:t>表</w:t>
      </w:r>
      <w:r>
        <w:rPr>
          <w:rFonts w:hint="eastAsia" w:cs="Times New Roman"/>
          <w:color w:val="auto"/>
          <w:highlight w:val="none"/>
          <w:lang w:val="en-US" w:eastAsia="zh-CN"/>
        </w:rPr>
        <w:t>1</w:t>
      </w:r>
      <w:r>
        <w:rPr>
          <w:rFonts w:hint="eastAsia" w:cs="Times New Roman"/>
          <w:color w:val="auto"/>
          <w:highlight w:val="none"/>
          <w:lang w:eastAsia="zh-CN"/>
        </w:rPr>
        <w:t>火力发电锅炉及燃气轮机组大气污染物排放浓度限值中燃煤锅炉限值要求</w:t>
      </w:r>
      <w:r>
        <w:rPr>
          <w:rFonts w:ascii="Times New Roman" w:hAnsi="Times New Roman" w:cs="Times New Roman"/>
          <w:color w:val="auto"/>
          <w:highlight w:val="none"/>
        </w:rPr>
        <w:t>。</w:t>
      </w:r>
    </w:p>
    <w:p>
      <w:pPr>
        <w:pStyle w:val="41"/>
        <w:keepNext w:val="0"/>
        <w:keepLines w:val="0"/>
        <w:pageBreakBefore w:val="0"/>
        <w:widowControl w:val="0"/>
        <w:numPr>
          <w:ilvl w:val="3"/>
          <w:numId w:val="22"/>
        </w:numPr>
        <w:tabs>
          <w:tab w:val="left" w:pos="1320"/>
        </w:tabs>
        <w:kinsoku/>
        <w:wordWrap/>
        <w:overflowPunct/>
        <w:topLinePunct w:val="0"/>
        <w:autoSpaceDE w:val="0"/>
        <w:autoSpaceDN w:val="0"/>
        <w:bidi w:val="0"/>
        <w:adjustRightInd w:val="0"/>
        <w:snapToGrid w:val="0"/>
        <w:spacing w:before="0" w:line="360" w:lineRule="auto"/>
        <w:ind w:left="0"/>
        <w:jc w:val="both"/>
        <w:textAlignment w:val="auto"/>
        <w:rPr>
          <w:rFonts w:hint="eastAsia"/>
          <w:b/>
          <w:bCs/>
          <w:sz w:val="24"/>
          <w:lang w:eastAsia="zh-CN"/>
        </w:rPr>
      </w:pPr>
      <w:r>
        <w:rPr>
          <w:rFonts w:hint="eastAsia"/>
          <w:b/>
          <w:bCs/>
          <w:sz w:val="24"/>
          <w:lang w:eastAsia="zh-CN"/>
        </w:rPr>
        <w:t>烟气脱硝</w:t>
      </w:r>
    </w:p>
    <w:p>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）脱硝方案比选</w:t>
      </w:r>
    </w:p>
    <w:p>
      <w:pPr>
        <w:bidi w:val="0"/>
        <w:rPr>
          <w:rFonts w:hint="eastAsia"/>
          <w:color w:val="auto"/>
          <w:highlight w:val="none"/>
        </w:rPr>
      </w:pPr>
      <w:r>
        <w:rPr>
          <w:rFonts w:hint="eastAsia"/>
          <w:color w:val="auto"/>
          <w:highlight w:val="none"/>
        </w:rPr>
        <w:t>根据《排污许可证申请与核发技术规范 锅炉》（HJ991-2018）和《工业锅炉污染防治可行技术指南》（HJ1178-2021）中推荐可行技术，燃煤层燃炉脱硝方法有低氮燃烧技术、SNCR、SCR、SNCR-SCR联合脱硝等。脱硝技术特点，见表6.2-1。</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default" w:ascii="Times New Roman" w:hAnsi="Times New Roman" w:cs="Times New Roman"/>
          <w:b/>
          <w:bCs/>
          <w:color w:val="auto"/>
          <w:kern w:val="0"/>
          <w:sz w:val="21"/>
          <w:szCs w:val="18"/>
          <w:highlight w:val="none"/>
        </w:rPr>
      </w:pPr>
      <w:r>
        <w:rPr>
          <w:rFonts w:hint="default" w:ascii="Times New Roman" w:hAnsi="Times New Roman" w:cs="Times New Roman"/>
          <w:b/>
          <w:bCs/>
          <w:color w:val="auto"/>
          <w:kern w:val="0"/>
          <w:sz w:val="21"/>
          <w:szCs w:val="18"/>
          <w:highlight w:val="none"/>
        </w:rPr>
        <w:t>表6.2-1      锅炉脱硝技术特点表</w:t>
      </w:r>
    </w:p>
    <w:tbl>
      <w:tblPr>
        <w:tblStyle w:val="40"/>
        <w:tblW w:w="82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3"/>
        <w:gridCol w:w="1325"/>
        <w:gridCol w:w="2241"/>
        <w:gridCol w:w="1861"/>
        <w:gridCol w:w="2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8"/>
                <w:sz w:val="21"/>
                <w:szCs w:val="21"/>
                <w:highlight w:val="none"/>
              </w:rPr>
              <w:t>项目</w:t>
            </w:r>
          </w:p>
        </w:tc>
        <w:tc>
          <w:tcPr>
            <w:tcW w:w="13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低氯燃烧技术</w:t>
            </w:r>
          </w:p>
        </w:tc>
        <w:tc>
          <w:tcPr>
            <w:tcW w:w="22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SNCR</w:t>
            </w:r>
          </w:p>
        </w:tc>
        <w:tc>
          <w:tcPr>
            <w:tcW w:w="1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position w:val="-1"/>
                <w:sz w:val="21"/>
                <w:szCs w:val="21"/>
                <w:highlight w:val="none"/>
              </w:rPr>
              <w:t>SCR</w:t>
            </w:r>
          </w:p>
        </w:tc>
        <w:tc>
          <w:tcPr>
            <w:tcW w:w="2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SCR-SNCR联合脱硝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6" w:hRule="atLeast"/>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原理</w:t>
            </w:r>
          </w:p>
        </w:tc>
        <w:tc>
          <w:tcPr>
            <w:tcW w:w="13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通过改进燃烧技术来降低燃烧过程中NO</w:t>
            </w:r>
            <w:r>
              <w:rPr>
                <w:rFonts w:hint="eastAsia" w:cs="Times New Roman"/>
                <w:color w:val="auto"/>
                <w:spacing w:val="-1"/>
                <w:sz w:val="21"/>
                <w:szCs w:val="21"/>
                <w:highlight w:val="none"/>
                <w:vertAlign w:val="subscript"/>
                <w:lang w:val="en-US" w:eastAsia="zh-CN"/>
              </w:rPr>
              <w:t>X</w:t>
            </w:r>
            <w:r>
              <w:rPr>
                <w:rFonts w:hint="default" w:ascii="Times New Roman" w:hAnsi="Times New Roman" w:eastAsia="宋体" w:cs="Times New Roman"/>
                <w:color w:val="auto"/>
                <w:spacing w:val="-1"/>
                <w:sz w:val="21"/>
                <w:szCs w:val="21"/>
                <w:highlight w:val="none"/>
              </w:rPr>
              <w:t>的生成与排放</w:t>
            </w:r>
          </w:p>
        </w:tc>
        <w:tc>
          <w:tcPr>
            <w:tcW w:w="22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color w:val="auto"/>
                <w:sz w:val="21"/>
                <w:szCs w:val="20"/>
                <w:highlight w:val="none"/>
              </w:rPr>
              <w:t>在不使用催化剂的情况下，在炉膛烟气温度适宜处(850℃</w:t>
            </w:r>
            <w:r>
              <w:rPr>
                <w:rFonts w:hint="eastAsia"/>
                <w:color w:val="auto"/>
                <w:sz w:val="21"/>
                <w:szCs w:val="20"/>
                <w:highlight w:val="none"/>
                <w:lang w:val="en-US" w:eastAsia="zh-CN"/>
              </w:rPr>
              <w:t>-</w:t>
            </w:r>
            <w:r>
              <w:rPr>
                <w:rFonts w:hint="default"/>
                <w:color w:val="auto"/>
                <w:sz w:val="21"/>
                <w:szCs w:val="20"/>
                <w:highlight w:val="none"/>
              </w:rPr>
              <w:t>1150℃)喷入含氨基的还原剂(一般为氨水或尿素等)</w:t>
            </w:r>
            <w:r>
              <w:rPr>
                <w:rFonts w:hint="eastAsia"/>
                <w:color w:val="auto"/>
                <w:sz w:val="21"/>
                <w:szCs w:val="20"/>
                <w:highlight w:val="none"/>
                <w:lang w:eastAsia="zh-CN"/>
              </w:rPr>
              <w:t>，</w:t>
            </w:r>
            <w:r>
              <w:rPr>
                <w:rFonts w:hint="default"/>
                <w:color w:val="auto"/>
                <w:sz w:val="21"/>
                <w:szCs w:val="20"/>
                <w:highlight w:val="none"/>
              </w:rPr>
              <w:t>利用炉内高温促使氨和NO反应，将烟气中的</w:t>
            </w:r>
            <w:r>
              <w:rPr>
                <w:rFonts w:hint="eastAsia"/>
                <w:color w:val="auto"/>
                <w:sz w:val="21"/>
                <w:szCs w:val="20"/>
                <w:highlight w:val="none"/>
                <w:lang w:val="en-US" w:eastAsia="zh-CN"/>
              </w:rPr>
              <w:t>NO</w:t>
            </w:r>
            <w:r>
              <w:rPr>
                <w:rFonts w:hint="eastAsia"/>
                <w:color w:val="auto"/>
                <w:sz w:val="21"/>
                <w:szCs w:val="20"/>
                <w:highlight w:val="none"/>
                <w:vertAlign w:val="subscript"/>
                <w:lang w:val="en-US" w:eastAsia="zh-CN"/>
              </w:rPr>
              <w:t>X</w:t>
            </w:r>
            <w:r>
              <w:rPr>
                <w:rFonts w:hint="default"/>
                <w:color w:val="auto"/>
                <w:sz w:val="21"/>
                <w:szCs w:val="20"/>
                <w:highlight w:val="none"/>
              </w:rPr>
              <w:t>还原为</w:t>
            </w:r>
            <w:r>
              <w:rPr>
                <w:rFonts w:hint="default" w:ascii="Times New Roman" w:hAnsi="Times New Roman" w:eastAsia="宋体" w:cs="Times New Roman"/>
                <w:color w:val="auto"/>
                <w:spacing w:val="9"/>
                <w:sz w:val="21"/>
                <w:szCs w:val="21"/>
                <w:highlight w:val="none"/>
              </w:rPr>
              <w:t>氮</w:t>
            </w:r>
            <w:r>
              <w:rPr>
                <w:rFonts w:hint="default" w:ascii="Times New Roman" w:hAnsi="Times New Roman" w:eastAsia="宋体" w:cs="Times New Roman"/>
                <w:color w:val="auto"/>
                <w:spacing w:val="3"/>
                <w:sz w:val="21"/>
                <w:szCs w:val="21"/>
                <w:highlight w:val="none"/>
              </w:rPr>
              <w:t>气</w:t>
            </w:r>
            <w:r>
              <w:rPr>
                <w:rFonts w:hint="eastAsia"/>
                <w:color w:val="auto"/>
                <w:sz w:val="21"/>
                <w:szCs w:val="20"/>
                <w:highlight w:val="none"/>
                <w:lang w:val="en-US" w:eastAsia="zh-CN"/>
              </w:rPr>
              <w:t>和水。</w:t>
            </w:r>
          </w:p>
        </w:tc>
        <w:tc>
          <w:tcPr>
            <w:tcW w:w="1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
                <w:sz w:val="21"/>
                <w:szCs w:val="21"/>
                <w:highlight w:val="none"/>
              </w:rPr>
              <w:t>利用脱硝还原剂(液氨、氨水、尿素</w:t>
            </w:r>
            <w:r>
              <w:rPr>
                <w:rFonts w:hint="default" w:ascii="Times New Roman" w:hAnsi="Times New Roman" w:eastAsia="宋体" w:cs="Times New Roman"/>
                <w:color w:val="auto"/>
                <w:spacing w:val="1"/>
                <w:sz w:val="21"/>
                <w:szCs w:val="21"/>
                <w:highlight w:val="none"/>
              </w:rPr>
              <w:t>等)</w:t>
            </w:r>
            <w:r>
              <w:rPr>
                <w:rFonts w:hint="eastAsia"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在催化剂作用</w:t>
            </w:r>
            <w:r>
              <w:rPr>
                <w:rFonts w:hint="default" w:ascii="Times New Roman" w:hAnsi="Times New Roman" w:eastAsia="宋体" w:cs="Times New Roman"/>
                <w:color w:val="auto"/>
                <w:spacing w:val="-1"/>
                <w:sz w:val="21"/>
                <w:szCs w:val="21"/>
                <w:highlight w:val="none"/>
              </w:rPr>
              <w:t>下选择性地将烟气</w:t>
            </w:r>
            <w:r>
              <w:rPr>
                <w:rFonts w:hint="default" w:ascii="Times New Roman" w:hAnsi="Times New Roman" w:eastAsia="宋体" w:cs="Times New Roman"/>
                <w:color w:val="auto"/>
                <w:spacing w:val="1"/>
                <w:sz w:val="21"/>
                <w:szCs w:val="21"/>
                <w:highlight w:val="none"/>
              </w:rPr>
              <w:t>中的</w:t>
            </w:r>
            <w:r>
              <w:rPr>
                <w:rFonts w:hint="default" w:ascii="Times New Roman" w:hAnsi="Times New Roman" w:eastAsia="宋体" w:cs="Times New Roman"/>
                <w:color w:val="auto"/>
                <w:sz w:val="21"/>
                <w:szCs w:val="21"/>
                <w:highlight w:val="none"/>
              </w:rPr>
              <w:t>NO</w:t>
            </w:r>
            <w:r>
              <w:rPr>
                <w:rFonts w:hint="eastAsia" w:cs="Times New Roman"/>
                <w:color w:val="auto"/>
                <w:sz w:val="21"/>
                <w:szCs w:val="21"/>
                <w:highlight w:val="none"/>
                <w:vertAlign w:val="subscript"/>
                <w:lang w:val="en-US" w:eastAsia="zh-CN"/>
              </w:rPr>
              <w:t>X</w:t>
            </w:r>
            <w:r>
              <w:rPr>
                <w:rFonts w:hint="default" w:ascii="Times New Roman" w:hAnsi="Times New Roman" w:eastAsia="宋体" w:cs="Times New Roman"/>
                <w:color w:val="auto"/>
                <w:spacing w:val="1"/>
                <w:sz w:val="21"/>
                <w:szCs w:val="21"/>
                <w:highlight w:val="none"/>
              </w:rPr>
              <w:t>(主要是</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pacing w:val="9"/>
                <w:sz w:val="21"/>
                <w:szCs w:val="21"/>
                <w:highlight w:val="none"/>
              </w:rPr>
              <w:t>、</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pacing w:val="9"/>
                <w:sz w:val="21"/>
                <w:szCs w:val="21"/>
                <w:highlight w:val="none"/>
              </w:rPr>
              <w:t>₂)还原成氮</w:t>
            </w:r>
            <w:r>
              <w:rPr>
                <w:rFonts w:hint="default" w:ascii="Times New Roman" w:hAnsi="Times New Roman" w:eastAsia="宋体" w:cs="Times New Roman"/>
                <w:color w:val="auto"/>
                <w:spacing w:val="3"/>
                <w:sz w:val="21"/>
                <w:szCs w:val="21"/>
                <w:highlight w:val="none"/>
              </w:rPr>
              <w:t>气和水</w:t>
            </w:r>
            <w:r>
              <w:rPr>
                <w:rFonts w:hint="eastAsia" w:cs="Times New Roman"/>
                <w:color w:val="auto"/>
                <w:spacing w:val="3"/>
                <w:sz w:val="21"/>
                <w:szCs w:val="21"/>
                <w:highlight w:val="none"/>
                <w:lang w:eastAsia="zh-CN"/>
              </w:rPr>
              <w:t>，</w:t>
            </w:r>
            <w:r>
              <w:rPr>
                <w:rFonts w:hint="default" w:ascii="Times New Roman" w:hAnsi="Times New Roman" w:eastAsia="宋体" w:cs="Times New Roman"/>
                <w:color w:val="auto"/>
                <w:spacing w:val="-1"/>
                <w:sz w:val="21"/>
                <w:szCs w:val="21"/>
                <w:highlight w:val="none"/>
              </w:rPr>
              <w:t>从而达到脱除NOx</w:t>
            </w:r>
            <w:r>
              <w:rPr>
                <w:rFonts w:hint="default" w:ascii="Times New Roman" w:hAnsi="Times New Roman" w:eastAsia="宋体" w:cs="Times New Roman"/>
                <w:color w:val="auto"/>
                <w:spacing w:val="3"/>
                <w:sz w:val="21"/>
                <w:szCs w:val="21"/>
                <w:highlight w:val="none"/>
              </w:rPr>
              <w:t>的目的</w:t>
            </w:r>
            <w:r>
              <w:rPr>
                <w:rFonts w:hint="eastAsia" w:cs="Times New Roman"/>
                <w:color w:val="auto"/>
                <w:spacing w:val="3"/>
                <w:sz w:val="21"/>
                <w:szCs w:val="21"/>
                <w:highlight w:val="none"/>
                <w:lang w:eastAsia="zh-CN"/>
              </w:rPr>
              <w:t>。</w:t>
            </w:r>
          </w:p>
        </w:tc>
        <w:tc>
          <w:tcPr>
            <w:tcW w:w="2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以氨水、尿素等作为</w:t>
            </w:r>
            <w:r>
              <w:rPr>
                <w:rFonts w:hint="default" w:ascii="Times New Roman" w:hAnsi="Times New Roman" w:eastAsia="宋体" w:cs="Times New Roman"/>
                <w:color w:val="auto"/>
                <w:spacing w:val="-1"/>
                <w:sz w:val="21"/>
                <w:szCs w:val="21"/>
                <w:highlight w:val="none"/>
              </w:rPr>
              <w:t>脱硝还原剂，通过选择合理反应温度区域、氨氮摩尔比、催化剂活性、催化剂层数等参数，以达到脱</w:t>
            </w:r>
            <w:r>
              <w:rPr>
                <w:rFonts w:hint="default" w:ascii="Times New Roman" w:hAnsi="Times New Roman" w:eastAsia="宋体" w:cs="Times New Roman"/>
                <w:color w:val="auto"/>
                <w:spacing w:val="14"/>
                <w:sz w:val="21"/>
                <w:szCs w:val="21"/>
                <w:highlight w:val="none"/>
              </w:rPr>
              <w:t>除</w:t>
            </w:r>
            <w:r>
              <w:rPr>
                <w:rFonts w:hint="default" w:ascii="Times New Roman" w:hAnsi="Times New Roman" w:eastAsia="宋体" w:cs="Times New Roman"/>
                <w:color w:val="auto"/>
                <w:sz w:val="21"/>
                <w:szCs w:val="21"/>
                <w:highlight w:val="none"/>
              </w:rPr>
              <w:t>NO</w:t>
            </w:r>
            <w:r>
              <w:rPr>
                <w:rFonts w:hint="eastAsia" w:cs="Times New Roman"/>
                <w:color w:val="auto"/>
                <w:spacing w:val="14"/>
                <w:sz w:val="21"/>
                <w:szCs w:val="21"/>
                <w:highlight w:val="none"/>
                <w:vertAlign w:val="subscript"/>
                <w:lang w:val="en-US" w:eastAsia="zh-CN"/>
              </w:rPr>
              <w:t>X</w:t>
            </w:r>
            <w:r>
              <w:rPr>
                <w:rFonts w:hint="default" w:ascii="Times New Roman" w:hAnsi="Times New Roman" w:eastAsia="宋体" w:cs="Times New Roman"/>
                <w:color w:val="auto"/>
                <w:spacing w:val="14"/>
                <w:sz w:val="21"/>
                <w:szCs w:val="21"/>
                <w:highlight w:val="none"/>
              </w:rPr>
              <w:t>的目的。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脱硝效率</w:t>
            </w:r>
          </w:p>
        </w:tc>
        <w:tc>
          <w:tcPr>
            <w:tcW w:w="13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约20%-50%</w:t>
            </w:r>
          </w:p>
        </w:tc>
        <w:tc>
          <w:tcPr>
            <w:tcW w:w="22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1"/>
                <w:sz w:val="21"/>
                <w:szCs w:val="21"/>
                <w:highlight w:val="none"/>
                <w:lang w:val="en-US" w:eastAsia="zh-CN"/>
              </w:rPr>
              <w:t>3</w:t>
            </w:r>
            <w:r>
              <w:rPr>
                <w:rFonts w:hint="default" w:ascii="Times New Roman" w:hAnsi="Times New Roman" w:eastAsia="宋体" w:cs="Times New Roman"/>
                <w:color w:val="auto"/>
                <w:spacing w:val="-1"/>
                <w:sz w:val="21"/>
                <w:szCs w:val="21"/>
                <w:highlight w:val="none"/>
              </w:rPr>
              <w:t>0%-</w:t>
            </w:r>
            <w:r>
              <w:rPr>
                <w:rFonts w:hint="eastAsia" w:cs="Times New Roman"/>
                <w:color w:val="auto"/>
                <w:spacing w:val="-1"/>
                <w:sz w:val="21"/>
                <w:szCs w:val="21"/>
                <w:highlight w:val="none"/>
                <w:lang w:val="en-US" w:eastAsia="zh-CN"/>
              </w:rPr>
              <w:t>5</w:t>
            </w:r>
            <w:r>
              <w:rPr>
                <w:rFonts w:hint="default" w:ascii="Times New Roman" w:hAnsi="Times New Roman" w:eastAsia="宋体" w:cs="Times New Roman"/>
                <w:color w:val="auto"/>
                <w:spacing w:val="-1"/>
                <w:sz w:val="21"/>
                <w:szCs w:val="21"/>
                <w:highlight w:val="none"/>
              </w:rPr>
              <w:t>0%</w:t>
            </w:r>
          </w:p>
        </w:tc>
        <w:tc>
          <w:tcPr>
            <w:tcW w:w="1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50%-90%</w:t>
            </w:r>
          </w:p>
        </w:tc>
        <w:tc>
          <w:tcPr>
            <w:tcW w:w="2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50%～90%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技术原料</w:t>
            </w:r>
          </w:p>
        </w:tc>
        <w:tc>
          <w:tcPr>
            <w:tcW w:w="13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改进燃烧技术，无原料</w:t>
            </w:r>
          </w:p>
        </w:tc>
        <w:tc>
          <w:tcPr>
            <w:tcW w:w="22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尿素、氨水等还原</w:t>
            </w:r>
            <w:r>
              <w:rPr>
                <w:rFonts w:hint="default" w:ascii="Times New Roman" w:hAnsi="Times New Roman" w:eastAsia="宋体" w:cs="Times New Roman"/>
                <w:color w:val="auto"/>
                <w:sz w:val="21"/>
                <w:szCs w:val="21"/>
                <w:highlight w:val="none"/>
              </w:rPr>
              <w:t>剂</w:t>
            </w:r>
          </w:p>
        </w:tc>
        <w:tc>
          <w:tcPr>
            <w:tcW w:w="1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液氨、氨水、尿素</w:t>
            </w:r>
            <w:r>
              <w:rPr>
                <w:rFonts w:hint="default" w:ascii="Times New Roman" w:hAnsi="Times New Roman" w:eastAsia="宋体" w:cs="Times New Roman"/>
                <w:color w:val="auto"/>
                <w:spacing w:val="8"/>
                <w:sz w:val="21"/>
                <w:szCs w:val="21"/>
                <w:highlight w:val="none"/>
              </w:rPr>
              <w:t>等还原剂及</w:t>
            </w:r>
            <w:r>
              <w:rPr>
                <w:rFonts w:hint="default" w:ascii="Times New Roman" w:hAnsi="Times New Roman" w:eastAsia="宋体" w:cs="Times New Roman"/>
                <w:color w:val="auto"/>
                <w:spacing w:val="6"/>
                <w:sz w:val="21"/>
                <w:szCs w:val="21"/>
                <w:highlight w:val="none"/>
              </w:rPr>
              <w:t>金属氧</w:t>
            </w:r>
            <w:r>
              <w:rPr>
                <w:rFonts w:hint="default" w:ascii="Times New Roman" w:hAnsi="Times New Roman" w:eastAsia="宋体" w:cs="Times New Roman"/>
                <w:color w:val="auto"/>
                <w:spacing w:val="-1"/>
                <w:sz w:val="21"/>
                <w:szCs w:val="21"/>
                <w:highlight w:val="none"/>
              </w:rPr>
              <w:t>化物催化剂</w:t>
            </w:r>
          </w:p>
        </w:tc>
        <w:tc>
          <w:tcPr>
            <w:tcW w:w="2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氨水、尿素等还原</w:t>
            </w:r>
            <w:r>
              <w:rPr>
                <w:rFonts w:hint="default" w:ascii="Times New Roman" w:hAnsi="Times New Roman" w:eastAsia="宋体" w:cs="Times New Roman"/>
                <w:color w:val="auto"/>
                <w:spacing w:val="5"/>
                <w:sz w:val="21"/>
                <w:szCs w:val="21"/>
                <w:highlight w:val="none"/>
              </w:rPr>
              <w:t>剂，</w:t>
            </w:r>
            <w:r>
              <w:rPr>
                <w:rFonts w:hint="default" w:ascii="Times New Roman" w:hAnsi="Times New Roman" w:eastAsia="宋体" w:cs="Times New Roman"/>
                <w:color w:val="auto"/>
                <w:spacing w:val="-1"/>
                <w:sz w:val="21"/>
                <w:szCs w:val="21"/>
                <w:highlight w:val="none"/>
              </w:rPr>
              <w:t>金属氧化物催化剂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副产物</w:t>
            </w:r>
          </w:p>
        </w:tc>
        <w:tc>
          <w:tcPr>
            <w:tcW w:w="13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无</w:t>
            </w:r>
          </w:p>
        </w:tc>
        <w:tc>
          <w:tcPr>
            <w:tcW w:w="22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1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2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投资成本</w:t>
            </w:r>
          </w:p>
        </w:tc>
        <w:tc>
          <w:tcPr>
            <w:tcW w:w="13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w:t>
            </w:r>
          </w:p>
        </w:tc>
        <w:tc>
          <w:tcPr>
            <w:tcW w:w="22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w:t>
            </w:r>
          </w:p>
        </w:tc>
        <w:tc>
          <w:tcPr>
            <w:tcW w:w="1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w:t>
            </w:r>
          </w:p>
        </w:tc>
        <w:tc>
          <w:tcPr>
            <w:tcW w:w="2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介于SCR和SNCR之</w:t>
            </w:r>
            <w:r>
              <w:rPr>
                <w:rFonts w:hint="default" w:ascii="Times New Roman" w:hAnsi="Times New Roman" w:eastAsia="宋体" w:cs="Times New Roman"/>
                <w:color w:val="auto"/>
                <w:spacing w:val="5"/>
                <w:sz w:val="21"/>
                <w:szCs w:val="21"/>
                <w:highlight w:val="none"/>
              </w:rPr>
              <w:t xml:space="preserve"> </w:t>
            </w:r>
            <w:r>
              <w:rPr>
                <w:rFonts w:hint="default" w:ascii="Times New Roman" w:hAnsi="Times New Roman" w:eastAsia="宋体" w:cs="Times New Roman"/>
                <w:color w:val="auto"/>
                <w:sz w:val="21"/>
                <w:szCs w:val="21"/>
                <w:highlight w:val="none"/>
              </w:rPr>
              <w:t>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运营成本</w:t>
            </w:r>
          </w:p>
        </w:tc>
        <w:tc>
          <w:tcPr>
            <w:tcW w:w="13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c>
          <w:tcPr>
            <w:tcW w:w="22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低</w:t>
            </w:r>
          </w:p>
        </w:tc>
        <w:tc>
          <w:tcPr>
            <w:tcW w:w="1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w:t>
            </w:r>
          </w:p>
        </w:tc>
        <w:tc>
          <w:tcPr>
            <w:tcW w:w="2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介于SCR和SNCR之</w:t>
            </w:r>
            <w:r>
              <w:rPr>
                <w:rFonts w:hint="default" w:ascii="Times New Roman" w:hAnsi="Times New Roman" w:eastAsia="宋体" w:cs="Times New Roman"/>
                <w:color w:val="auto"/>
                <w:spacing w:val="5"/>
                <w:sz w:val="21"/>
                <w:szCs w:val="21"/>
                <w:highlight w:val="none"/>
              </w:rPr>
              <w:t xml:space="preserve"> </w:t>
            </w:r>
            <w:r>
              <w:rPr>
                <w:rFonts w:hint="default" w:ascii="Times New Roman" w:hAnsi="Times New Roman" w:eastAsia="宋体" w:cs="Times New Roman"/>
                <w:color w:val="auto"/>
                <w:sz w:val="21"/>
                <w:szCs w:val="21"/>
                <w:highlight w:val="none"/>
              </w:rPr>
              <w:t>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trPr>
        <w:tc>
          <w:tcPr>
            <w:tcW w:w="7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适用性</w:t>
            </w:r>
          </w:p>
        </w:tc>
        <w:tc>
          <w:tcPr>
            <w:tcW w:w="132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适用于煤粉炉</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pacing w:val="-1"/>
                <w:sz w:val="21"/>
                <w:szCs w:val="21"/>
                <w:highlight w:val="none"/>
              </w:rPr>
              <w:t>及燃气锅炉</w:t>
            </w:r>
          </w:p>
        </w:tc>
        <w:tc>
          <w:tcPr>
            <w:tcW w:w="22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适用于现有空间小、拥挤的锅炉烟</w:t>
            </w:r>
            <w:r>
              <w:rPr>
                <w:rFonts w:hint="default" w:ascii="Times New Roman" w:hAnsi="Times New Roman" w:eastAsia="宋体" w:cs="Times New Roman"/>
                <w:color w:val="auto"/>
                <w:spacing w:val="-2"/>
                <w:sz w:val="21"/>
                <w:szCs w:val="21"/>
                <w:highlight w:val="none"/>
              </w:rPr>
              <w:t>气脱硝</w:t>
            </w:r>
          </w:p>
        </w:tc>
        <w:tc>
          <w:tcPr>
            <w:tcW w:w="18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适用于对脱硝效率要求高的锅炉烟气</w:t>
            </w:r>
            <w:r>
              <w:rPr>
                <w:rFonts w:hint="default" w:ascii="Times New Roman" w:hAnsi="Times New Roman" w:eastAsia="宋体" w:cs="Times New Roman"/>
                <w:color w:val="auto"/>
                <w:spacing w:val="7"/>
                <w:sz w:val="21"/>
                <w:szCs w:val="21"/>
                <w:highlight w:val="none"/>
              </w:rPr>
              <w:t>脱硝</w:t>
            </w:r>
          </w:p>
        </w:tc>
        <w:tc>
          <w:tcPr>
            <w:tcW w:w="20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适用于对脱硝效率要求高的锅炉烟气脱硝</w:t>
            </w:r>
          </w:p>
        </w:tc>
      </w:tr>
    </w:tbl>
    <w:p>
      <w:pPr>
        <w:spacing w:before="20" w:line="188" w:lineRule="auto"/>
        <w:jc w:val="center"/>
        <w:rPr>
          <w:rFonts w:hint="default" w:ascii="Times New Roman" w:hAnsi="Times New Roman" w:cs="Times New Roman"/>
          <w:b/>
          <w:bCs/>
          <w:color w:val="auto"/>
          <w:kern w:val="0"/>
          <w:sz w:val="21"/>
          <w:szCs w:val="18"/>
          <w:highlight w:val="none"/>
        </w:rPr>
      </w:pPr>
    </w:p>
    <w:p>
      <w:pPr>
        <w:spacing w:line="360" w:lineRule="auto"/>
        <w:ind w:firstLine="480" w:firstLineChars="200"/>
        <w:rPr>
          <w:color w:val="auto"/>
          <w:sz w:val="24"/>
          <w:highlight w:val="none"/>
        </w:rPr>
      </w:pPr>
      <w:r>
        <w:rPr>
          <w:color w:val="auto"/>
          <w:sz w:val="24"/>
          <w:highlight w:val="none"/>
        </w:rPr>
        <w:t>根据上表结果，低氮燃烧为锅炉燃烧技术自带装置，SCR具有更高的脱硝效率，但其昂贵的催化剂和设备，使其造价偏高；SNCR没有催化剂的作用，它的脱硝效率没有SCR的高，但性价比尚可；由于SNCR成本较低，适宜</w:t>
      </w:r>
      <w:r>
        <w:rPr>
          <w:rFonts w:hint="eastAsia"/>
          <w:color w:val="auto"/>
          <w:sz w:val="24"/>
          <w:highlight w:val="none"/>
        </w:rPr>
        <w:t>与其他</w:t>
      </w:r>
      <w:r>
        <w:rPr>
          <w:color w:val="auto"/>
          <w:sz w:val="24"/>
          <w:highlight w:val="none"/>
        </w:rPr>
        <w:t>脱硝方法联合使用，因此，本项目从投资成本、后期运营成本、占地面积、建设周期以及环保达标要求的客观前提下，选择SNCR脱硝技术。</w:t>
      </w:r>
    </w:p>
    <w:p>
      <w:pPr>
        <w:bidi w:val="0"/>
        <w:rPr>
          <w:color w:val="auto"/>
          <w:kern w:val="0"/>
          <w:szCs w:val="24"/>
          <w:highlight w:val="none"/>
        </w:rPr>
      </w:pPr>
      <w:r>
        <w:rPr>
          <w:color w:val="auto"/>
          <w:highlight w:val="none"/>
        </w:rPr>
        <w:t>本项目采取SNCR脱硝技术后，锅炉燃烧烟气NO</w:t>
      </w:r>
      <w:r>
        <w:rPr>
          <w:color w:val="auto"/>
          <w:highlight w:val="none"/>
          <w:vertAlign w:val="subscript"/>
        </w:rPr>
        <w:t>X</w:t>
      </w:r>
      <w:r>
        <w:rPr>
          <w:color w:val="auto"/>
          <w:highlight w:val="none"/>
        </w:rPr>
        <w:t>排放浓度满足</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火电厂大气污染物排放标准</w:t>
      </w:r>
      <w:r>
        <w:rPr>
          <w:rFonts w:ascii="Times New Roman" w:hAnsi="Times New Roman" w:cs="Times New Roman"/>
          <w:color w:val="auto"/>
          <w:highlight w:val="none"/>
        </w:rPr>
        <w:t>》（GB</w:t>
      </w:r>
      <w:r>
        <w:rPr>
          <w:rFonts w:hint="eastAsia" w:ascii="Times New Roman" w:hAnsi="Times New Roman" w:cs="Times New Roman"/>
          <w:color w:val="auto"/>
          <w:highlight w:val="none"/>
          <w:lang w:val="en-US" w:eastAsia="zh-CN"/>
        </w:rPr>
        <w:t>13223</w:t>
      </w:r>
      <w:r>
        <w:rPr>
          <w:rFonts w:ascii="Times New Roman" w:hAnsi="Times New Roman" w:cs="Times New Roman"/>
          <w:color w:val="auto"/>
          <w:highlight w:val="none"/>
        </w:rPr>
        <w:t>-201</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cs="Times New Roman"/>
          <w:color w:val="auto"/>
          <w:highlight w:val="none"/>
          <w:lang w:eastAsia="zh-CN"/>
        </w:rPr>
        <w:t>表</w:t>
      </w:r>
      <w:r>
        <w:rPr>
          <w:rFonts w:hint="eastAsia" w:cs="Times New Roman"/>
          <w:color w:val="auto"/>
          <w:highlight w:val="none"/>
          <w:lang w:val="en-US" w:eastAsia="zh-CN"/>
        </w:rPr>
        <w:t>1</w:t>
      </w:r>
      <w:r>
        <w:rPr>
          <w:rFonts w:hint="eastAsia" w:cs="Times New Roman"/>
          <w:color w:val="auto"/>
          <w:highlight w:val="none"/>
          <w:lang w:eastAsia="zh-CN"/>
        </w:rPr>
        <w:t>火力发电锅炉及燃气轮机组大气污染物排放浓度限值中燃煤锅炉限值要求</w:t>
      </w:r>
      <w:r>
        <w:rPr>
          <w:color w:val="auto"/>
          <w:highlight w:val="none"/>
        </w:rPr>
        <w:t>，防治措施可行。</w:t>
      </w:r>
    </w:p>
    <w:p>
      <w:pPr>
        <w:spacing w:line="360" w:lineRule="auto"/>
        <w:ind w:firstLine="482" w:firstLineChars="200"/>
        <w:rPr>
          <w:rFonts w:hint="eastAsia" w:eastAsia="宋体"/>
          <w:b/>
          <w:bCs/>
          <w:color w:val="auto"/>
          <w:sz w:val="24"/>
          <w:highlight w:val="none"/>
          <w:lang w:eastAsia="zh-CN"/>
        </w:rPr>
      </w:pPr>
      <w:r>
        <w:rPr>
          <w:rFonts w:hint="eastAsia"/>
          <w:b/>
          <w:bCs/>
          <w:color w:val="auto"/>
          <w:sz w:val="24"/>
          <w:highlight w:val="none"/>
          <w:lang w:eastAsia="zh-CN"/>
        </w:rPr>
        <w:t>（</w:t>
      </w:r>
      <w:r>
        <w:rPr>
          <w:rFonts w:hint="eastAsia"/>
          <w:b/>
          <w:bCs/>
          <w:color w:val="auto"/>
          <w:sz w:val="24"/>
          <w:highlight w:val="none"/>
          <w:lang w:val="en-US" w:eastAsia="zh-CN"/>
        </w:rPr>
        <w:t>2</w:t>
      </w:r>
      <w:r>
        <w:rPr>
          <w:rFonts w:hint="eastAsia"/>
          <w:b/>
          <w:bCs/>
          <w:color w:val="auto"/>
          <w:sz w:val="24"/>
          <w:highlight w:val="none"/>
          <w:lang w:eastAsia="zh-CN"/>
        </w:rPr>
        <w:t>）</w:t>
      </w:r>
      <w:r>
        <w:rPr>
          <w:b/>
          <w:bCs/>
          <w:color w:val="auto"/>
          <w:sz w:val="24"/>
          <w:highlight w:val="none"/>
        </w:rPr>
        <w:t>SNCR工艺流程</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default" w:ascii="Times New Roman" w:hAnsi="Times New Roman" w:eastAsia="宋体" w:cs="Times New Roman"/>
          <w:color w:val="0000FF"/>
          <w:sz w:val="24"/>
          <w:szCs w:val="24"/>
          <w:highlight w:val="none"/>
          <w:lang w:val="en-US" w:eastAsia="zh-CN"/>
        </w:rPr>
      </w:pPr>
      <w:r>
        <w:rPr>
          <w:rFonts w:hint="eastAsia"/>
          <w:color w:val="auto"/>
          <w:sz w:val="24"/>
          <w:szCs w:val="24"/>
          <w:highlight w:val="none"/>
        </w:rPr>
        <w:t>根据</w:t>
      </w:r>
      <w:r>
        <w:rPr>
          <w:rFonts w:hint="eastAsia"/>
          <w:color w:val="auto"/>
          <w:sz w:val="24"/>
          <w:szCs w:val="24"/>
          <w:highlight w:val="none"/>
          <w:lang w:eastAsia="zh-CN"/>
        </w:rPr>
        <w:t>《</w:t>
      </w:r>
      <w:r>
        <w:rPr>
          <w:rFonts w:hint="eastAsia"/>
          <w:color w:val="auto"/>
          <w:sz w:val="24"/>
          <w:szCs w:val="24"/>
          <w:highlight w:val="none"/>
          <w:lang w:val="en-US" w:eastAsia="zh-CN"/>
        </w:rPr>
        <w:t>污染源源强核实技术指南 锅炉</w:t>
      </w:r>
      <w:r>
        <w:rPr>
          <w:rFonts w:hint="eastAsia"/>
          <w:color w:val="auto"/>
          <w:sz w:val="24"/>
          <w:szCs w:val="24"/>
          <w:highlight w:val="none"/>
          <w:lang w:eastAsia="zh-CN"/>
        </w:rPr>
        <w:t>》（</w:t>
      </w:r>
      <w:r>
        <w:rPr>
          <w:rFonts w:hint="eastAsia"/>
          <w:color w:val="auto"/>
          <w:sz w:val="24"/>
          <w:szCs w:val="24"/>
          <w:highlight w:val="none"/>
          <w:lang w:val="en-US" w:eastAsia="zh-CN"/>
        </w:rPr>
        <w:t>HJ991-2018）中附录B 流化床</w:t>
      </w:r>
      <w:r>
        <w:rPr>
          <w:color w:val="auto"/>
          <w:sz w:val="24"/>
          <w:szCs w:val="24"/>
          <w:highlight w:val="none"/>
        </w:rPr>
        <w:t>SNCR脱硝</w:t>
      </w:r>
      <w:r>
        <w:rPr>
          <w:rFonts w:hint="eastAsia"/>
          <w:color w:val="auto"/>
          <w:sz w:val="24"/>
          <w:szCs w:val="24"/>
          <w:highlight w:val="none"/>
          <w:lang w:val="en-US" w:eastAsia="zh-CN"/>
        </w:rPr>
        <w:t>效率60-80%，</w:t>
      </w:r>
      <w:r>
        <w:rPr>
          <w:rFonts w:ascii="宋体" w:hAnsi="宋体" w:eastAsia="宋体" w:cs="宋体"/>
          <w:color w:val="auto"/>
          <w:spacing w:val="-8"/>
          <w:sz w:val="24"/>
          <w:szCs w:val="24"/>
          <w:highlight w:val="none"/>
        </w:rPr>
        <w:t>根据</w:t>
      </w:r>
      <w:r>
        <w:rPr>
          <w:rFonts w:hint="default" w:ascii="Times New Roman" w:hAnsi="Times New Roman" w:eastAsia="宋体" w:cs="Times New Roman"/>
          <w:color w:val="auto"/>
          <w:sz w:val="24"/>
          <w:szCs w:val="24"/>
          <w:highlight w:val="none"/>
        </w:rPr>
        <w:t>《环境保护综合名录》</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2021年版</w:t>
      </w:r>
      <w:r>
        <w:rPr>
          <w:rFonts w:hint="eastAsia" w:ascii="Times New Roman" w:hAnsi="Times New Roman" w:eastAsia="宋体" w:cs="Times New Roman"/>
          <w:color w:val="auto"/>
          <w:sz w:val="24"/>
          <w:szCs w:val="24"/>
          <w:highlight w:val="none"/>
          <w:lang w:eastAsia="zh-CN"/>
        </w:rPr>
        <w:t>）中</w:t>
      </w:r>
      <w:r>
        <w:rPr>
          <w:rFonts w:hint="eastAsia" w:ascii="Times New Roman" w:hAnsi="Times New Roman" w:eastAsia="宋体" w:cs="Times New Roman"/>
          <w:color w:val="auto"/>
          <w:sz w:val="24"/>
          <w:szCs w:val="24"/>
          <w:highlight w:val="none"/>
          <w:lang w:val="en-US" w:eastAsia="zh-CN"/>
        </w:rPr>
        <w:t>选择性非催化还原（SNCR）脱硝成套设备性能参数</w:t>
      </w:r>
      <w:r>
        <w:rPr>
          <w:rFonts w:hint="eastAsia" w:ascii="Times New Roman" w:hAnsi="Times New Roman" w:eastAsia="宋体" w:cs="Times New Roman"/>
          <w:color w:val="auto"/>
          <w:sz w:val="24"/>
          <w:szCs w:val="24"/>
          <w:highlight w:val="none"/>
          <w:lang w:eastAsia="zh-CN"/>
        </w:rPr>
        <w:t>，脱硝效率为</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eastAsia="zh-CN"/>
        </w:rPr>
        <w:t>%～60%，</w:t>
      </w:r>
      <w:r>
        <w:rPr>
          <w:rFonts w:hint="default" w:ascii="Times New Roman" w:hAnsi="Times New Roman" w:eastAsia="宋体" w:cs="Times New Roman"/>
          <w:color w:val="auto"/>
          <w:sz w:val="24"/>
          <w:szCs w:val="24"/>
          <w:highlight w:val="none"/>
          <w:lang w:val="en-US" w:eastAsia="zh-CN"/>
        </w:rPr>
        <w:t>氨逃逸率&lt;8ppm。</w:t>
      </w:r>
      <w:r>
        <w:rPr>
          <w:rFonts w:hint="eastAsia"/>
          <w:color w:val="0000FF"/>
          <w:sz w:val="24"/>
          <w:szCs w:val="24"/>
          <w:highlight w:val="none"/>
        </w:rPr>
        <w:t>本</w:t>
      </w:r>
      <w:r>
        <w:rPr>
          <w:rFonts w:hint="eastAsia"/>
          <w:color w:val="0000FF"/>
          <w:sz w:val="24"/>
          <w:szCs w:val="24"/>
          <w:highlight w:val="none"/>
          <w:lang w:val="en-US" w:eastAsia="zh-CN"/>
        </w:rPr>
        <w:t>项目</w:t>
      </w:r>
      <w:r>
        <w:rPr>
          <w:color w:val="0000FF"/>
          <w:sz w:val="24"/>
          <w:szCs w:val="24"/>
          <w:highlight w:val="none"/>
        </w:rPr>
        <w:t>烟气脱硝采用SNCR工艺，</w:t>
      </w:r>
      <w:r>
        <w:rPr>
          <w:rFonts w:hint="eastAsia"/>
          <w:color w:val="0000FF"/>
          <w:sz w:val="24"/>
          <w:szCs w:val="24"/>
          <w:highlight w:val="none"/>
          <w:lang w:val="en-US" w:eastAsia="zh-CN"/>
        </w:rPr>
        <w:t>本项目设计</w:t>
      </w:r>
      <w:r>
        <w:rPr>
          <w:color w:val="0000FF"/>
          <w:sz w:val="24"/>
          <w:szCs w:val="24"/>
          <w:highlight w:val="none"/>
        </w:rPr>
        <w:t>脱硝效率≥</w:t>
      </w:r>
      <w:r>
        <w:rPr>
          <w:rFonts w:hint="eastAsia"/>
          <w:color w:val="0000FF"/>
          <w:sz w:val="24"/>
          <w:szCs w:val="24"/>
          <w:highlight w:val="none"/>
          <w:lang w:val="en-US" w:eastAsia="zh-CN"/>
        </w:rPr>
        <w:t>40</w:t>
      </w:r>
      <w:r>
        <w:rPr>
          <w:color w:val="0000FF"/>
          <w:sz w:val="24"/>
          <w:szCs w:val="24"/>
          <w:highlight w:val="none"/>
        </w:rPr>
        <w:t>%</w:t>
      </w:r>
      <w:r>
        <w:rPr>
          <w:rFonts w:hint="eastAsia"/>
          <w:color w:val="0000FF"/>
          <w:sz w:val="24"/>
          <w:szCs w:val="24"/>
          <w:highlight w:val="none"/>
          <w:lang w:eastAsia="zh-CN"/>
        </w:rPr>
        <w:t>，</w:t>
      </w:r>
      <w:r>
        <w:rPr>
          <w:rFonts w:hint="default" w:ascii="Times New Roman" w:hAnsi="Times New Roman" w:eastAsia="宋体" w:cs="Times New Roman"/>
          <w:color w:val="0000FF"/>
          <w:sz w:val="24"/>
          <w:szCs w:val="24"/>
          <w:highlight w:val="none"/>
          <w:lang w:val="en-US" w:eastAsia="zh-CN"/>
        </w:rPr>
        <w:t>氨逃逸率&lt;8</w:t>
      </w:r>
      <w:r>
        <w:rPr>
          <w:rFonts w:hint="eastAsia" w:ascii="Times New Roman" w:hAnsi="Times New Roman" w:eastAsia="宋体" w:cs="Times New Roman"/>
          <w:color w:val="0000FF"/>
          <w:sz w:val="24"/>
          <w:szCs w:val="24"/>
          <w:highlight w:val="none"/>
          <w:lang w:val="en-US" w:eastAsia="zh-CN"/>
        </w:rPr>
        <w:t>mg/m</w:t>
      </w:r>
      <w:r>
        <w:rPr>
          <w:rFonts w:hint="eastAsia"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highlight w:val="none"/>
          <w:lang w:val="en-US" w:eastAsia="zh-CN"/>
        </w:rPr>
        <w:t>。</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color w:val="auto"/>
          <w:sz w:val="24"/>
          <w:szCs w:val="24"/>
          <w:highlight w:val="none"/>
        </w:rPr>
        <w:t>选择性非催化还原是指无催化剂的作用下，在适合脱硝反应的“温度窗口”内喷入还原剂将烟气中的氮氧化物还原为无害的氮气和水。该技术采用炉内喷尿素作为还原剂还原NO</w:t>
      </w:r>
      <w:r>
        <w:rPr>
          <w:rFonts w:hint="eastAsia"/>
          <w:color w:val="auto"/>
          <w:sz w:val="24"/>
          <w:szCs w:val="24"/>
          <w:highlight w:val="none"/>
          <w:vertAlign w:val="subscript"/>
          <w:lang w:val="en-US" w:eastAsia="zh-CN"/>
        </w:rPr>
        <w:t>X</w:t>
      </w:r>
      <w:r>
        <w:rPr>
          <w:color w:val="auto"/>
          <w:sz w:val="24"/>
          <w:szCs w:val="24"/>
          <w:highlight w:val="none"/>
        </w:rPr>
        <w:t>。还原剂只和烟气中的NO</w:t>
      </w:r>
      <w:r>
        <w:rPr>
          <w:rFonts w:hint="eastAsia"/>
          <w:color w:val="auto"/>
          <w:sz w:val="24"/>
          <w:szCs w:val="24"/>
          <w:highlight w:val="none"/>
          <w:vertAlign w:val="subscript"/>
          <w:lang w:val="en-US" w:eastAsia="zh-CN"/>
        </w:rPr>
        <w:t>X</w:t>
      </w:r>
      <w:r>
        <w:rPr>
          <w:color w:val="auto"/>
          <w:sz w:val="24"/>
          <w:szCs w:val="24"/>
          <w:highlight w:val="none"/>
        </w:rPr>
        <w:t>反应，一般不与氧反应，该技术不采用催化剂，所以这种方法被称为选择性非催化还原法（SNCR）。由于该工艺不用催化剂，因此必须在高温区加入还原剂。还原剂喷入炉膛温度为850~1100℃的区域，迅速热分解成NH</w:t>
      </w:r>
      <w:r>
        <w:rPr>
          <w:color w:val="auto"/>
          <w:sz w:val="24"/>
          <w:szCs w:val="24"/>
          <w:highlight w:val="none"/>
          <w:vertAlign w:val="subscript"/>
        </w:rPr>
        <w:t>3</w:t>
      </w:r>
      <w:r>
        <w:rPr>
          <w:color w:val="auto"/>
          <w:sz w:val="24"/>
          <w:szCs w:val="24"/>
          <w:highlight w:val="none"/>
        </w:rPr>
        <w:t>，与烟气中的NO</w:t>
      </w:r>
      <w:r>
        <w:rPr>
          <w:rFonts w:hint="eastAsia"/>
          <w:color w:val="auto"/>
          <w:sz w:val="24"/>
          <w:szCs w:val="24"/>
          <w:highlight w:val="none"/>
          <w:vertAlign w:val="subscript"/>
          <w:lang w:val="en-US" w:eastAsia="zh-CN"/>
        </w:rPr>
        <w:t>X</w:t>
      </w:r>
      <w:r>
        <w:rPr>
          <w:color w:val="auto"/>
          <w:sz w:val="24"/>
          <w:szCs w:val="24"/>
          <w:highlight w:val="none"/>
        </w:rPr>
        <w:t>反应生成N</w:t>
      </w:r>
      <w:r>
        <w:rPr>
          <w:color w:val="auto"/>
          <w:sz w:val="24"/>
          <w:szCs w:val="24"/>
          <w:highlight w:val="none"/>
          <w:vertAlign w:val="subscript"/>
        </w:rPr>
        <w:t>2</w:t>
      </w:r>
      <w:r>
        <w:rPr>
          <w:color w:val="auto"/>
          <w:sz w:val="24"/>
          <w:szCs w:val="24"/>
          <w:highlight w:val="none"/>
        </w:rPr>
        <w:t>和水。</w:t>
      </w:r>
    </w:p>
    <w:p>
      <w:pPr>
        <w:widowControl/>
        <w:kinsoku w:val="0"/>
        <w:autoSpaceDE w:val="0"/>
        <w:autoSpaceDN w:val="0"/>
        <w:spacing w:line="360" w:lineRule="auto"/>
        <w:ind w:firstLine="480" w:firstLineChars="200"/>
        <w:textAlignment w:val="baseline"/>
        <w:rPr>
          <w:color w:val="auto"/>
          <w:sz w:val="24"/>
          <w:szCs w:val="24"/>
          <w:highlight w:val="none"/>
        </w:rPr>
      </w:pPr>
      <w:r>
        <w:rPr>
          <w:color w:val="auto"/>
          <w:sz w:val="24"/>
          <w:szCs w:val="24"/>
          <w:highlight w:val="none"/>
        </w:rPr>
        <w:t>本项目新建SNCR脱硝系统，采用尿素作为还原剂。尿素通过溶解系统溶解后打到尿素储罐储存待用。在进行SNCR脱硝时，</w:t>
      </w:r>
      <w:r>
        <w:rPr>
          <w:rFonts w:hint="eastAsia"/>
          <w:color w:val="auto"/>
          <w:sz w:val="24"/>
          <w:szCs w:val="24"/>
          <w:highlight w:val="none"/>
          <w:lang w:val="en-US" w:eastAsia="zh-CN"/>
        </w:rPr>
        <w:t>10</w:t>
      </w:r>
      <w:r>
        <w:rPr>
          <w:color w:val="auto"/>
          <w:sz w:val="24"/>
          <w:szCs w:val="24"/>
          <w:highlight w:val="none"/>
        </w:rPr>
        <w:t>%的</w:t>
      </w:r>
      <w:r>
        <w:rPr>
          <w:rFonts w:hint="eastAsia"/>
          <w:color w:val="auto"/>
          <w:sz w:val="24"/>
          <w:szCs w:val="24"/>
          <w:highlight w:val="none"/>
        </w:rPr>
        <w:t>尿素溶液经尿素溶液输送泵输送，在喷入炉膛之前，再经过计量分配装置的精确计量分配至每个喷枪，然后经喷枪喷入炉膛，</w:t>
      </w:r>
      <w:r>
        <w:rPr>
          <w:color w:val="auto"/>
          <w:sz w:val="24"/>
          <w:szCs w:val="24"/>
          <w:highlight w:val="none"/>
        </w:rPr>
        <w:t>与烟气中的氮氧化物发生化学反应，生成氮气，去除氮氧化物，从而达到脱硝目的。</w:t>
      </w:r>
    </w:p>
    <w:p>
      <w:pPr>
        <w:widowControl/>
        <w:kinsoku w:val="0"/>
        <w:autoSpaceDE w:val="0"/>
        <w:autoSpaceDN w:val="0"/>
        <w:spacing w:line="360" w:lineRule="auto"/>
        <w:ind w:firstLine="480" w:firstLineChars="200"/>
        <w:textAlignment w:val="baseline"/>
        <w:rPr>
          <w:color w:val="auto"/>
          <w:sz w:val="24"/>
          <w:szCs w:val="24"/>
          <w:highlight w:val="none"/>
        </w:rPr>
      </w:pPr>
      <w:r>
        <w:rPr>
          <w:color w:val="auto"/>
          <w:sz w:val="24"/>
          <w:szCs w:val="24"/>
          <w:highlight w:val="none"/>
        </w:rPr>
        <w:t>整套尿素SNCR脱硝装置由尿素溶解与储存系统、尿素输送系统、稀释水系统、混合分配系统、喷射系统、自动控制系统组成。</w:t>
      </w:r>
    </w:p>
    <w:p>
      <w:pPr>
        <w:widowControl/>
        <w:kinsoku w:val="0"/>
        <w:autoSpaceDE w:val="0"/>
        <w:autoSpaceDN w:val="0"/>
        <w:spacing w:line="360" w:lineRule="auto"/>
        <w:ind w:firstLine="480" w:firstLineChars="200"/>
        <w:textAlignment w:val="baseline"/>
        <w:rPr>
          <w:color w:val="auto"/>
          <w:sz w:val="24"/>
          <w:szCs w:val="24"/>
          <w:highlight w:val="none"/>
        </w:rPr>
      </w:pPr>
      <w:r>
        <w:rPr>
          <w:color w:val="auto"/>
          <w:sz w:val="24"/>
          <w:szCs w:val="24"/>
          <w:highlight w:val="none"/>
        </w:rPr>
        <w:t>主要反应如下：</w:t>
      </w:r>
    </w:p>
    <w:p>
      <w:pPr>
        <w:pStyle w:val="14"/>
        <w:rPr>
          <w:rFonts w:ascii="Times New Roman" w:hAnsi="Times New Roman" w:cs="Times New Roman"/>
          <w:color w:val="auto"/>
          <w:kern w:val="2"/>
          <w:highlight w:val="none"/>
        </w:rPr>
      </w:pPr>
      <w:r>
        <w:rPr>
          <w:rFonts w:ascii="Times New Roman" w:hAnsi="Times New Roman" w:cs="Times New Roman"/>
          <w:color w:val="auto"/>
          <w:kern w:val="2"/>
          <w:highlight w:val="none"/>
        </w:rPr>
        <w:drawing>
          <wp:inline distT="0" distB="0" distL="114300" distR="114300">
            <wp:extent cx="2951480" cy="1001395"/>
            <wp:effectExtent l="0" t="0" r="1270" b="8255"/>
            <wp:docPr id="17" name="图片 3" descr="1633794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1633794281(1)"/>
                    <pic:cNvPicPr>
                      <a:picLocks noChangeAspect="1"/>
                    </pic:cNvPicPr>
                  </pic:nvPicPr>
                  <pic:blipFill>
                    <a:blip r:embed="rId36"/>
                    <a:stretch>
                      <a:fillRect/>
                    </a:stretch>
                  </pic:blipFill>
                  <pic:spPr>
                    <a:xfrm>
                      <a:off x="0" y="0"/>
                      <a:ext cx="2951480" cy="1001395"/>
                    </a:xfrm>
                    <a:prstGeom prst="rect">
                      <a:avLst/>
                    </a:prstGeom>
                    <a:noFill/>
                    <a:ln>
                      <a:noFill/>
                    </a:ln>
                  </pic:spPr>
                </pic:pic>
              </a:graphicData>
            </a:graphic>
          </wp:inline>
        </w:drawing>
      </w:r>
    </w:p>
    <w:p>
      <w:pPr>
        <w:widowControl/>
        <w:kinsoku w:val="0"/>
        <w:autoSpaceDE w:val="0"/>
        <w:autoSpaceDN w:val="0"/>
        <w:spacing w:line="360" w:lineRule="auto"/>
        <w:ind w:firstLine="480" w:firstLineChars="200"/>
        <w:textAlignment w:val="baseline"/>
        <w:rPr>
          <w:color w:val="auto"/>
          <w:sz w:val="24"/>
          <w:szCs w:val="24"/>
          <w:highlight w:val="none"/>
        </w:rPr>
      </w:pPr>
      <w:r>
        <w:rPr>
          <w:rFonts w:hint="eastAsia"/>
          <w:color w:val="auto"/>
          <w:sz w:val="24"/>
          <w:szCs w:val="24"/>
          <w:highlight w:val="none"/>
          <w:lang w:eastAsia="zh-CN"/>
        </w:rPr>
        <w:t>①尿素储存与尿素溶液制备系统</w:t>
      </w:r>
    </w:p>
    <w:p>
      <w:pPr>
        <w:widowControl/>
        <w:kinsoku w:val="0"/>
        <w:autoSpaceDE w:val="0"/>
        <w:autoSpaceDN w:val="0"/>
        <w:spacing w:line="360" w:lineRule="auto"/>
        <w:ind w:firstLine="480" w:firstLineChars="200"/>
        <w:textAlignment w:val="baseline"/>
        <w:rPr>
          <w:rFonts w:hint="eastAsia"/>
          <w:color w:val="auto"/>
          <w:sz w:val="24"/>
          <w:szCs w:val="24"/>
          <w:highlight w:val="none"/>
        </w:rPr>
      </w:pPr>
      <w:r>
        <w:rPr>
          <w:color w:val="auto"/>
          <w:sz w:val="24"/>
          <w:szCs w:val="24"/>
          <w:highlight w:val="none"/>
        </w:rPr>
        <w:t>尿素为固体颗粒。</w:t>
      </w:r>
      <w:r>
        <w:rPr>
          <w:rFonts w:hint="eastAsia"/>
          <w:color w:val="auto"/>
          <w:sz w:val="24"/>
          <w:szCs w:val="24"/>
          <w:highlight w:val="none"/>
        </w:rPr>
        <w:t>作为还原剂的固体尿素，被溶解制备成浓度为10％的尿素溶液，尿素溶液经尿素溶液输送泵输送，在喷入炉膛之前，再经过计量分配装置的精确计量分配至每个喷枪，然后经喷枪喷入炉膛，进行脱氮反应。</w:t>
      </w:r>
    </w:p>
    <w:p>
      <w:pPr>
        <w:widowControl/>
        <w:kinsoku w:val="0"/>
        <w:autoSpaceDE w:val="0"/>
        <w:autoSpaceDN w:val="0"/>
        <w:spacing w:line="360" w:lineRule="auto"/>
        <w:ind w:firstLine="480" w:firstLineChars="200"/>
        <w:textAlignment w:val="baseline"/>
        <w:rPr>
          <w:rFonts w:hint="eastAsia"/>
          <w:color w:val="auto"/>
          <w:sz w:val="24"/>
          <w:szCs w:val="24"/>
          <w:highlight w:val="none"/>
        </w:rPr>
      </w:pPr>
      <w:r>
        <w:rPr>
          <w:rFonts w:hint="eastAsia"/>
          <w:color w:val="auto"/>
          <w:sz w:val="24"/>
          <w:szCs w:val="24"/>
          <w:highlight w:val="none"/>
        </w:rPr>
        <w:t>固体尿素运送到现场后，进入尿素储存仓内进行储备。尿素储存仓的容积可按照足够脱硝系统运行七天所需要的尿素量。</w:t>
      </w:r>
    </w:p>
    <w:p>
      <w:pPr>
        <w:widowControl/>
        <w:kinsoku w:val="0"/>
        <w:autoSpaceDE w:val="0"/>
        <w:autoSpaceDN w:val="0"/>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②尿素溶液输送系统</w:t>
      </w:r>
    </w:p>
    <w:p>
      <w:pPr>
        <w:bidi w:val="0"/>
        <w:rPr>
          <w:rFonts w:hint="default" w:ascii="Times New Roman" w:hAnsi="Times New Roman" w:eastAsia="宋体" w:cs="Times New Roman"/>
          <w:color w:val="auto"/>
          <w:sz w:val="24"/>
          <w:szCs w:val="24"/>
          <w:highlight w:val="none"/>
        </w:rPr>
      </w:pPr>
      <w:r>
        <w:rPr>
          <w:rFonts w:hint="default"/>
          <w:color w:val="auto"/>
          <w:highlight w:val="none"/>
        </w:rPr>
        <w:t>尿素溶液输送泵采用多级离心泵。输送泵设有一备一用，对于输送供给系统，输送泵应采用2×100%方案考虑。输送供给系统做保温，减少尿素溶液输送途中</w:t>
      </w:r>
      <w:r>
        <w:rPr>
          <w:rFonts w:hint="default" w:ascii="Times New Roman" w:hAnsi="Times New Roman" w:eastAsia="宋体" w:cs="Times New Roman"/>
          <w:color w:val="auto"/>
          <w:sz w:val="24"/>
          <w:szCs w:val="24"/>
          <w:highlight w:val="none"/>
        </w:rPr>
        <w:t>热量的损失。为避免杂物对泵机及喷嘴的损坏，溶解池到输送泵入口设有过滤器。</w:t>
      </w:r>
      <w:r>
        <w:rPr>
          <w:rFonts w:hint="eastAsia" w:cs="Times New Roman"/>
          <w:color w:val="auto"/>
          <w:sz w:val="24"/>
          <w:szCs w:val="24"/>
          <w:highlight w:val="none"/>
          <w:lang w:eastAsia="zh-CN"/>
        </w:rPr>
        <w:t>输送</w:t>
      </w:r>
      <w:r>
        <w:rPr>
          <w:rFonts w:hint="default" w:ascii="Times New Roman" w:hAnsi="Times New Roman" w:eastAsia="宋体" w:cs="Times New Roman"/>
          <w:color w:val="auto"/>
          <w:sz w:val="24"/>
          <w:szCs w:val="24"/>
          <w:highlight w:val="none"/>
        </w:rPr>
        <w:t>泵设有2台，一用一备。</w:t>
      </w:r>
    </w:p>
    <w:p>
      <w:pPr>
        <w:widowControl/>
        <w:kinsoku w:val="0"/>
        <w:autoSpaceDE w:val="0"/>
        <w:autoSpaceDN w:val="0"/>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rPr>
        <w:t>尿素溶液喷射系统</w:t>
      </w:r>
    </w:p>
    <w:p>
      <w:pPr>
        <w:widowControl/>
        <w:kinsoku w:val="0"/>
        <w:autoSpaceDE w:val="0"/>
        <w:autoSpaceDN w:val="0"/>
        <w:spacing w:line="360" w:lineRule="auto"/>
        <w:ind w:firstLine="480" w:firstLineChars="200"/>
        <w:textAlignment w:val="baseline"/>
        <w:rPr>
          <w:color w:val="auto"/>
          <w:sz w:val="24"/>
          <w:szCs w:val="24"/>
          <w:highlight w:val="none"/>
        </w:rPr>
      </w:pPr>
      <w:r>
        <w:rPr>
          <w:color w:val="auto"/>
          <w:sz w:val="24"/>
          <w:szCs w:val="24"/>
          <w:highlight w:val="none"/>
        </w:rPr>
        <w:t>在线配制稀释好的尿素溶液将送到各喷射点，喷射采用固定喷枪方式，不采用推进器系统。喷枪喷射所需的雾化介质采用压缩空气。炉前压缩空气总管上设有流量</w:t>
      </w:r>
      <w:r>
        <w:rPr>
          <w:rFonts w:ascii="Times New Roman" w:hAnsi="Times New Roman" w:eastAsia="宋体" w:cs="Times New Roman"/>
          <w:color w:val="auto"/>
          <w:sz w:val="24"/>
          <w:szCs w:val="24"/>
          <w:highlight w:val="none"/>
        </w:rPr>
        <w:t>压力测量，分几路通到各喷射点，每个喷射点的雾化压缩空气总管设有压力调节、压力测量、流量测量，再通往各个喷枪。</w:t>
      </w:r>
    </w:p>
    <w:p>
      <w:pPr>
        <w:widowControl/>
        <w:kinsoku w:val="0"/>
        <w:autoSpaceDE w:val="0"/>
        <w:autoSpaceDN w:val="0"/>
        <w:spacing w:line="360" w:lineRule="auto"/>
        <w:ind w:firstLine="480" w:firstLineChars="200"/>
        <w:textAlignment w:val="baseline"/>
        <w:rPr>
          <w:color w:val="auto"/>
          <w:sz w:val="24"/>
          <w:szCs w:val="24"/>
          <w:highlight w:val="none"/>
        </w:rPr>
      </w:pPr>
      <w:r>
        <w:rPr>
          <w:rFonts w:hint="eastAsia"/>
          <w:color w:val="auto"/>
          <w:sz w:val="24"/>
          <w:szCs w:val="24"/>
          <w:highlight w:val="none"/>
          <w:lang w:eastAsia="zh-CN"/>
        </w:rPr>
        <w:t>④仪表和控制系统</w:t>
      </w:r>
    </w:p>
    <w:p>
      <w:pPr>
        <w:bidi w:val="0"/>
        <w:rPr>
          <w:color w:val="auto"/>
          <w:highlight w:val="none"/>
        </w:rPr>
      </w:pPr>
      <w:r>
        <w:rPr>
          <w:rFonts w:hint="eastAsia"/>
          <w:color w:val="auto"/>
          <w:highlight w:val="none"/>
        </w:rPr>
        <w:t>控制系统根据采集的相关信号，控制、调节各个设备的运行，实现高效脱硝。控制方式有现场自动控制、现场手动控制、中控自动控制、中控手动控制，方便各个工况下的操作。系统设有必要的报警</w:t>
      </w:r>
      <w:r>
        <w:rPr>
          <w:color w:val="auto"/>
          <w:highlight w:val="none"/>
        </w:rPr>
        <w:t>。</w:t>
      </w:r>
    </w:p>
    <w:p>
      <w:pPr>
        <w:bidi w:val="0"/>
        <w:rPr>
          <w:rFonts w:hint="default"/>
          <w:color w:val="auto"/>
          <w:highlight w:val="none"/>
          <w:lang w:val="en-US" w:eastAsia="zh-CN"/>
        </w:rPr>
      </w:pPr>
      <w:r>
        <w:rPr>
          <w:rFonts w:hint="eastAsia"/>
          <w:color w:val="auto"/>
          <w:highlight w:val="none"/>
          <w:lang w:val="en-US" w:eastAsia="zh-CN"/>
        </w:rPr>
        <w:t>⑤稀释水系统</w:t>
      </w:r>
    </w:p>
    <w:p>
      <w:pPr>
        <w:pStyle w:val="83"/>
        <w:shd w:val="clear" w:color="auto" w:fill="auto"/>
        <w:spacing w:before="0" w:line="360" w:lineRule="auto"/>
        <w:ind w:left="0" w:leftChars="0" w:firstLine="0" w:firstLineChars="0"/>
        <w:jc w:val="both"/>
        <w:rPr>
          <w:rStyle w:val="84"/>
          <w:rFonts w:ascii="Times New Roman" w:hAnsi="Times New Roman" w:eastAsia="宋体" w:cs="Times New Roman"/>
          <w:color w:val="auto"/>
          <w:highlight w:val="none"/>
        </w:rPr>
      </w:pPr>
      <w:r>
        <w:rPr>
          <w:rFonts w:hint="eastAsia"/>
          <w:color w:val="auto"/>
          <w:highlight w:val="none"/>
        </w:rPr>
        <w:t>当锅炉负荷或炉膛出口的NO</w:t>
      </w:r>
      <w:r>
        <w:rPr>
          <w:rFonts w:hint="eastAsia"/>
          <w:color w:val="auto"/>
          <w:highlight w:val="none"/>
          <w:vertAlign w:val="subscript"/>
          <w:lang w:val="en-US" w:eastAsia="zh-CN"/>
        </w:rPr>
        <w:t>X</w:t>
      </w:r>
      <w:r>
        <w:rPr>
          <w:rFonts w:hint="eastAsia"/>
          <w:color w:val="auto"/>
          <w:highlight w:val="none"/>
        </w:rPr>
        <w:t>浓度变化时，送入炉膛的氨水量也应随之变化，这将导致送入喷射器的流量发生变化。若喷射器的流量变化太大，将会影响到雾化喷射效果，从而影响脱硝率和氨残余。因此，设计了稀释水系统，用来保证在运行工况变化时，喷嘴中流体流量基本不变。</w:t>
      </w:r>
    </w:p>
    <w:p>
      <w:pPr>
        <w:spacing w:line="360" w:lineRule="auto"/>
        <w:ind w:firstLine="482" w:firstLineChars="200"/>
        <w:rPr>
          <w:rFonts w:hint="eastAsia" w:ascii="Times New Roman" w:hAnsi="Times New Roman" w:eastAsia="宋体" w:cs="宋体"/>
          <w:b/>
          <w:bCs/>
          <w:color w:val="0000FF"/>
          <w:sz w:val="24"/>
          <w:szCs w:val="24"/>
          <w:highlight w:val="none"/>
          <w:lang w:val="zh-CN" w:eastAsia="zh-CN" w:bidi="zh-CN"/>
        </w:rPr>
      </w:pPr>
      <w:r>
        <w:rPr>
          <w:rFonts w:hint="eastAsia" w:ascii="Times New Roman" w:hAnsi="Times New Roman" w:eastAsia="宋体" w:cs="宋体"/>
          <w:b/>
          <w:bCs/>
          <w:color w:val="0000FF"/>
          <w:sz w:val="24"/>
          <w:szCs w:val="24"/>
          <w:highlight w:val="none"/>
          <w:lang w:val="zh-CN" w:eastAsia="zh-CN" w:bidi="zh-CN"/>
        </w:rPr>
        <w:t>（</w:t>
      </w:r>
      <w:r>
        <w:rPr>
          <w:rFonts w:hint="eastAsia" w:ascii="Times New Roman" w:hAnsi="Times New Roman" w:eastAsia="宋体" w:cs="宋体"/>
          <w:b/>
          <w:bCs/>
          <w:color w:val="0000FF"/>
          <w:sz w:val="24"/>
          <w:szCs w:val="24"/>
          <w:highlight w:val="none"/>
          <w:lang w:val="en-US" w:eastAsia="zh-CN" w:bidi="zh-CN"/>
        </w:rPr>
        <w:t>3</w:t>
      </w:r>
      <w:r>
        <w:rPr>
          <w:rFonts w:hint="eastAsia" w:ascii="Times New Roman" w:hAnsi="Times New Roman" w:eastAsia="宋体" w:cs="宋体"/>
          <w:b/>
          <w:bCs/>
          <w:color w:val="0000FF"/>
          <w:sz w:val="24"/>
          <w:szCs w:val="24"/>
          <w:highlight w:val="none"/>
          <w:lang w:val="zh-CN" w:eastAsia="zh-CN" w:bidi="zh-CN"/>
        </w:rPr>
        <w:t>）氨逃逸的控制措施</w:t>
      </w:r>
    </w:p>
    <w:p>
      <w:pPr>
        <w:spacing w:line="360" w:lineRule="auto"/>
        <w:ind w:firstLine="480" w:firstLineChars="200"/>
        <w:rPr>
          <w:rFonts w:hint="eastAsia" w:ascii="Times New Roman" w:hAnsi="Times New Roman" w:eastAsia="宋体" w:cs="宋体"/>
          <w:color w:val="0000FF"/>
          <w:sz w:val="24"/>
          <w:szCs w:val="24"/>
          <w:highlight w:val="none"/>
          <w:lang w:val="zh-CN" w:eastAsia="zh-CN" w:bidi="zh-CN"/>
        </w:rPr>
      </w:pPr>
      <w:r>
        <w:rPr>
          <w:rFonts w:hint="eastAsia" w:ascii="Times New Roman" w:hAnsi="Times New Roman" w:eastAsia="宋体" w:cs="宋体"/>
          <w:color w:val="0000FF"/>
          <w:sz w:val="24"/>
          <w:szCs w:val="24"/>
          <w:highlight w:val="none"/>
          <w:lang w:val="zh-CN" w:eastAsia="zh-CN" w:bidi="zh-CN"/>
        </w:rPr>
        <w:t>根据SNCR工艺流程分析，氨逃逸的主要影响因素是烟气温度、喷射过程控制、尿素溶液量、与烟气的接触方式和时间等。在运行过程中控制氨逃逸，主要采取以下措施：</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eastAsia" w:ascii="Times New Roman" w:hAnsi="Times New Roman" w:eastAsia="宋体" w:cs="宋体"/>
          <w:color w:val="0000FF"/>
          <w:sz w:val="24"/>
          <w:szCs w:val="24"/>
          <w:highlight w:val="none"/>
          <w:lang w:val="zh-CN" w:eastAsia="zh-CN" w:bidi="zh-CN"/>
        </w:rPr>
      </w:pPr>
      <w:r>
        <w:rPr>
          <w:rFonts w:hint="eastAsia" w:ascii="Times New Roman" w:hAnsi="Times New Roman" w:eastAsia="宋体" w:cs="宋体"/>
          <w:color w:val="0000FF"/>
          <w:sz w:val="24"/>
          <w:szCs w:val="24"/>
          <w:highlight w:val="none"/>
          <w:lang w:val="zh-CN" w:eastAsia="zh-CN" w:bidi="zh-CN"/>
        </w:rPr>
        <w:t>——对于氨流量分布不均造成的逃逸，可通过调整热解炉出口的调节阀分配去反应器的量，可有效控制氨逃逸；</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——烟气温度决定催化剂的效果，进而影响反应效果决定着氨逃逸率的大小。因此，需要根据锅炉负荷和燃烧情况在满足的条件下维持烟气温度在最佳范围内。一旦因为负荷问题要及时进行干预，保证烟气温度。</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eastAsia" w:eastAsia="宋体"/>
          <w:color w:val="auto"/>
          <w:sz w:val="24"/>
          <w:szCs w:val="24"/>
          <w:highlight w:val="none"/>
          <w:lang w:eastAsia="zh-CN"/>
        </w:rPr>
      </w:pPr>
      <w:r>
        <w:rPr>
          <w:rFonts w:hint="eastAsia"/>
          <w:color w:val="auto"/>
          <w:sz w:val="24"/>
          <w:szCs w:val="24"/>
          <w:highlight w:val="none"/>
          <w:lang w:eastAsia="zh-CN"/>
        </w:rPr>
        <w:t>——脱硝反应区处在高灰尘区，不可避免的会在反应区积累灰尘，积灰将会使反应变差，逃逸率增加。而炉体的吹灰往往不会有很好的效果，所以要在反应区增加吹灰器。</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eastAsia" w:eastAsia="宋体"/>
          <w:color w:val="auto"/>
          <w:sz w:val="24"/>
          <w:szCs w:val="24"/>
          <w:highlight w:val="none"/>
          <w:lang w:eastAsia="zh-CN"/>
        </w:rPr>
      </w:pPr>
      <w:r>
        <w:rPr>
          <w:rFonts w:hint="eastAsia"/>
          <w:color w:val="auto"/>
          <w:sz w:val="24"/>
          <w:szCs w:val="24"/>
          <w:highlight w:val="none"/>
          <w:lang w:eastAsia="zh-CN"/>
        </w:rPr>
        <w:t>——尿素的雾化分解情况对于脱硝反应很明显，也直接决定着氨逃逸率，而尿素能否充份的雾化分解和热风温度计风量成正比关系。具体办法：对于热风温度，当风量足够时，可适当降低一些；对于热风风量，比选严格控制，保证风量不低于设计值。</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eastAsia" w:eastAsia="宋体"/>
          <w:color w:val="auto"/>
          <w:sz w:val="24"/>
          <w:szCs w:val="24"/>
          <w:highlight w:val="none"/>
          <w:lang w:eastAsia="zh-CN"/>
        </w:rPr>
      </w:pPr>
      <w:r>
        <w:rPr>
          <w:rFonts w:hint="eastAsia"/>
          <w:color w:val="auto"/>
          <w:sz w:val="24"/>
          <w:szCs w:val="24"/>
          <w:highlight w:val="none"/>
          <w:lang w:eastAsia="zh-CN"/>
        </w:rPr>
        <w:t>——由于设计上采用的尿素溶液的浓度已经确定，在不改变尿素溶液浓度的情况下，需要调整好尿素溶液量，保证尿素能够充分雾化分解，进入反应区后不至于造成逃逸率大，或者因尿素不足造成脱硝效率低。</w:t>
      </w:r>
    </w:p>
    <w:p>
      <w:pPr>
        <w:pStyle w:val="41"/>
        <w:keepNext w:val="0"/>
        <w:keepLines w:val="0"/>
        <w:pageBreakBefore w:val="0"/>
        <w:widowControl w:val="0"/>
        <w:numPr>
          <w:ilvl w:val="0"/>
          <w:numId w:val="0"/>
        </w:numPr>
        <w:tabs>
          <w:tab w:val="left" w:pos="1621"/>
        </w:tabs>
        <w:kinsoku/>
        <w:wordWrap/>
        <w:overflowPunct/>
        <w:topLinePunct w:val="0"/>
        <w:autoSpaceDE w:val="0"/>
        <w:autoSpaceDN w:val="0"/>
        <w:bidi w:val="0"/>
        <w:adjustRightInd w:val="0"/>
        <w:snapToGrid w:val="0"/>
        <w:spacing w:before="0" w:line="360" w:lineRule="auto"/>
        <w:ind w:leftChars="0" w:firstLine="480" w:firstLineChars="200"/>
        <w:jc w:val="both"/>
        <w:textAlignment w:val="auto"/>
        <w:rPr>
          <w:rFonts w:hint="default" w:ascii="Times New Roman" w:hAnsi="Times New Roman" w:eastAsia="宋体" w:cs="Times New Roman"/>
          <w:color w:val="0000FF"/>
          <w:sz w:val="24"/>
          <w:szCs w:val="24"/>
          <w:highlight w:val="none"/>
          <w:lang w:val="en-US" w:eastAsia="zh-CN"/>
        </w:rPr>
      </w:pPr>
      <w:r>
        <w:rPr>
          <w:rFonts w:hint="eastAsia"/>
          <w:color w:val="auto"/>
          <w:sz w:val="24"/>
          <w:szCs w:val="24"/>
          <w:highlight w:val="none"/>
        </w:rPr>
        <w:t>根据</w:t>
      </w:r>
      <w:r>
        <w:rPr>
          <w:rFonts w:hint="eastAsia"/>
          <w:color w:val="auto"/>
          <w:sz w:val="24"/>
          <w:szCs w:val="24"/>
          <w:highlight w:val="none"/>
          <w:lang w:eastAsia="zh-CN"/>
        </w:rPr>
        <w:t>《</w:t>
      </w:r>
      <w:r>
        <w:rPr>
          <w:rFonts w:hint="eastAsia"/>
          <w:color w:val="auto"/>
          <w:sz w:val="24"/>
          <w:szCs w:val="24"/>
          <w:highlight w:val="none"/>
          <w:lang w:val="en-US" w:eastAsia="zh-CN"/>
        </w:rPr>
        <w:t>污染源源强核实技术指南 锅炉</w:t>
      </w:r>
      <w:r>
        <w:rPr>
          <w:rFonts w:hint="eastAsia"/>
          <w:color w:val="auto"/>
          <w:sz w:val="24"/>
          <w:szCs w:val="24"/>
          <w:highlight w:val="none"/>
          <w:lang w:eastAsia="zh-CN"/>
        </w:rPr>
        <w:t>》（</w:t>
      </w:r>
      <w:r>
        <w:rPr>
          <w:rFonts w:hint="eastAsia"/>
          <w:color w:val="auto"/>
          <w:sz w:val="24"/>
          <w:szCs w:val="24"/>
          <w:highlight w:val="none"/>
          <w:lang w:val="en-US" w:eastAsia="zh-CN"/>
        </w:rPr>
        <w:t>HJ991-2018）中附录B 流化床</w:t>
      </w:r>
      <w:r>
        <w:rPr>
          <w:color w:val="auto"/>
          <w:sz w:val="24"/>
          <w:szCs w:val="24"/>
          <w:highlight w:val="none"/>
        </w:rPr>
        <w:t>SNCR脱硝</w:t>
      </w:r>
      <w:r>
        <w:rPr>
          <w:rFonts w:hint="eastAsia"/>
          <w:color w:val="auto"/>
          <w:sz w:val="24"/>
          <w:szCs w:val="24"/>
          <w:highlight w:val="none"/>
          <w:lang w:val="en-US" w:eastAsia="zh-CN"/>
        </w:rPr>
        <w:t>效率60-80%，</w:t>
      </w:r>
      <w:r>
        <w:rPr>
          <w:rFonts w:ascii="宋体" w:hAnsi="宋体" w:eastAsia="宋体" w:cs="宋体"/>
          <w:color w:val="auto"/>
          <w:spacing w:val="-8"/>
          <w:sz w:val="24"/>
          <w:szCs w:val="24"/>
          <w:highlight w:val="none"/>
        </w:rPr>
        <w:t>根据</w:t>
      </w:r>
      <w:r>
        <w:rPr>
          <w:rFonts w:hint="default" w:ascii="Times New Roman" w:hAnsi="Times New Roman" w:eastAsia="宋体" w:cs="Times New Roman"/>
          <w:color w:val="auto"/>
          <w:sz w:val="24"/>
          <w:szCs w:val="24"/>
          <w:highlight w:val="none"/>
        </w:rPr>
        <w:t>《环境保护综合名录》</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2021年版</w:t>
      </w:r>
      <w:r>
        <w:rPr>
          <w:rFonts w:hint="eastAsia" w:ascii="Times New Roman" w:hAnsi="Times New Roman" w:eastAsia="宋体" w:cs="Times New Roman"/>
          <w:color w:val="auto"/>
          <w:sz w:val="24"/>
          <w:szCs w:val="24"/>
          <w:highlight w:val="none"/>
          <w:lang w:eastAsia="zh-CN"/>
        </w:rPr>
        <w:t>）中</w:t>
      </w:r>
      <w:r>
        <w:rPr>
          <w:rFonts w:hint="eastAsia" w:ascii="Times New Roman" w:hAnsi="Times New Roman" w:eastAsia="宋体" w:cs="Times New Roman"/>
          <w:color w:val="auto"/>
          <w:sz w:val="24"/>
          <w:szCs w:val="24"/>
          <w:highlight w:val="none"/>
          <w:lang w:val="en-US" w:eastAsia="zh-CN"/>
        </w:rPr>
        <w:t>选择性非催化还原（SNCR）脱硝成套设备性能参数</w:t>
      </w:r>
      <w:r>
        <w:rPr>
          <w:rFonts w:hint="eastAsia" w:ascii="Times New Roman" w:hAnsi="Times New Roman" w:eastAsia="宋体" w:cs="Times New Roman"/>
          <w:color w:val="auto"/>
          <w:sz w:val="24"/>
          <w:szCs w:val="24"/>
          <w:highlight w:val="none"/>
          <w:lang w:eastAsia="zh-CN"/>
        </w:rPr>
        <w:t>，脱硝效率为</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eastAsia="zh-CN"/>
        </w:rPr>
        <w:t>%～60%，“</w:t>
      </w:r>
      <w:r>
        <w:rPr>
          <w:rFonts w:hint="default" w:ascii="Times New Roman" w:hAnsi="Times New Roman" w:eastAsia="宋体" w:cs="Times New Roman"/>
          <w:color w:val="auto"/>
          <w:sz w:val="24"/>
          <w:szCs w:val="24"/>
          <w:highlight w:val="none"/>
          <w:lang w:val="en-US" w:eastAsia="zh-CN"/>
        </w:rPr>
        <w:t>氨逃逸率&lt;8ppm</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w:t>
      </w:r>
      <w:r>
        <w:rPr>
          <w:rFonts w:hint="eastAsia"/>
          <w:color w:val="0000FF"/>
          <w:sz w:val="24"/>
          <w:szCs w:val="24"/>
          <w:highlight w:val="none"/>
        </w:rPr>
        <w:t>本</w:t>
      </w:r>
      <w:r>
        <w:rPr>
          <w:rFonts w:hint="eastAsia"/>
          <w:color w:val="0000FF"/>
          <w:sz w:val="24"/>
          <w:szCs w:val="24"/>
          <w:highlight w:val="none"/>
          <w:lang w:eastAsia="zh-CN"/>
        </w:rPr>
        <w:t>项目</w:t>
      </w:r>
      <w:r>
        <w:rPr>
          <w:color w:val="0000FF"/>
          <w:sz w:val="24"/>
          <w:szCs w:val="24"/>
          <w:highlight w:val="none"/>
        </w:rPr>
        <w:t>烟气脱硝采用SNCR工艺，</w:t>
      </w:r>
      <w:r>
        <w:rPr>
          <w:rFonts w:hint="eastAsia"/>
          <w:color w:val="0000FF"/>
          <w:sz w:val="24"/>
          <w:szCs w:val="24"/>
          <w:highlight w:val="none"/>
          <w:lang w:val="en-US" w:eastAsia="zh-CN"/>
        </w:rPr>
        <w:t>设计</w:t>
      </w:r>
      <w:r>
        <w:rPr>
          <w:color w:val="0000FF"/>
          <w:sz w:val="24"/>
          <w:szCs w:val="24"/>
          <w:highlight w:val="none"/>
        </w:rPr>
        <w:t>脱硝效率≥</w:t>
      </w:r>
      <w:r>
        <w:rPr>
          <w:rFonts w:hint="eastAsia"/>
          <w:color w:val="0000FF"/>
          <w:sz w:val="24"/>
          <w:szCs w:val="24"/>
          <w:highlight w:val="none"/>
          <w:lang w:val="en-US" w:eastAsia="zh-CN"/>
        </w:rPr>
        <w:t>40</w:t>
      </w:r>
      <w:r>
        <w:rPr>
          <w:color w:val="0000FF"/>
          <w:sz w:val="24"/>
          <w:szCs w:val="24"/>
          <w:highlight w:val="none"/>
        </w:rPr>
        <w:t>%</w:t>
      </w:r>
      <w:r>
        <w:rPr>
          <w:rFonts w:hint="eastAsia"/>
          <w:color w:val="0000FF"/>
          <w:sz w:val="24"/>
          <w:szCs w:val="24"/>
          <w:highlight w:val="none"/>
          <w:lang w:eastAsia="zh-CN"/>
        </w:rPr>
        <w:t>，</w:t>
      </w:r>
      <w:r>
        <w:rPr>
          <w:rFonts w:hint="default" w:ascii="Times New Roman" w:hAnsi="Times New Roman" w:eastAsia="宋体" w:cs="Times New Roman"/>
          <w:color w:val="0000FF"/>
          <w:sz w:val="24"/>
          <w:szCs w:val="24"/>
          <w:highlight w:val="none"/>
          <w:lang w:val="en-US" w:eastAsia="zh-CN"/>
        </w:rPr>
        <w:t>氨逃逸率&lt;8</w:t>
      </w:r>
      <w:r>
        <w:rPr>
          <w:rFonts w:hint="eastAsia" w:ascii="Times New Roman" w:hAnsi="Times New Roman" w:eastAsia="宋体" w:cs="Times New Roman"/>
          <w:color w:val="0000FF"/>
          <w:sz w:val="24"/>
          <w:szCs w:val="24"/>
          <w:highlight w:val="none"/>
          <w:lang w:val="en-US" w:eastAsia="zh-CN"/>
        </w:rPr>
        <w:t>mg/m</w:t>
      </w:r>
      <w:r>
        <w:rPr>
          <w:rFonts w:hint="eastAsia"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highlight w:val="none"/>
          <w:lang w:val="en-US" w:eastAsia="zh-CN"/>
        </w:rPr>
        <w:t>。</w:t>
      </w:r>
    </w:p>
    <w:p>
      <w:pPr>
        <w:pStyle w:val="41"/>
        <w:keepNext w:val="0"/>
        <w:keepLines w:val="0"/>
        <w:pageBreakBefore w:val="0"/>
        <w:widowControl w:val="0"/>
        <w:numPr>
          <w:ilvl w:val="3"/>
          <w:numId w:val="22"/>
        </w:numPr>
        <w:tabs>
          <w:tab w:val="left" w:pos="1320"/>
        </w:tabs>
        <w:kinsoku/>
        <w:wordWrap/>
        <w:overflowPunct/>
        <w:topLinePunct w:val="0"/>
        <w:autoSpaceDE w:val="0"/>
        <w:autoSpaceDN w:val="0"/>
        <w:bidi w:val="0"/>
        <w:adjustRightInd w:val="0"/>
        <w:snapToGrid w:val="0"/>
        <w:spacing w:before="0" w:line="360" w:lineRule="auto"/>
        <w:ind w:left="0"/>
        <w:jc w:val="both"/>
        <w:textAlignment w:val="auto"/>
        <w:rPr>
          <w:rFonts w:hint="eastAsia"/>
          <w:b/>
          <w:bCs/>
          <w:sz w:val="24"/>
          <w:lang w:eastAsia="zh-CN"/>
        </w:rPr>
      </w:pPr>
      <w:r>
        <w:rPr>
          <w:rFonts w:hint="eastAsia"/>
          <w:b/>
          <w:bCs/>
          <w:sz w:val="24"/>
          <w:lang w:eastAsia="zh-CN"/>
        </w:rPr>
        <w:t>烟气除尘</w:t>
      </w:r>
    </w:p>
    <w:p>
      <w:pPr>
        <w:spacing w:line="360" w:lineRule="auto"/>
        <w:ind w:firstLine="480" w:firstLineChars="200"/>
        <w:rPr>
          <w:color w:val="auto"/>
          <w:kern w:val="0"/>
          <w:sz w:val="24"/>
          <w:szCs w:val="24"/>
          <w:highlight w:val="none"/>
        </w:rPr>
      </w:pPr>
      <w:r>
        <w:rPr>
          <w:color w:val="auto"/>
          <w:kern w:val="0"/>
          <w:sz w:val="24"/>
          <w:szCs w:val="24"/>
          <w:highlight w:val="none"/>
        </w:rPr>
        <w:t>根据《排污许可证申请与核发技术规范 锅炉》</w:t>
      </w:r>
      <w:r>
        <w:rPr>
          <w:rFonts w:hint="eastAsia"/>
          <w:color w:val="auto"/>
          <w:kern w:val="0"/>
          <w:sz w:val="24"/>
          <w:szCs w:val="24"/>
          <w:highlight w:val="none"/>
        </w:rPr>
        <w:t>（</w:t>
      </w:r>
      <w:r>
        <w:rPr>
          <w:color w:val="auto"/>
          <w:kern w:val="0"/>
          <w:sz w:val="24"/>
          <w:szCs w:val="24"/>
          <w:highlight w:val="none"/>
        </w:rPr>
        <w:t>HJ991-2018</w:t>
      </w:r>
      <w:r>
        <w:rPr>
          <w:rFonts w:hint="eastAsia"/>
          <w:color w:val="auto"/>
          <w:kern w:val="0"/>
          <w:sz w:val="24"/>
          <w:szCs w:val="24"/>
          <w:highlight w:val="none"/>
        </w:rPr>
        <w:t>）</w:t>
      </w:r>
      <w:r>
        <w:rPr>
          <w:color w:val="auto"/>
          <w:kern w:val="0"/>
          <w:sz w:val="24"/>
          <w:szCs w:val="24"/>
          <w:highlight w:val="none"/>
        </w:rPr>
        <w:t>和《工业锅炉 污染防治可行技术指南》</w:t>
      </w:r>
      <w:r>
        <w:rPr>
          <w:rFonts w:hint="eastAsia"/>
          <w:color w:val="auto"/>
          <w:kern w:val="0"/>
          <w:sz w:val="24"/>
          <w:szCs w:val="24"/>
          <w:highlight w:val="none"/>
        </w:rPr>
        <w:t>（</w:t>
      </w:r>
      <w:r>
        <w:rPr>
          <w:color w:val="auto"/>
          <w:kern w:val="0"/>
          <w:sz w:val="24"/>
          <w:szCs w:val="24"/>
          <w:highlight w:val="none"/>
        </w:rPr>
        <w:t>HJ1178-2021</w:t>
      </w:r>
      <w:r>
        <w:rPr>
          <w:rFonts w:hint="eastAsia"/>
          <w:color w:val="auto"/>
          <w:kern w:val="0"/>
          <w:sz w:val="24"/>
          <w:szCs w:val="24"/>
          <w:highlight w:val="none"/>
        </w:rPr>
        <w:t>）</w:t>
      </w:r>
      <w:r>
        <w:rPr>
          <w:color w:val="auto"/>
          <w:kern w:val="0"/>
          <w:sz w:val="24"/>
          <w:szCs w:val="24"/>
          <w:highlight w:val="none"/>
        </w:rPr>
        <w:t>中推荐可行技术，除尘方法 有电除尘器、袋式除尘器、电袋复合除尘器、湿式电除尘器等。除尘工艺技术特点，见表6</w:t>
      </w:r>
      <w:r>
        <w:rPr>
          <w:rFonts w:hint="eastAsia"/>
          <w:color w:val="auto"/>
          <w:kern w:val="0"/>
          <w:sz w:val="24"/>
          <w:szCs w:val="24"/>
          <w:highlight w:val="none"/>
        </w:rPr>
        <w:t>.</w:t>
      </w:r>
      <w:r>
        <w:rPr>
          <w:color w:val="auto"/>
          <w:kern w:val="0"/>
          <w:sz w:val="24"/>
          <w:szCs w:val="24"/>
          <w:highlight w:val="none"/>
        </w:rPr>
        <w:t>2-2。</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hint="default"/>
          <w:b/>
          <w:bCs/>
          <w:color w:val="auto"/>
          <w:sz w:val="21"/>
          <w:szCs w:val="20"/>
          <w:highlight w:val="none"/>
        </w:rPr>
      </w:pPr>
      <w:r>
        <w:rPr>
          <w:rFonts w:hint="default"/>
          <w:b/>
          <w:bCs/>
          <w:color w:val="auto"/>
          <w:sz w:val="21"/>
          <w:szCs w:val="20"/>
          <w:highlight w:val="none"/>
        </w:rPr>
        <w:t>表 6.2-2    除尘工艺技术特点比较</w:t>
      </w:r>
    </w:p>
    <w:tbl>
      <w:tblPr>
        <w:tblStyle w:val="31"/>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806"/>
        <w:gridCol w:w="1806"/>
        <w:gridCol w:w="1602"/>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设备名称</w:t>
            </w:r>
          </w:p>
        </w:tc>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电除尘器</w:t>
            </w:r>
          </w:p>
        </w:tc>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布袋除尘器</w:t>
            </w:r>
          </w:p>
        </w:tc>
        <w:tc>
          <w:tcPr>
            <w:tcW w:w="16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0070C0"/>
                <w:sz w:val="21"/>
                <w:szCs w:val="21"/>
                <w:highlight w:val="none"/>
              </w:rPr>
              <w:t>电袋复合除尘器</w:t>
            </w:r>
          </w:p>
        </w:tc>
        <w:tc>
          <w:tcPr>
            <w:tcW w:w="21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湿式电除尘器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3" w:hRule="atLeast"/>
          <w:jc w:val="center"/>
        </w:trPr>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技术特点及安全可靠性比较</w:t>
            </w:r>
          </w:p>
        </w:tc>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优点：除尘效率高、压力损失小、适用范围广、使用方便，且无二次污染、对烟气温度及烟气成分等影响不像袋式除尘器那样敏感；设备安</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全可靠性好。</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缺点：除尘效率受煤、飞灰成分的影响</w:t>
            </w:r>
          </w:p>
        </w:tc>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优点：不受煤、飞灰成分的影响，出口粉尘浓度低，且稳定；采用分室结构的能在100%负荷下在线检修。</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缺点：系统压力损失最大；对烟气温度、烟气成分较敏感；若使用不当滤袋容易破损并导致排放</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超标</w:t>
            </w:r>
          </w:p>
        </w:tc>
        <w:tc>
          <w:tcPr>
            <w:tcW w:w="16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优点：不受煤、飞灰成分的影响，出口粉尘浓度低，且稳定。破袋对排放的影响小于袋式除尘器。</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缺点：系统压力损失较大；对烟气温度、烟气成分较敏感</w:t>
            </w:r>
          </w:p>
        </w:tc>
        <w:tc>
          <w:tcPr>
            <w:tcW w:w="21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优点：收尘性能与粉尘特性无关，收集粉尘不</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受粉尘比电阻的影响；清灰时粉尘不产生二次扬尘，出口粉尘浓度可以达到很低；对可吸入性粉尘（PM</w:t>
            </w:r>
            <w:r>
              <w:rPr>
                <w:rFonts w:hint="eastAsia"/>
                <w:color w:val="auto"/>
                <w:sz w:val="21"/>
                <w:szCs w:val="21"/>
                <w:highlight w:val="none"/>
                <w:vertAlign w:val="subscript"/>
              </w:rPr>
              <w:t>2.5</w:t>
            </w:r>
            <w:r>
              <w:rPr>
                <w:rFonts w:hint="eastAsia"/>
                <w:color w:val="auto"/>
                <w:sz w:val="21"/>
                <w:szCs w:val="21"/>
                <w:highlight w:val="none"/>
              </w:rPr>
              <w:t>）颗粒的去除效率很高；对雾滴、SO</w:t>
            </w:r>
            <w:r>
              <w:rPr>
                <w:rFonts w:hint="eastAsia"/>
                <w:color w:val="auto"/>
                <w:sz w:val="21"/>
                <w:szCs w:val="21"/>
                <w:highlight w:val="none"/>
                <w:vertAlign w:val="subscript"/>
              </w:rPr>
              <w:t>3</w:t>
            </w:r>
            <w:r>
              <w:rPr>
                <w:rFonts w:hint="eastAsia"/>
                <w:color w:val="auto"/>
                <w:sz w:val="21"/>
                <w:szCs w:val="21"/>
                <w:highlight w:val="none"/>
              </w:rPr>
              <w:t>及其他重金属等都具有较好的去除效果；没有如锤击设备等运动部件，设备可靠性高。</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缺点：耗水量大、含灰废水需要二次处理。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9" w:hRule="atLeast"/>
          <w:jc w:val="center"/>
        </w:trPr>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经济性比较</w:t>
            </w:r>
          </w:p>
        </w:tc>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设备费用低；年运行费用低；经济性好</w:t>
            </w:r>
          </w:p>
        </w:tc>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设备费用低；年运行费用较高；经济性差</w:t>
            </w:r>
          </w:p>
        </w:tc>
        <w:tc>
          <w:tcPr>
            <w:tcW w:w="16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设备费用高；年运行费用高；经济性较差</w:t>
            </w:r>
          </w:p>
        </w:tc>
        <w:tc>
          <w:tcPr>
            <w:tcW w:w="21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设备费用高；年运行费用高；增加供电煤耗，经济性较差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9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占地比较</w:t>
            </w:r>
          </w:p>
        </w:tc>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占地面积较大</w:t>
            </w:r>
          </w:p>
        </w:tc>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占地面积较小</w:t>
            </w:r>
          </w:p>
        </w:tc>
        <w:tc>
          <w:tcPr>
            <w:tcW w:w="16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占地面积较大</w:t>
            </w:r>
          </w:p>
        </w:tc>
        <w:tc>
          <w:tcPr>
            <w:tcW w:w="21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rPr>
            </w:pPr>
            <w:r>
              <w:rPr>
                <w:rFonts w:hint="eastAsia"/>
                <w:color w:val="auto"/>
                <w:sz w:val="21"/>
                <w:szCs w:val="21"/>
                <w:highlight w:val="none"/>
              </w:rPr>
              <w:t>占地面积较大</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color w:val="auto"/>
          <w:highlight w:val="none"/>
        </w:rPr>
        <w:t>根据上表结果，电除尘器投资及运行费用低，但是除尘效率易受煤、飞灰成分的影响，占地面积较大；电袋复合除尘器设备费用高，年运行费用高，对烟气温度、烟气成分较敏感；湿式除尘器耗水量大、含灰废水需要二次处理，设备费用高，会增加供电煤耗；布袋除尘器设备费用低，年运行费用较高，占地面积较小，不易受煤、灰份的影响；因此，本项目从投资成本、后期运营成本、占地面积、建设周期以及环保达标要求的客观前提下，选择</w:t>
      </w:r>
      <w:r>
        <w:rPr>
          <w:rFonts w:hint="default"/>
          <w:color w:val="auto"/>
          <w:highlight w:val="none"/>
        </w:rPr>
        <w:t>布袋除尘器除尘</w:t>
      </w:r>
      <w:r>
        <w:rPr>
          <w:color w:val="auto"/>
          <w:highlight w:val="none"/>
        </w:rPr>
        <w:t>。</w:t>
      </w:r>
    </w:p>
    <w:p>
      <w:pPr>
        <w:bidi w:val="0"/>
        <w:rPr>
          <w:rFonts w:hint="eastAsia"/>
          <w:color w:val="auto"/>
          <w:highlight w:val="none"/>
        </w:rPr>
      </w:pPr>
      <w:r>
        <w:rPr>
          <w:rFonts w:hint="default"/>
          <w:color w:val="auto"/>
          <w:highlight w:val="none"/>
          <w:lang w:eastAsia="zh-CN"/>
        </w:rPr>
        <w:t>根据</w:t>
      </w:r>
      <w:r>
        <w:rPr>
          <w:rFonts w:hint="default"/>
          <w:color w:val="auto"/>
          <w:highlight w:val="none"/>
          <w:lang w:val="en-US" w:eastAsia="zh-CN"/>
        </w:rPr>
        <w:t>《工业锅炉污染防治可行技术指南》</w:t>
      </w:r>
      <w:r>
        <w:rPr>
          <w:rFonts w:hint="eastAsia"/>
          <w:color w:val="auto"/>
          <w:highlight w:val="none"/>
          <w:lang w:val="en-US" w:eastAsia="zh-CN"/>
        </w:rPr>
        <w:t>（</w:t>
      </w:r>
      <w:r>
        <w:rPr>
          <w:rFonts w:hint="default"/>
          <w:color w:val="auto"/>
          <w:highlight w:val="none"/>
          <w:lang w:val="en-US" w:eastAsia="zh-CN"/>
        </w:rPr>
        <w:t>HJ1178-2021</w:t>
      </w:r>
      <w:r>
        <w:rPr>
          <w:rFonts w:hint="eastAsia"/>
          <w:color w:val="auto"/>
          <w:highlight w:val="none"/>
          <w:lang w:val="en-US" w:eastAsia="zh-CN"/>
        </w:rPr>
        <w:t>）中颗粒物治理技术相关内容，湿式电除尘技术，</w:t>
      </w:r>
      <w:r>
        <w:rPr>
          <w:rFonts w:hint="eastAsia"/>
          <w:color w:val="auto"/>
          <w:highlight w:val="none"/>
        </w:rPr>
        <w:t>该技术常用于烟气脱硫后</w:t>
      </w:r>
      <w:r>
        <w:rPr>
          <w:rFonts w:hint="eastAsia"/>
          <w:color w:val="auto"/>
          <w:highlight w:val="none"/>
          <w:lang w:eastAsia="zh-CN"/>
        </w:rPr>
        <w:t>，</w:t>
      </w:r>
      <w:r>
        <w:rPr>
          <w:rFonts w:hint="eastAsia"/>
          <w:color w:val="auto"/>
          <w:highlight w:val="none"/>
        </w:rPr>
        <w:t>通过合理设计烟气流速、比集尘面积等参数</w:t>
      </w:r>
      <w:r>
        <w:rPr>
          <w:rFonts w:hint="eastAsia"/>
          <w:color w:val="auto"/>
          <w:highlight w:val="none"/>
          <w:lang w:eastAsia="zh-CN"/>
        </w:rPr>
        <w:t>，</w:t>
      </w:r>
      <w:r>
        <w:rPr>
          <w:rFonts w:hint="eastAsia"/>
          <w:color w:val="auto"/>
          <w:highlight w:val="none"/>
        </w:rPr>
        <w:t>实现除尘效率60%</w:t>
      </w:r>
      <w:r>
        <w:rPr>
          <w:rFonts w:hint="eastAsia"/>
          <w:color w:val="auto"/>
          <w:highlight w:val="none"/>
          <w:lang w:eastAsia="zh-CN"/>
        </w:rPr>
        <w:t>～</w:t>
      </w:r>
      <w:r>
        <w:rPr>
          <w:rFonts w:hint="eastAsia"/>
          <w:color w:val="auto"/>
          <w:highlight w:val="none"/>
        </w:rPr>
        <w:t>90%，湿式电除尘器出口颗粒物浓度可达10mg/m</w:t>
      </w:r>
      <w:r>
        <w:rPr>
          <w:rFonts w:hint="eastAsia"/>
          <w:color w:val="auto"/>
          <w:highlight w:val="none"/>
          <w:vertAlign w:val="superscript"/>
        </w:rPr>
        <w:t>3</w:t>
      </w:r>
      <w:r>
        <w:rPr>
          <w:rFonts w:hint="eastAsia"/>
          <w:color w:val="auto"/>
          <w:highlight w:val="none"/>
        </w:rPr>
        <w:t>以下。该技术分为板式湿式电除尘技术和蜂窝式湿式电除尘技术，可有效去除细颗粒物及湿法脱硫后烟气中夹带的液滴，并高效协同脱除三氧化硫</w:t>
      </w:r>
      <w:r>
        <w:rPr>
          <w:rFonts w:hint="eastAsia"/>
          <w:color w:val="auto"/>
          <w:highlight w:val="none"/>
          <w:lang w:eastAsia="zh-CN"/>
        </w:rPr>
        <w:t>（</w:t>
      </w:r>
      <w:r>
        <w:rPr>
          <w:rFonts w:hint="eastAsia"/>
          <w:color w:val="auto"/>
          <w:highlight w:val="none"/>
        </w:rPr>
        <w:t>SO</w:t>
      </w:r>
      <w:r>
        <w:rPr>
          <w:rFonts w:hint="eastAsia"/>
          <w:color w:val="auto"/>
          <w:highlight w:val="none"/>
          <w:vertAlign w:val="subscript"/>
        </w:rPr>
        <w:t>3</w:t>
      </w:r>
      <w:r>
        <w:rPr>
          <w:rFonts w:hint="eastAsia"/>
          <w:color w:val="auto"/>
          <w:highlight w:val="none"/>
          <w:lang w:eastAsia="zh-CN"/>
        </w:rPr>
        <w:t>）</w:t>
      </w:r>
      <w:r>
        <w:rPr>
          <w:rFonts w:hint="eastAsia"/>
          <w:color w:val="auto"/>
          <w:highlight w:val="none"/>
        </w:rPr>
        <w:t>、汞及其化合物等</w:t>
      </w:r>
      <w:r>
        <w:rPr>
          <w:rFonts w:hint="eastAsia"/>
          <w:color w:val="auto"/>
          <w:highlight w:val="none"/>
          <w:lang w:eastAsia="zh-CN"/>
        </w:rPr>
        <w:t>；</w:t>
      </w:r>
      <w:r>
        <w:rPr>
          <w:rFonts w:hint="eastAsia"/>
          <w:color w:val="auto"/>
          <w:highlight w:val="none"/>
        </w:rPr>
        <w:t>系统阻力小、占地面积小、投资成本较高。</w:t>
      </w:r>
    </w:p>
    <w:p>
      <w:pPr>
        <w:bidi w:val="0"/>
        <w:rPr>
          <w:rFonts w:hint="eastAsia"/>
          <w:color w:val="auto"/>
          <w:highlight w:val="none"/>
        </w:rPr>
      </w:pPr>
      <w:r>
        <w:rPr>
          <w:rFonts w:hint="eastAsia"/>
          <w:color w:val="auto"/>
          <w:highlight w:val="none"/>
          <w:lang w:eastAsia="zh-CN"/>
        </w:rPr>
        <w:t>布袋除尘技术，</w:t>
      </w:r>
      <w:r>
        <w:rPr>
          <w:rFonts w:hint="eastAsia"/>
          <w:color w:val="auto"/>
          <w:highlight w:val="none"/>
        </w:rPr>
        <w:t>通过合理选择滤料种类、过滤风速等参数，实现除尘效率99</w:t>
      </w:r>
      <w:r>
        <w:rPr>
          <w:rFonts w:hint="eastAsia"/>
          <w:color w:val="auto"/>
          <w:highlight w:val="none"/>
          <w:lang w:val="en-US" w:eastAsia="zh-CN"/>
        </w:rPr>
        <w:t>~</w:t>
      </w:r>
      <w:r>
        <w:rPr>
          <w:rFonts w:hint="eastAsia"/>
          <w:color w:val="auto"/>
          <w:highlight w:val="none"/>
        </w:rPr>
        <w:t>99</w:t>
      </w:r>
      <w:r>
        <w:rPr>
          <w:rFonts w:hint="eastAsia"/>
          <w:color w:val="auto"/>
          <w:highlight w:val="none"/>
          <w:lang w:val="en-US" w:eastAsia="zh-CN"/>
        </w:rPr>
        <w:t>.</w:t>
      </w:r>
      <w:r>
        <w:rPr>
          <w:rFonts w:hint="eastAsia"/>
          <w:color w:val="auto"/>
          <w:highlight w:val="none"/>
        </w:rPr>
        <w:t>99%。燃煤层燃炉和生物质成型燃料锅炉宜设置必要的保护措施，降低滤袋烧毁风险</w:t>
      </w:r>
      <w:r>
        <w:rPr>
          <w:rFonts w:hint="eastAsia"/>
          <w:color w:val="auto"/>
          <w:highlight w:val="none"/>
          <w:lang w:eastAsia="zh-CN"/>
        </w:rPr>
        <w:t>；</w:t>
      </w:r>
      <w:r>
        <w:rPr>
          <w:rFonts w:hint="eastAsia"/>
          <w:color w:val="auto"/>
          <w:highlight w:val="none"/>
        </w:rPr>
        <w:t>系统阻力相对较大、占地面积小、投资成本低，滤袋更换成本高。</w:t>
      </w:r>
    </w:p>
    <w:p>
      <w:pPr>
        <w:bidi w:val="0"/>
        <w:rPr>
          <w:rFonts w:hint="default"/>
          <w:color w:val="auto"/>
          <w:highlight w:val="none"/>
          <w:lang w:eastAsia="zh-CN"/>
        </w:rPr>
      </w:pPr>
      <w:r>
        <w:rPr>
          <w:rFonts w:hint="eastAsia"/>
          <w:color w:val="auto"/>
          <w:highlight w:val="none"/>
        </w:rPr>
        <w:t>《工业锅炉污染防治可行技术指南》（HJ1178-2021）污染防治</w:t>
      </w:r>
      <w:r>
        <w:rPr>
          <w:rFonts w:hint="eastAsia"/>
          <w:color w:val="auto"/>
          <w:highlight w:val="none"/>
          <w:lang w:eastAsia="zh-CN"/>
        </w:rPr>
        <w:t>技术符合</w:t>
      </w:r>
      <w:r>
        <w:rPr>
          <w:rFonts w:hint="eastAsia"/>
          <w:color w:val="auto"/>
          <w:highlight w:val="none"/>
        </w:rPr>
        <w:t>可行技术</w:t>
      </w:r>
      <w:r>
        <w:rPr>
          <w:rFonts w:hint="eastAsia"/>
          <w:color w:val="auto"/>
          <w:highlight w:val="none"/>
          <w:lang w:val="en-US" w:eastAsia="zh-CN"/>
        </w:rPr>
        <w:t>1</w:t>
      </w:r>
      <w:r>
        <w:rPr>
          <w:rFonts w:hint="eastAsia"/>
          <w:color w:val="auto"/>
          <w:highlight w:val="none"/>
        </w:rPr>
        <w:t>的相关规定，</w:t>
      </w:r>
      <w:r>
        <w:rPr>
          <w:rFonts w:hint="eastAsia"/>
          <w:color w:val="auto"/>
          <w:highlight w:val="none"/>
          <w:lang w:eastAsia="zh-CN"/>
        </w:rPr>
        <w:t>可行技术</w:t>
      </w:r>
      <w:r>
        <w:rPr>
          <w:rFonts w:hint="eastAsia"/>
          <w:color w:val="auto"/>
          <w:highlight w:val="none"/>
          <w:lang w:val="en-US" w:eastAsia="zh-CN"/>
        </w:rPr>
        <w:t>1种推荐除尘措施是袋式除尘或者电袋复合除尘。先脱硝，再除尘，最后再脱硫。而湿式电除尘技术是脱硫工序后的除尘措施。查阅和调查其他燃煤锅炉，采用袋式除尘较为广泛，应用技术成熟。</w:t>
      </w:r>
    </w:p>
    <w:p>
      <w:pPr>
        <w:bidi w:val="0"/>
        <w:rPr>
          <w:color w:val="auto"/>
          <w:kern w:val="0"/>
          <w:szCs w:val="24"/>
          <w:highlight w:val="none"/>
        </w:rPr>
      </w:pPr>
      <w:r>
        <w:rPr>
          <w:color w:val="auto"/>
          <w:highlight w:val="none"/>
        </w:rPr>
        <w:t>本项目采取</w:t>
      </w:r>
      <w:r>
        <w:rPr>
          <w:rFonts w:hint="eastAsia"/>
          <w:color w:val="auto"/>
          <w:highlight w:val="none"/>
        </w:rPr>
        <w:t>布袋除尘</w:t>
      </w:r>
      <w:r>
        <w:rPr>
          <w:color w:val="auto"/>
          <w:highlight w:val="none"/>
        </w:rPr>
        <w:t>技术后，锅炉燃烧烟气</w:t>
      </w:r>
      <w:r>
        <w:rPr>
          <w:rFonts w:hint="eastAsia"/>
          <w:color w:val="auto"/>
          <w:highlight w:val="none"/>
        </w:rPr>
        <w:t>颗粒物</w:t>
      </w:r>
      <w:r>
        <w:rPr>
          <w:color w:val="auto"/>
          <w:highlight w:val="none"/>
        </w:rPr>
        <w:t>排放浓度满足</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火电厂大气污染物排放标准</w:t>
      </w:r>
      <w:r>
        <w:rPr>
          <w:rFonts w:ascii="Times New Roman" w:hAnsi="Times New Roman" w:cs="Times New Roman"/>
          <w:color w:val="auto"/>
          <w:highlight w:val="none"/>
        </w:rPr>
        <w:t>》（GB</w:t>
      </w:r>
      <w:r>
        <w:rPr>
          <w:rFonts w:hint="eastAsia" w:ascii="Times New Roman" w:hAnsi="Times New Roman" w:cs="Times New Roman"/>
          <w:color w:val="auto"/>
          <w:highlight w:val="none"/>
          <w:lang w:val="en-US" w:eastAsia="zh-CN"/>
        </w:rPr>
        <w:t>13223</w:t>
      </w:r>
      <w:r>
        <w:rPr>
          <w:rFonts w:ascii="Times New Roman" w:hAnsi="Times New Roman" w:cs="Times New Roman"/>
          <w:color w:val="auto"/>
          <w:highlight w:val="none"/>
        </w:rPr>
        <w:t>-201</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cs="Times New Roman"/>
          <w:color w:val="auto"/>
          <w:highlight w:val="none"/>
          <w:lang w:eastAsia="zh-CN"/>
        </w:rPr>
        <w:t>表</w:t>
      </w:r>
      <w:r>
        <w:rPr>
          <w:rFonts w:hint="eastAsia" w:cs="Times New Roman"/>
          <w:color w:val="auto"/>
          <w:highlight w:val="none"/>
          <w:lang w:val="en-US" w:eastAsia="zh-CN"/>
        </w:rPr>
        <w:t>1</w:t>
      </w:r>
      <w:r>
        <w:rPr>
          <w:rFonts w:hint="eastAsia" w:cs="Times New Roman"/>
          <w:color w:val="auto"/>
          <w:highlight w:val="none"/>
          <w:lang w:eastAsia="zh-CN"/>
        </w:rPr>
        <w:t>火力发电锅炉及燃气轮机组大气污染物排放浓度限值中燃煤锅炉限值要求</w:t>
      </w:r>
      <w:r>
        <w:rPr>
          <w:color w:val="auto"/>
          <w:highlight w:val="none"/>
        </w:rPr>
        <w:t>，防治措施可行。</w:t>
      </w:r>
    </w:p>
    <w:p>
      <w:pPr>
        <w:bidi w:val="0"/>
        <w:rPr>
          <w:b/>
          <w:bCs/>
          <w:color w:val="auto"/>
          <w:highlight w:val="none"/>
        </w:rPr>
      </w:pPr>
      <w:r>
        <w:rPr>
          <w:b/>
          <w:bCs/>
          <w:color w:val="auto"/>
          <w:highlight w:val="none"/>
        </w:rPr>
        <w:t>布袋除尘器</w:t>
      </w:r>
    </w:p>
    <w:p>
      <w:pPr>
        <w:bidi w:val="0"/>
        <w:rPr>
          <w:color w:val="auto"/>
          <w:highlight w:val="none"/>
        </w:rPr>
      </w:pPr>
      <w:r>
        <w:rPr>
          <w:color w:val="auto"/>
          <w:highlight w:val="none"/>
        </w:rPr>
        <w:t>①工作原理</w:t>
      </w:r>
    </w:p>
    <w:p>
      <w:pPr>
        <w:bidi w:val="0"/>
        <w:rPr>
          <w:color w:val="auto"/>
          <w:highlight w:val="none"/>
        </w:rPr>
      </w:pPr>
      <w:r>
        <w:rPr>
          <w:color w:val="auto"/>
          <w:highlight w:val="none"/>
        </w:rPr>
        <w:t>布袋除尘器是以一定的过滤材料，使含尘气体通过过滤材料来达到分离气体中固体粉尘的一种高效除尘设备。布袋除尘器脉冲的清灰技术和合成纤维滤料的应用，为其进一步发展提供了有利条件。目前，在各种高效除尘设备中，布袋除尘器是最有竞争力的一种。</w:t>
      </w:r>
    </w:p>
    <w:p>
      <w:pPr>
        <w:bidi w:val="0"/>
        <w:rPr>
          <w:color w:val="auto"/>
          <w:highlight w:val="none"/>
        </w:rPr>
      </w:pPr>
      <w:r>
        <w:rPr>
          <w:color w:val="auto"/>
          <w:highlight w:val="none"/>
        </w:rPr>
        <w:t>②布袋除尘器的优点</w:t>
      </w:r>
    </w:p>
    <w:p>
      <w:pPr>
        <w:bidi w:val="0"/>
        <w:rPr>
          <w:color w:val="auto"/>
          <w:highlight w:val="none"/>
        </w:rPr>
      </w:pPr>
      <w:r>
        <w:rPr>
          <w:color w:val="auto"/>
          <w:highlight w:val="none"/>
        </w:rPr>
        <w:t>除尘效率高，一般在99.5%以上，对亚微米粒径的细尘有较高的去除效率。</w:t>
      </w:r>
    </w:p>
    <w:p>
      <w:pPr>
        <w:bidi w:val="0"/>
        <w:rPr>
          <w:color w:val="auto"/>
          <w:highlight w:val="none"/>
        </w:rPr>
      </w:pPr>
      <w:r>
        <w:rPr>
          <w:color w:val="auto"/>
          <w:highlight w:val="none"/>
        </w:rPr>
        <w:t>b. 处理风量的范围广，减少大气污染物的排放。</w:t>
      </w:r>
    </w:p>
    <w:p>
      <w:pPr>
        <w:bidi w:val="0"/>
        <w:rPr>
          <w:color w:val="auto"/>
          <w:highlight w:val="none"/>
        </w:rPr>
      </w:pPr>
      <w:r>
        <w:rPr>
          <w:color w:val="auto"/>
          <w:highlight w:val="none"/>
        </w:rPr>
        <w:t>c. 结构简单，维护操作方便。</w:t>
      </w:r>
    </w:p>
    <w:p>
      <w:pPr>
        <w:bidi w:val="0"/>
        <w:rPr>
          <w:color w:val="auto"/>
          <w:highlight w:val="none"/>
        </w:rPr>
      </w:pPr>
      <w:r>
        <w:rPr>
          <w:color w:val="auto"/>
          <w:highlight w:val="none"/>
        </w:rPr>
        <w:t>d. 在保证同样高除尘效率的前提下，造价低于电除尘器。</w:t>
      </w:r>
    </w:p>
    <w:p>
      <w:pPr>
        <w:bidi w:val="0"/>
        <w:rPr>
          <w:color w:val="auto"/>
          <w:highlight w:val="none"/>
        </w:rPr>
      </w:pPr>
      <w:r>
        <w:rPr>
          <w:color w:val="auto"/>
          <w:highlight w:val="none"/>
        </w:rPr>
        <w:t>e. 采用玻璃纤维、聚四氟乙烯、P84等耐高温滤料时，可在200℃以上的高温条件下运行。</w:t>
      </w:r>
    </w:p>
    <w:p>
      <w:pPr>
        <w:bidi w:val="0"/>
        <w:rPr>
          <w:color w:val="auto"/>
          <w:highlight w:val="none"/>
        </w:rPr>
      </w:pPr>
      <w:r>
        <w:rPr>
          <w:color w:val="auto"/>
          <w:highlight w:val="none"/>
        </w:rPr>
        <w:t>f. 对粉尘的特性不敏感，不受粉尘及电阻的影响。</w:t>
      </w:r>
    </w:p>
    <w:p>
      <w:pPr>
        <w:bidi w:val="0"/>
        <w:rPr>
          <w:color w:val="auto"/>
          <w:highlight w:val="none"/>
        </w:rPr>
      </w:pPr>
      <w:r>
        <w:rPr>
          <w:color w:val="auto"/>
          <w:highlight w:val="none"/>
        </w:rPr>
        <w:t>气体从设于灰斗上部</w:t>
      </w:r>
      <w:r>
        <w:rPr>
          <w:rFonts w:hint="eastAsia"/>
          <w:color w:val="auto"/>
          <w:highlight w:val="none"/>
        </w:rPr>
        <w:t>进入</w:t>
      </w:r>
      <w:r>
        <w:rPr>
          <w:color w:val="auto"/>
          <w:highlight w:val="none"/>
        </w:rPr>
        <w:t>后，受挡风板挡风作用，开始向上流动，使流动速度减慢，大颗粒粉尘在惯性作用下进入灰斗。气体在滤袋中被过滤净化，滤出的粉尘被截留于滤袋表面，气体则通过出风口排出。滤袋表面持续积累粉尘，会使进口和出口的压力差升高。在阻力上升至设定值以后，系统自动开始清灰。</w:t>
      </w:r>
    </w:p>
    <w:p>
      <w:pPr>
        <w:bidi w:val="0"/>
        <w:rPr>
          <w:rFonts w:ascii="Times New Roman" w:hAnsi="Times New Roman" w:cs="Times New Roman"/>
          <w:color w:val="auto"/>
          <w:highlight w:val="none"/>
        </w:rPr>
      </w:pPr>
      <w:r>
        <w:rPr>
          <w:color w:val="auto"/>
          <w:highlight w:val="none"/>
        </w:rPr>
        <w:t>其过程为：电磁阀在接收到信号之后开始工作，排出压缩空气，因小膜片两端实际受力有所改变，所以排气通道将被打开，压缩空气从这一通道排出，促使大膜片的两端也出现受力变化，使其发生动作，打开输出口，压缩空气先后经过输出管与喷吹管，最后进入到袋中，完成清灰。待信号停止以后，控制电磁阀关闭，且大、小膜片均回到初始位置，完成喷吹。</w:t>
      </w:r>
    </w:p>
    <w:p>
      <w:pPr>
        <w:pStyle w:val="41"/>
        <w:keepNext w:val="0"/>
        <w:keepLines w:val="0"/>
        <w:pageBreakBefore w:val="0"/>
        <w:widowControl w:val="0"/>
        <w:numPr>
          <w:ilvl w:val="3"/>
          <w:numId w:val="22"/>
        </w:numPr>
        <w:tabs>
          <w:tab w:val="left" w:pos="1320"/>
        </w:tabs>
        <w:kinsoku/>
        <w:wordWrap/>
        <w:overflowPunct/>
        <w:topLinePunct w:val="0"/>
        <w:autoSpaceDE w:val="0"/>
        <w:autoSpaceDN w:val="0"/>
        <w:bidi w:val="0"/>
        <w:adjustRightInd w:val="0"/>
        <w:snapToGrid w:val="0"/>
        <w:spacing w:before="0" w:line="360" w:lineRule="auto"/>
        <w:ind w:left="0"/>
        <w:jc w:val="both"/>
        <w:textAlignment w:val="auto"/>
        <w:rPr>
          <w:rFonts w:hint="eastAsia"/>
          <w:b/>
          <w:bCs/>
          <w:sz w:val="24"/>
          <w:lang w:eastAsia="zh-CN"/>
        </w:rPr>
      </w:pPr>
      <w:r>
        <w:rPr>
          <w:rFonts w:hint="eastAsia"/>
          <w:b/>
          <w:bCs/>
          <w:sz w:val="24"/>
          <w:lang w:eastAsia="zh-CN"/>
        </w:rPr>
        <w:t>烟气脱硫</w:t>
      </w:r>
    </w:p>
    <w:p>
      <w:pPr>
        <w:spacing w:before="0" w:line="360" w:lineRule="auto"/>
        <w:ind w:firstLine="480" w:firstLineChars="200"/>
        <w:jc w:val="left"/>
        <w:rPr>
          <w:rFonts w:hint="eastAsia" w:ascii="宋体" w:hAnsi="宋体" w:cs="宋体"/>
          <w:b/>
          <w:bCs/>
          <w:color w:val="auto"/>
          <w:kern w:val="0"/>
          <w:szCs w:val="21"/>
          <w:highlight w:val="none"/>
        </w:rPr>
      </w:pPr>
      <w:r>
        <w:rPr>
          <w:color w:val="auto"/>
          <w:kern w:val="0"/>
          <w:sz w:val="24"/>
          <w:szCs w:val="24"/>
          <w:highlight w:val="none"/>
        </w:rPr>
        <w:t>根据《排污许可证申请与核发技术规范 锅炉》</w:t>
      </w:r>
      <w:r>
        <w:rPr>
          <w:rFonts w:hint="eastAsia"/>
          <w:color w:val="auto"/>
          <w:kern w:val="0"/>
          <w:sz w:val="24"/>
          <w:szCs w:val="24"/>
          <w:highlight w:val="none"/>
        </w:rPr>
        <w:t>（</w:t>
      </w:r>
      <w:r>
        <w:rPr>
          <w:color w:val="auto"/>
          <w:kern w:val="0"/>
          <w:sz w:val="24"/>
          <w:szCs w:val="24"/>
          <w:highlight w:val="none"/>
        </w:rPr>
        <w:t>HJ991-2018</w:t>
      </w:r>
      <w:r>
        <w:rPr>
          <w:rFonts w:hint="eastAsia"/>
          <w:color w:val="auto"/>
          <w:kern w:val="0"/>
          <w:sz w:val="24"/>
          <w:szCs w:val="24"/>
          <w:highlight w:val="none"/>
        </w:rPr>
        <w:t>）</w:t>
      </w:r>
      <w:r>
        <w:rPr>
          <w:color w:val="auto"/>
          <w:kern w:val="0"/>
          <w:sz w:val="24"/>
          <w:szCs w:val="24"/>
          <w:highlight w:val="none"/>
        </w:rPr>
        <w:t>和《工业锅炉 污染防治可行技术指南》</w:t>
      </w:r>
      <w:r>
        <w:rPr>
          <w:rFonts w:hint="eastAsia"/>
          <w:color w:val="auto"/>
          <w:kern w:val="0"/>
          <w:sz w:val="24"/>
          <w:szCs w:val="24"/>
          <w:highlight w:val="none"/>
        </w:rPr>
        <w:t>（</w:t>
      </w:r>
      <w:r>
        <w:rPr>
          <w:color w:val="auto"/>
          <w:kern w:val="0"/>
          <w:sz w:val="24"/>
          <w:szCs w:val="24"/>
          <w:highlight w:val="none"/>
        </w:rPr>
        <w:t>HJ1178-2021</w:t>
      </w:r>
      <w:r>
        <w:rPr>
          <w:rFonts w:hint="eastAsia"/>
          <w:color w:val="auto"/>
          <w:kern w:val="0"/>
          <w:sz w:val="24"/>
          <w:szCs w:val="24"/>
          <w:highlight w:val="none"/>
        </w:rPr>
        <w:t>）</w:t>
      </w:r>
      <w:r>
        <w:rPr>
          <w:color w:val="auto"/>
          <w:kern w:val="0"/>
          <w:sz w:val="24"/>
          <w:szCs w:val="24"/>
          <w:highlight w:val="none"/>
        </w:rPr>
        <w:t>中推荐可行技术，燃煤层燃炉脱硫方法有石灰石/石灰</w:t>
      </w:r>
      <w:r>
        <w:rPr>
          <w:rFonts w:hint="eastAsia"/>
          <w:color w:val="auto"/>
          <w:kern w:val="0"/>
          <w:sz w:val="24"/>
          <w:szCs w:val="24"/>
          <w:highlight w:val="none"/>
        </w:rPr>
        <w:t>－</w:t>
      </w:r>
      <w:r>
        <w:rPr>
          <w:color w:val="auto"/>
          <w:kern w:val="0"/>
          <w:sz w:val="24"/>
          <w:szCs w:val="24"/>
          <w:highlight w:val="none"/>
        </w:rPr>
        <w:t>石膏法、钠碱法、氧化镁法等，脱硫技术特点见，表6</w:t>
      </w:r>
      <w:r>
        <w:rPr>
          <w:rFonts w:hint="eastAsia"/>
          <w:color w:val="auto"/>
          <w:kern w:val="0"/>
          <w:sz w:val="24"/>
          <w:szCs w:val="24"/>
          <w:highlight w:val="none"/>
        </w:rPr>
        <w:t>.</w:t>
      </w:r>
      <w:r>
        <w:rPr>
          <w:color w:val="auto"/>
          <w:kern w:val="0"/>
          <w:sz w:val="24"/>
          <w:szCs w:val="24"/>
          <w:highlight w:val="none"/>
        </w:rPr>
        <w:t>2-3。</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eastAsia" w:ascii="宋体" w:hAnsi="宋体" w:cs="宋体"/>
          <w:b/>
          <w:bCs/>
          <w:color w:val="auto"/>
          <w:kern w:val="0"/>
          <w:szCs w:val="21"/>
          <w:highlight w:val="none"/>
        </w:rPr>
      </w:pPr>
      <w:r>
        <w:rPr>
          <w:rFonts w:hint="default" w:ascii="Times New Roman" w:hAnsi="Times New Roman" w:cs="Times New Roman"/>
          <w:b/>
          <w:bCs/>
          <w:color w:val="auto"/>
          <w:kern w:val="0"/>
          <w:sz w:val="21"/>
          <w:szCs w:val="18"/>
          <w:highlight w:val="none"/>
        </w:rPr>
        <w:t>表6.2-3    工业锅炉脱硫技术特点表</w:t>
      </w:r>
    </w:p>
    <w:p>
      <w:pPr>
        <w:spacing w:line="37" w:lineRule="exact"/>
        <w:rPr>
          <w:color w:val="auto"/>
          <w:highlight w:val="none"/>
        </w:rPr>
      </w:pPr>
    </w:p>
    <w:tbl>
      <w:tblPr>
        <w:tblStyle w:val="31"/>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540"/>
        <w:gridCol w:w="2391"/>
        <w:gridCol w:w="2799"/>
        <w:gridCol w:w="2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110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工艺名称</w:t>
            </w:r>
          </w:p>
        </w:tc>
        <w:tc>
          <w:tcPr>
            <w:tcW w:w="23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石灰/石膏湿</w:t>
            </w:r>
            <w:r>
              <w:rPr>
                <w:rFonts w:hint="default" w:ascii="Times New Roman" w:hAnsi="Times New Roman" w:eastAsia="宋体" w:cs="Times New Roman"/>
                <w:color w:val="auto"/>
                <w:spacing w:val="2"/>
                <w:sz w:val="21"/>
                <w:szCs w:val="21"/>
                <w:highlight w:val="none"/>
                <w:lang w:eastAsia="zh-CN"/>
              </w:rPr>
              <w:t>法</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钠碱</w:t>
            </w:r>
            <w:r>
              <w:rPr>
                <w:rFonts w:hint="default" w:ascii="Times New Roman" w:hAnsi="Times New Roman" w:eastAsia="宋体" w:cs="Times New Roman"/>
                <w:color w:val="auto"/>
                <w:sz w:val="21"/>
                <w:szCs w:val="21"/>
                <w:highlight w:val="none"/>
              </w:rPr>
              <w:t>法</w:t>
            </w:r>
          </w:p>
        </w:tc>
        <w:tc>
          <w:tcPr>
            <w:tcW w:w="24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氧化镁法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8" w:hRule="atLeast"/>
          <w:jc w:val="center"/>
        </w:trPr>
        <w:tc>
          <w:tcPr>
            <w:tcW w:w="110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脱硫原理</w:t>
            </w:r>
          </w:p>
        </w:tc>
        <w:tc>
          <w:tcPr>
            <w:tcW w:w="23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利用石灰/石灰石粉料浆洗涤烟气，使石灰石与烟气中的SO</w:t>
            </w:r>
            <w:r>
              <w:rPr>
                <w:rFonts w:hint="default"/>
                <w:color w:val="auto"/>
                <w:sz w:val="21"/>
                <w:szCs w:val="20"/>
                <w:highlight w:val="none"/>
                <w:vertAlign w:val="subscript"/>
              </w:rPr>
              <w:t>2</w:t>
            </w:r>
            <w:r>
              <w:rPr>
                <w:rFonts w:hint="default"/>
                <w:color w:val="auto"/>
                <w:sz w:val="21"/>
                <w:szCs w:val="20"/>
                <w:highlight w:val="none"/>
              </w:rPr>
              <w:t>反应生成CaSO</w:t>
            </w:r>
            <w:r>
              <w:rPr>
                <w:rFonts w:hint="default"/>
                <w:color w:val="auto"/>
                <w:sz w:val="21"/>
                <w:szCs w:val="20"/>
                <w:highlight w:val="none"/>
                <w:vertAlign w:val="subscript"/>
              </w:rPr>
              <w:t>3</w:t>
            </w:r>
            <w:r>
              <w:rPr>
                <w:rFonts w:hint="default"/>
                <w:color w:val="auto"/>
                <w:sz w:val="21"/>
                <w:szCs w:val="20"/>
                <w:highlight w:val="none"/>
              </w:rPr>
              <w:t xml:space="preserve"> ，CaSO</w:t>
            </w:r>
            <w:r>
              <w:rPr>
                <w:rFonts w:hint="default"/>
                <w:color w:val="auto"/>
                <w:sz w:val="21"/>
                <w:szCs w:val="20"/>
                <w:highlight w:val="none"/>
                <w:vertAlign w:val="subscript"/>
              </w:rPr>
              <w:t>3</w:t>
            </w:r>
            <w:r>
              <w:rPr>
                <w:rFonts w:hint="default"/>
                <w:color w:val="auto"/>
                <w:sz w:val="21"/>
                <w:szCs w:val="20"/>
                <w:highlight w:val="none"/>
              </w:rPr>
              <w:t xml:space="preserve"> 氧化为CaSO</w:t>
            </w:r>
            <w:r>
              <w:rPr>
                <w:rFonts w:hint="default"/>
                <w:color w:val="auto"/>
                <w:sz w:val="21"/>
                <w:szCs w:val="20"/>
                <w:highlight w:val="none"/>
                <w:vertAlign w:val="subscript"/>
              </w:rPr>
              <w:t>4</w:t>
            </w:r>
            <w:r>
              <w:rPr>
                <w:rFonts w:hint="default"/>
                <w:color w:val="auto"/>
                <w:sz w:val="21"/>
                <w:szCs w:val="20"/>
                <w:highlight w:val="none"/>
              </w:rPr>
              <w:t>，使 SO</w:t>
            </w:r>
            <w:r>
              <w:rPr>
                <w:rFonts w:hint="default"/>
                <w:color w:val="auto"/>
                <w:sz w:val="21"/>
                <w:szCs w:val="20"/>
                <w:highlight w:val="none"/>
                <w:vertAlign w:val="subscript"/>
              </w:rPr>
              <w:t>2</w:t>
            </w:r>
            <w:r>
              <w:rPr>
                <w:rFonts w:hint="default"/>
                <w:color w:val="auto"/>
                <w:sz w:val="21"/>
                <w:szCs w:val="20"/>
                <w:highlight w:val="none"/>
              </w:rPr>
              <w:t>以石膏的形式析出</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采用 NaOH、Na</w:t>
            </w:r>
            <w:r>
              <w:rPr>
                <w:rFonts w:hint="default"/>
                <w:color w:val="auto"/>
                <w:sz w:val="21"/>
                <w:szCs w:val="20"/>
                <w:highlight w:val="none"/>
                <w:vertAlign w:val="subscript"/>
              </w:rPr>
              <w:t>2</w:t>
            </w:r>
            <w:r>
              <w:rPr>
                <w:rFonts w:hint="default"/>
                <w:color w:val="auto"/>
                <w:sz w:val="21"/>
                <w:szCs w:val="20"/>
                <w:highlight w:val="none"/>
              </w:rPr>
              <w:t>CO</w:t>
            </w:r>
            <w:r>
              <w:rPr>
                <w:rFonts w:hint="default"/>
                <w:color w:val="auto"/>
                <w:sz w:val="21"/>
                <w:szCs w:val="20"/>
                <w:highlight w:val="none"/>
                <w:vertAlign w:val="subscript"/>
              </w:rPr>
              <w:t>3</w:t>
            </w:r>
            <w:r>
              <w:rPr>
                <w:rFonts w:hint="default"/>
                <w:color w:val="auto"/>
                <w:sz w:val="21"/>
                <w:szCs w:val="20"/>
                <w:highlight w:val="none"/>
              </w:rPr>
              <w:t>等溶液吸收烟气中的SO</w:t>
            </w:r>
            <w:r>
              <w:rPr>
                <w:rFonts w:hint="default"/>
                <w:color w:val="auto"/>
                <w:sz w:val="21"/>
                <w:szCs w:val="20"/>
                <w:highlight w:val="none"/>
                <w:vertAlign w:val="subscript"/>
              </w:rPr>
              <w:t>2</w:t>
            </w:r>
            <w:r>
              <w:rPr>
                <w:rFonts w:hint="default"/>
                <w:color w:val="auto"/>
                <w:sz w:val="21"/>
                <w:szCs w:val="20"/>
                <w:highlight w:val="none"/>
              </w:rPr>
              <w:t>，生成Na</w:t>
            </w:r>
            <w:r>
              <w:rPr>
                <w:rFonts w:hint="default"/>
                <w:color w:val="auto"/>
                <w:sz w:val="21"/>
                <w:szCs w:val="20"/>
                <w:highlight w:val="none"/>
                <w:vertAlign w:val="subscript"/>
              </w:rPr>
              <w:t>2</w:t>
            </w:r>
            <w:r>
              <w:rPr>
                <w:rFonts w:hint="default"/>
                <w:color w:val="auto"/>
                <w:sz w:val="21"/>
                <w:szCs w:val="20"/>
                <w:highlight w:val="none"/>
              </w:rPr>
              <w:t>SO</w:t>
            </w:r>
            <w:r>
              <w:rPr>
                <w:rFonts w:hint="default"/>
                <w:color w:val="auto"/>
                <w:sz w:val="21"/>
                <w:szCs w:val="20"/>
                <w:highlight w:val="none"/>
                <w:vertAlign w:val="subscript"/>
              </w:rPr>
              <w:t>3</w:t>
            </w:r>
            <w:r>
              <w:rPr>
                <w:rFonts w:hint="default"/>
                <w:color w:val="auto"/>
                <w:sz w:val="21"/>
                <w:szCs w:val="20"/>
                <w:highlight w:val="none"/>
              </w:rPr>
              <w:t>、NaHSO</w:t>
            </w:r>
            <w:r>
              <w:rPr>
                <w:rFonts w:hint="default"/>
                <w:color w:val="auto"/>
                <w:sz w:val="21"/>
                <w:szCs w:val="20"/>
                <w:highlight w:val="none"/>
                <w:vertAlign w:val="subscript"/>
              </w:rPr>
              <w:t>3</w:t>
            </w:r>
            <w:r>
              <w:rPr>
                <w:rFonts w:hint="default"/>
                <w:color w:val="auto"/>
                <w:sz w:val="21"/>
                <w:szCs w:val="20"/>
                <w:highlight w:val="none"/>
              </w:rPr>
              <w:t>，再用石灰将吸收液再生，生成CaSO</w:t>
            </w:r>
            <w:r>
              <w:rPr>
                <w:rFonts w:hint="default"/>
                <w:color w:val="auto"/>
                <w:sz w:val="21"/>
                <w:szCs w:val="20"/>
                <w:highlight w:val="none"/>
                <w:vertAlign w:val="subscript"/>
              </w:rPr>
              <w:t>3</w:t>
            </w:r>
            <w:r>
              <w:rPr>
                <w:rFonts w:hint="default"/>
                <w:color w:val="auto"/>
                <w:sz w:val="21"/>
                <w:szCs w:val="20"/>
                <w:highlight w:val="none"/>
              </w:rPr>
              <w:t>，吸收液循环使用，CaSO</w:t>
            </w:r>
            <w:r>
              <w:rPr>
                <w:rFonts w:hint="default"/>
                <w:color w:val="auto"/>
                <w:sz w:val="21"/>
                <w:szCs w:val="20"/>
                <w:highlight w:val="none"/>
                <w:vertAlign w:val="subscript"/>
              </w:rPr>
              <w:t>3</w:t>
            </w:r>
            <w:r>
              <w:rPr>
                <w:rFonts w:hint="default"/>
                <w:color w:val="auto"/>
                <w:sz w:val="21"/>
                <w:szCs w:val="20"/>
                <w:highlight w:val="none"/>
              </w:rPr>
              <w:t>氧化为 CaSO</w:t>
            </w:r>
            <w:r>
              <w:rPr>
                <w:rFonts w:hint="default"/>
                <w:color w:val="auto"/>
                <w:sz w:val="21"/>
                <w:szCs w:val="20"/>
                <w:highlight w:val="none"/>
                <w:vertAlign w:val="subscript"/>
              </w:rPr>
              <w:t>4</w:t>
            </w:r>
            <w:r>
              <w:rPr>
                <w:rFonts w:hint="default"/>
                <w:color w:val="auto"/>
                <w:sz w:val="21"/>
                <w:szCs w:val="20"/>
                <w:highlight w:val="none"/>
              </w:rPr>
              <w:t xml:space="preserve"> ，使SO</w:t>
            </w:r>
            <w:r>
              <w:rPr>
                <w:rFonts w:hint="default"/>
                <w:color w:val="auto"/>
                <w:sz w:val="21"/>
                <w:szCs w:val="20"/>
                <w:highlight w:val="none"/>
                <w:vertAlign w:val="subscript"/>
              </w:rPr>
              <w:t>2</w:t>
            </w:r>
            <w:r>
              <w:rPr>
                <w:rFonts w:hint="default"/>
                <w:color w:val="auto"/>
                <w:sz w:val="21"/>
                <w:szCs w:val="20"/>
                <w:highlight w:val="none"/>
              </w:rPr>
              <w:t>以石膏的形式析出</w:t>
            </w:r>
          </w:p>
        </w:tc>
        <w:tc>
          <w:tcPr>
            <w:tcW w:w="24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利用MgO 浆液吸收 SO</w:t>
            </w:r>
            <w:r>
              <w:rPr>
                <w:rFonts w:hint="default"/>
                <w:color w:val="auto"/>
                <w:sz w:val="21"/>
                <w:szCs w:val="20"/>
                <w:highlight w:val="none"/>
                <w:vertAlign w:val="subscript"/>
              </w:rPr>
              <w:t>2</w:t>
            </w:r>
            <w:r>
              <w:rPr>
                <w:rFonts w:hint="default"/>
                <w:color w:val="auto"/>
                <w:sz w:val="21"/>
                <w:szCs w:val="20"/>
                <w:highlight w:val="none"/>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生成含水MgSO</w:t>
            </w:r>
            <w:r>
              <w:rPr>
                <w:rFonts w:hint="default"/>
                <w:color w:val="auto"/>
                <w:sz w:val="21"/>
                <w:szCs w:val="20"/>
                <w:highlight w:val="none"/>
                <w:vertAlign w:val="subscript"/>
              </w:rPr>
              <w:t>3</w:t>
            </w:r>
            <w:r>
              <w:rPr>
                <w:rFonts w:hint="default"/>
                <w:color w:val="auto"/>
                <w:sz w:val="21"/>
                <w:szCs w:val="20"/>
                <w:highlight w:val="none"/>
              </w:rPr>
              <w:t>和少量MgSO</w:t>
            </w:r>
            <w:r>
              <w:rPr>
                <w:rFonts w:hint="default"/>
                <w:color w:val="auto"/>
                <w:sz w:val="21"/>
                <w:szCs w:val="20"/>
                <w:highlight w:val="none"/>
                <w:vertAlign w:val="subscript"/>
              </w:rPr>
              <w:t>4</w:t>
            </w:r>
            <w:r>
              <w:rPr>
                <w:rFonts w:hint="default"/>
                <w:color w:val="auto"/>
                <w:sz w:val="21"/>
                <w:szCs w:val="20"/>
                <w:highlight w:val="none"/>
              </w:rPr>
              <w:t>，然后将脱硫渣送加热器加热，高温释放MgO，SO</w:t>
            </w:r>
            <w:r>
              <w:rPr>
                <w:rFonts w:hint="default"/>
                <w:color w:val="auto"/>
                <w:sz w:val="21"/>
                <w:szCs w:val="20"/>
                <w:highlight w:val="none"/>
                <w:vertAlign w:val="subscript"/>
              </w:rPr>
              <w:t>2</w:t>
            </w:r>
            <w:r>
              <w:rPr>
                <w:rFonts w:hint="default"/>
                <w:color w:val="auto"/>
                <w:sz w:val="21"/>
                <w:szCs w:val="20"/>
                <w:highlight w:val="none"/>
              </w:rPr>
              <w:t>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2" w:hRule="atLeast"/>
          <w:jc w:val="center"/>
        </w:trPr>
        <w:tc>
          <w:tcPr>
            <w:tcW w:w="5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工艺特点</w:t>
            </w:r>
          </w:p>
        </w:tc>
        <w:tc>
          <w:tcPr>
            <w:tcW w:w="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优点</w:t>
            </w:r>
          </w:p>
        </w:tc>
        <w:tc>
          <w:tcPr>
            <w:tcW w:w="23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脱硫效率高（≥95%）、工 艺成熟、适合所有煤种、 操作稳定、脱硫剂易得、 运行成本低、副产物石膏可以综合利用</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脱硫效率高（≥90%）；对烟气中的 SO</w:t>
            </w:r>
            <w:r>
              <w:rPr>
                <w:rFonts w:hint="default"/>
                <w:color w:val="auto"/>
                <w:sz w:val="21"/>
                <w:szCs w:val="20"/>
                <w:highlight w:val="none"/>
                <w:vertAlign w:val="subscript"/>
              </w:rPr>
              <w:t>2</w:t>
            </w:r>
            <w:r>
              <w:rPr>
                <w:rFonts w:hint="default"/>
                <w:color w:val="auto"/>
                <w:sz w:val="21"/>
                <w:szCs w:val="20"/>
                <w:highlight w:val="none"/>
              </w:rPr>
              <w:t>吸收速度快，降低液气比；克服石灰/石灰石法的结垢问题，管路和设备不易堵塞，占地少，投资较少</w:t>
            </w:r>
          </w:p>
        </w:tc>
        <w:tc>
          <w:tcPr>
            <w:tcW w:w="24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脱硫效率高（≥90%）；设备紧凑，投资比钙法低；脱硫副产物综合利用价值高，可强制氧化全部生成MgSO</w:t>
            </w:r>
            <w:r>
              <w:rPr>
                <w:rFonts w:hint="default"/>
                <w:color w:val="auto"/>
                <w:sz w:val="21"/>
                <w:szCs w:val="20"/>
                <w:highlight w:val="none"/>
                <w:vertAlign w:val="subscript"/>
              </w:rPr>
              <w:t>4</w:t>
            </w:r>
            <w:r>
              <w:rPr>
                <w:rFonts w:hint="default"/>
                <w:color w:val="auto"/>
                <w:sz w:val="21"/>
                <w:szCs w:val="20"/>
                <w:highlight w:val="none"/>
              </w:rPr>
              <w:t>，也可直接煅烧生成SO</w:t>
            </w:r>
            <w:r>
              <w:rPr>
                <w:rFonts w:hint="default"/>
                <w:color w:val="auto"/>
                <w:sz w:val="21"/>
                <w:szCs w:val="20"/>
                <w:highlight w:val="none"/>
                <w:vertAlign w:val="subscript"/>
              </w:rPr>
              <w:t>2</w:t>
            </w:r>
            <w:r>
              <w:rPr>
                <w:rFonts w:hint="default"/>
                <w:color w:val="auto"/>
                <w:sz w:val="21"/>
                <w:szCs w:val="20"/>
                <w:highlight w:val="none"/>
              </w:rPr>
              <w:t>气体利用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3" w:hRule="atLeast"/>
          <w:jc w:val="center"/>
        </w:trPr>
        <w:tc>
          <w:tcPr>
            <w:tcW w:w="561" w:type="dxa"/>
            <w:vMerge w:val="continue"/>
            <w:noWrap w:val="0"/>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缺点</w:t>
            </w:r>
          </w:p>
        </w:tc>
        <w:tc>
          <w:tcPr>
            <w:tcW w:w="23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color w:val="auto"/>
                <w:sz w:val="21"/>
                <w:szCs w:val="20"/>
                <w:highlight w:val="none"/>
              </w:rPr>
            </w:pPr>
            <w:r>
              <w:rPr>
                <w:rFonts w:hint="eastAsia"/>
                <w:color w:val="auto"/>
                <w:sz w:val="21"/>
                <w:szCs w:val="20"/>
                <w:highlight w:val="none"/>
              </w:rPr>
              <w:t>工艺流程较长，占地面积大，投资较高，易结垢堵塞管道设备，吸收剂与脱硫渣处理量大，一般小型锅炉较少使用</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运行费用比钙法稍高，设备要求较高</w:t>
            </w:r>
          </w:p>
        </w:tc>
        <w:tc>
          <w:tcPr>
            <w:tcW w:w="24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工艺流程较长，吸收浆液 制备复杂，氧化镁的熟化反应比石灰的熟化反应复杂，适合于大型锅炉脱硫使用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4" w:hRule="atLeast"/>
          <w:jc w:val="center"/>
        </w:trPr>
        <w:tc>
          <w:tcPr>
            <w:tcW w:w="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应用情况</w:t>
            </w:r>
          </w:p>
        </w:tc>
        <w:tc>
          <w:tcPr>
            <w:tcW w:w="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3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国外应用广泛，使用比例占80-90%。国内有较多应用实例。</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在小容量锅炉脱硫工艺中，应用较多</w:t>
            </w:r>
          </w:p>
        </w:tc>
        <w:tc>
          <w:tcPr>
            <w:tcW w:w="24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color w:val="auto"/>
                <w:sz w:val="21"/>
                <w:szCs w:val="20"/>
                <w:highlight w:val="none"/>
              </w:rPr>
            </w:pPr>
            <w:r>
              <w:rPr>
                <w:rFonts w:hint="default"/>
                <w:color w:val="auto"/>
                <w:sz w:val="21"/>
                <w:szCs w:val="20"/>
                <w:highlight w:val="none"/>
              </w:rPr>
              <w:t>国外上世纪 80 年代开始投入使用，国内自 2005年以来已经有数家大型企业采用</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00B050"/>
          <w:highlight w:val="none"/>
        </w:rPr>
      </w:pPr>
      <w:r>
        <w:rPr>
          <w:color w:val="00B050"/>
          <w:highlight w:val="none"/>
        </w:rPr>
        <w:t>根据上表结果：氧化镁法由于MgO重复利用大大降低了运行机制成本，也减少了对环境的二次污染，但由于MgSO</w:t>
      </w:r>
      <w:r>
        <w:rPr>
          <w:color w:val="00B050"/>
          <w:highlight w:val="none"/>
          <w:vertAlign w:val="subscript"/>
        </w:rPr>
        <w:t>3</w:t>
      </w:r>
      <w:r>
        <w:rPr>
          <w:color w:val="00B050"/>
          <w:highlight w:val="none"/>
        </w:rPr>
        <w:t>的抑制氧化以及它的析出、干燥、焙烧等过程较复杂，增大操作难度，增加了投资；石灰/石灰石石膏湿法适用于</w:t>
      </w:r>
      <w:r>
        <w:rPr>
          <w:rFonts w:hint="eastAsia"/>
          <w:color w:val="00B050"/>
          <w:highlight w:val="none"/>
          <w:lang w:eastAsia="zh-CN"/>
        </w:rPr>
        <w:t>中</w:t>
      </w:r>
      <w:r>
        <w:rPr>
          <w:rFonts w:hint="eastAsia"/>
          <w:color w:val="00B050"/>
          <w:highlight w:val="none"/>
          <w:lang w:val="en-US" w:eastAsia="zh-CN"/>
        </w:rPr>
        <w:t>/</w:t>
      </w:r>
      <w:r>
        <w:rPr>
          <w:rFonts w:hint="eastAsia"/>
          <w:color w:val="00B050"/>
          <w:highlight w:val="none"/>
          <w:lang w:eastAsia="zh-CN"/>
        </w:rPr>
        <w:t>大</w:t>
      </w:r>
      <w:r>
        <w:rPr>
          <w:color w:val="00B050"/>
          <w:highlight w:val="none"/>
        </w:rPr>
        <w:t>型锅炉</w:t>
      </w:r>
      <w:r>
        <w:rPr>
          <w:rFonts w:hint="eastAsia"/>
          <w:color w:val="00B050"/>
          <w:highlight w:val="none"/>
          <w:lang w:eastAsia="zh-CN"/>
        </w:rPr>
        <w:t>，脱硫效率高，工艺成熟、运行成本低，</w:t>
      </w:r>
      <w:r>
        <w:rPr>
          <w:rFonts w:hint="eastAsia"/>
          <w:color w:val="00B050"/>
          <w:highlight w:val="none"/>
        </w:rPr>
        <w:t>国</w:t>
      </w:r>
      <w:r>
        <w:rPr>
          <w:rFonts w:hint="eastAsia"/>
          <w:color w:val="00B050"/>
          <w:highlight w:val="none"/>
          <w:lang w:eastAsia="zh-CN"/>
        </w:rPr>
        <w:t>内</w:t>
      </w:r>
      <w:r>
        <w:rPr>
          <w:rFonts w:hint="eastAsia"/>
          <w:color w:val="00B050"/>
          <w:highlight w:val="none"/>
        </w:rPr>
        <w:t>外应用广泛</w:t>
      </w:r>
      <w:r>
        <w:rPr>
          <w:rFonts w:hint="eastAsia"/>
          <w:color w:val="00B050"/>
          <w:highlight w:val="none"/>
          <w:lang w:eastAsia="zh-CN"/>
        </w:rPr>
        <w:t>；钠碱</w:t>
      </w:r>
      <w:r>
        <w:rPr>
          <w:color w:val="00B050"/>
          <w:highlight w:val="none"/>
        </w:rPr>
        <w:t>法脱硫是一种低成本、较高效率的脱硫方法，运行成本较低，直接参与反应的是NaOH，提高了反应速度与效率</w:t>
      </w:r>
      <w:r>
        <w:rPr>
          <w:rFonts w:hint="eastAsia"/>
          <w:color w:val="00B050"/>
          <w:highlight w:val="none"/>
          <w:lang w:eastAsia="zh-CN"/>
        </w:rPr>
        <w:t>。综合分析，</w:t>
      </w:r>
      <w:r>
        <w:rPr>
          <w:color w:val="00B050"/>
          <w:highlight w:val="none"/>
        </w:rPr>
        <w:t>本项目推荐使用</w:t>
      </w:r>
      <w:r>
        <w:rPr>
          <w:rFonts w:hint="eastAsia"/>
          <w:color w:val="00B050"/>
          <w:highlight w:val="none"/>
          <w:lang w:eastAsia="zh-CN"/>
        </w:rPr>
        <w:t>石灰石膏法</w:t>
      </w:r>
      <w:r>
        <w:rPr>
          <w:color w:val="00B050"/>
          <w:highlight w:val="none"/>
        </w:rPr>
        <w:t>脱硫工艺。</w:t>
      </w:r>
    </w:p>
    <w:p>
      <w:pPr>
        <w:bidi w:val="0"/>
        <w:rPr>
          <w:color w:val="auto"/>
          <w:highlight w:val="none"/>
        </w:rPr>
      </w:pPr>
      <w:r>
        <w:rPr>
          <w:color w:val="auto"/>
          <w:highlight w:val="none"/>
        </w:rPr>
        <w:t>本项目采取</w:t>
      </w:r>
      <w:r>
        <w:rPr>
          <w:rFonts w:hint="eastAsia"/>
          <w:color w:val="00B050"/>
          <w:highlight w:val="none"/>
          <w:lang w:eastAsia="zh-CN"/>
        </w:rPr>
        <w:t>石灰石膏法</w:t>
      </w:r>
      <w:r>
        <w:rPr>
          <w:color w:val="auto"/>
          <w:highlight w:val="none"/>
        </w:rPr>
        <w:t>脱硫技术后，锅炉燃烧烟气SO</w:t>
      </w:r>
      <w:r>
        <w:rPr>
          <w:color w:val="auto"/>
          <w:highlight w:val="none"/>
          <w:vertAlign w:val="subscript"/>
        </w:rPr>
        <w:t>2</w:t>
      </w:r>
      <w:r>
        <w:rPr>
          <w:color w:val="auto"/>
          <w:highlight w:val="none"/>
        </w:rPr>
        <w:t>排放浓度满足</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火电厂大气污染物排放标准</w:t>
      </w:r>
      <w:r>
        <w:rPr>
          <w:rFonts w:ascii="Times New Roman" w:hAnsi="Times New Roman" w:cs="Times New Roman"/>
          <w:color w:val="auto"/>
          <w:highlight w:val="none"/>
        </w:rPr>
        <w:t>》（GB</w:t>
      </w:r>
      <w:r>
        <w:rPr>
          <w:rFonts w:hint="eastAsia" w:ascii="Times New Roman" w:hAnsi="Times New Roman" w:cs="Times New Roman"/>
          <w:color w:val="auto"/>
          <w:highlight w:val="none"/>
          <w:lang w:val="en-US" w:eastAsia="zh-CN"/>
        </w:rPr>
        <w:t>13223</w:t>
      </w:r>
      <w:r>
        <w:rPr>
          <w:rFonts w:ascii="Times New Roman" w:hAnsi="Times New Roman" w:cs="Times New Roman"/>
          <w:color w:val="auto"/>
          <w:highlight w:val="none"/>
        </w:rPr>
        <w:t>-201</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cs="Times New Roman"/>
          <w:color w:val="auto"/>
          <w:highlight w:val="none"/>
          <w:lang w:eastAsia="zh-CN"/>
        </w:rPr>
        <w:t>表</w:t>
      </w:r>
      <w:r>
        <w:rPr>
          <w:rFonts w:hint="eastAsia" w:cs="Times New Roman"/>
          <w:color w:val="auto"/>
          <w:highlight w:val="none"/>
          <w:lang w:val="en-US" w:eastAsia="zh-CN"/>
        </w:rPr>
        <w:t>1</w:t>
      </w:r>
      <w:r>
        <w:rPr>
          <w:rFonts w:hint="eastAsia" w:cs="Times New Roman"/>
          <w:color w:val="auto"/>
          <w:highlight w:val="none"/>
          <w:lang w:eastAsia="zh-CN"/>
        </w:rPr>
        <w:t>火力发电锅炉及燃气轮机组大气污染物排放浓度限值中燃煤锅炉限值要求</w:t>
      </w:r>
      <w:r>
        <w:rPr>
          <w:color w:val="auto"/>
          <w:highlight w:val="none"/>
        </w:rPr>
        <w:t>，防治措施可行。</w:t>
      </w:r>
    </w:p>
    <w:p>
      <w:pPr>
        <w:bidi w:val="0"/>
        <w:rPr>
          <w:rFonts w:hint="eastAsia" w:eastAsia="宋体"/>
          <w:b/>
          <w:bCs/>
          <w:color w:val="auto"/>
          <w:highlight w:val="none"/>
          <w:lang w:eastAsia="zh-CN"/>
        </w:rPr>
      </w:pPr>
      <w:r>
        <w:rPr>
          <w:rFonts w:hint="eastAsia"/>
          <w:b/>
          <w:bCs/>
          <w:color w:val="00B050"/>
          <w:highlight w:val="none"/>
          <w:lang w:eastAsia="zh-CN"/>
        </w:rPr>
        <w:t>石灰石膏法</w:t>
      </w:r>
      <w:r>
        <w:rPr>
          <w:rFonts w:hint="eastAsia"/>
          <w:b/>
          <w:bCs/>
          <w:color w:val="00B050"/>
          <w:highlight w:val="none"/>
        </w:rPr>
        <w:t>脱硫工艺</w:t>
      </w:r>
      <w:r>
        <w:rPr>
          <w:rFonts w:hint="eastAsia"/>
          <w:b/>
          <w:bCs/>
          <w:color w:val="auto"/>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1"/>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石灰石—石膏湿法烟气脱硫主要原理是以石灰石浆液为脱硫剂，在反应塔内对含有SO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的烟气进行喷淋洗涤，使SO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与浆液中的碱性物质发生化学反应生成亚硫酸钙和硫酸钙，从而将SO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除掉，并在氧化段循环浆液中通过氧化风机鼓入空气进行强制氧化，使亚硫酸钙进一步氧化成硫酸钙，结晶成二水硫酸钙(石膏)副产品。浆液中的固体物质从浆液中分离出来，经脱水后生成固态石膏副产品。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B050"/>
          <w:kern w:val="0"/>
          <w:sz w:val="24"/>
          <w:szCs w:val="21"/>
        </w:rPr>
      </w:pPr>
      <w:r>
        <w:rPr>
          <w:rFonts w:hint="default" w:ascii="Times New Roman" w:hAnsi="Times New Roman" w:eastAsia="宋体" w:cs="Times New Roman"/>
          <w:color w:val="00B050"/>
          <w:kern w:val="0"/>
          <w:sz w:val="24"/>
          <w:szCs w:val="21"/>
        </w:rPr>
        <w:t>反应</w:t>
      </w:r>
      <w:r>
        <w:rPr>
          <w:rFonts w:hint="default" w:ascii="Times New Roman" w:hAnsi="Times New Roman" w:eastAsia="宋体" w:cs="Times New Roman"/>
          <w:color w:val="00B050"/>
          <w:kern w:val="0"/>
          <w:sz w:val="24"/>
          <w:szCs w:val="21"/>
        </w:rPr>
        <w:fldChar w:fldCharType="begin"/>
      </w:r>
      <w:r>
        <w:rPr>
          <w:rFonts w:hint="default" w:ascii="Times New Roman" w:hAnsi="Times New Roman" w:eastAsia="宋体" w:cs="Times New Roman"/>
          <w:color w:val="00B050"/>
          <w:kern w:val="0"/>
          <w:sz w:val="24"/>
          <w:szCs w:val="21"/>
        </w:rPr>
        <w:instrText xml:space="preserve"> HYPERLINK "http://baike.baidu.com/view/71009.htm" \t "_blank" </w:instrText>
      </w:r>
      <w:r>
        <w:rPr>
          <w:rFonts w:hint="default" w:ascii="Times New Roman" w:hAnsi="Times New Roman" w:eastAsia="宋体" w:cs="Times New Roman"/>
          <w:color w:val="00B050"/>
          <w:kern w:val="0"/>
          <w:sz w:val="24"/>
          <w:szCs w:val="21"/>
        </w:rPr>
        <w:fldChar w:fldCharType="separate"/>
      </w:r>
      <w:r>
        <w:rPr>
          <w:rFonts w:hint="default" w:ascii="Times New Roman" w:hAnsi="Times New Roman" w:eastAsia="宋体" w:cs="Times New Roman"/>
          <w:color w:val="00B050"/>
          <w:kern w:val="0"/>
          <w:sz w:val="24"/>
        </w:rPr>
        <w:t>方程式</w:t>
      </w:r>
      <w:r>
        <w:rPr>
          <w:rFonts w:hint="default" w:ascii="Times New Roman" w:hAnsi="Times New Roman" w:eastAsia="宋体" w:cs="Times New Roman"/>
          <w:color w:val="00B050"/>
          <w:kern w:val="0"/>
          <w:sz w:val="24"/>
          <w:szCs w:val="21"/>
        </w:rPr>
        <w:fldChar w:fldCharType="end"/>
      </w:r>
      <w:r>
        <w:rPr>
          <w:rFonts w:hint="default" w:ascii="Times New Roman" w:hAnsi="Times New Roman" w:eastAsia="宋体" w:cs="Times New Roman"/>
          <w:color w:val="00B050"/>
          <w:kern w:val="0"/>
          <w:sz w:val="24"/>
          <w:szCs w:val="21"/>
        </w:rPr>
        <w:t>如下：</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SO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(气)+H</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O→H</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 HSO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rPr>
        <w:t>—→2H</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+SO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 xml:space="preserve">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HSO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+1/2O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→HSO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rPr>
        <w:t xml:space="preserve">—(部分)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SO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+1/2O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 xml:space="preserve"> → 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 xml:space="preserve">(部分)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CaCO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rPr>
        <w:t>→Ca</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 CO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 xml:space="preserve">(部分)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Ca</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 SO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→CaSO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rPr>
        <w:t>(部分)</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Ca</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 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+2H</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O→CaSO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rPr>
        <w:t>•2H</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 xml:space="preserve">O(部分)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H</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+OH</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→H</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 xml:space="preserve">O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 xml:space="preserve">在反应塔氧化曝气段发生如下反应：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HSO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+1/2O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→HSO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→H</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 xml:space="preserve">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SO</w:t>
      </w:r>
      <w:r>
        <w:rPr>
          <w:rFonts w:hint="default" w:ascii="Times New Roman" w:hAnsi="Times New Roman" w:eastAsia="宋体" w:cs="Times New Roman"/>
          <w:color w:val="00B050"/>
          <w:sz w:val="24"/>
          <w:vertAlign w:val="subscript"/>
        </w:rPr>
        <w:t>3</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+1/2O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 xml:space="preserve"> </w:t>
      </w:r>
    </w:p>
    <w:p>
      <w:pPr>
        <w:pStyle w:val="15"/>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Ca</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vertAlign w:val="superscript"/>
        </w:rPr>
        <w:t>+</w:t>
      </w:r>
      <w:r>
        <w:rPr>
          <w:rFonts w:hint="default" w:ascii="Times New Roman" w:hAnsi="Times New Roman" w:eastAsia="宋体" w:cs="Times New Roman"/>
          <w:color w:val="00B050"/>
          <w:sz w:val="24"/>
        </w:rPr>
        <w:t>+ 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vertAlign w:val="superscript"/>
        </w:rPr>
        <w:t>2—</w:t>
      </w:r>
      <w:r>
        <w:rPr>
          <w:rFonts w:hint="default" w:ascii="Times New Roman" w:hAnsi="Times New Roman" w:eastAsia="宋体" w:cs="Times New Roman"/>
          <w:color w:val="00B050"/>
          <w:sz w:val="24"/>
        </w:rPr>
        <w:t>+2H</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O→CaSO</w:t>
      </w:r>
      <w:r>
        <w:rPr>
          <w:rFonts w:hint="default" w:ascii="Times New Roman" w:hAnsi="Times New Roman" w:eastAsia="宋体" w:cs="Times New Roman"/>
          <w:color w:val="00B050"/>
          <w:sz w:val="24"/>
          <w:vertAlign w:val="subscript"/>
        </w:rPr>
        <w:t>4</w:t>
      </w:r>
      <w:r>
        <w:rPr>
          <w:rFonts w:hint="default" w:ascii="Times New Roman" w:hAnsi="Times New Roman" w:eastAsia="宋体" w:cs="Times New Roman"/>
          <w:color w:val="00B050"/>
          <w:sz w:val="24"/>
        </w:rPr>
        <w:t>•2H</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 xml:space="preserve">O </w:t>
      </w:r>
    </w:p>
    <w:p>
      <w:pPr>
        <w:keepNext w:val="0"/>
        <w:keepLines w:val="0"/>
        <w:pageBreakBefore w:val="0"/>
        <w:widowControl w:val="0"/>
        <w:kinsoku/>
        <w:wordWrap/>
        <w:overflowPunct/>
        <w:topLinePunct w:val="0"/>
        <w:autoSpaceDE w:val="0"/>
        <w:autoSpaceDN w:val="0"/>
        <w:bidi w:val="0"/>
        <w:adjustRightInd/>
        <w:snapToGrid/>
        <w:spacing w:line="360" w:lineRule="auto"/>
        <w:ind w:firstLine="561"/>
        <w:textAlignment w:val="auto"/>
        <w:rPr>
          <w:rFonts w:hint="default" w:ascii="Times New Roman" w:hAnsi="Times New Roman" w:eastAsia="宋体" w:cs="Times New Roman"/>
          <w:color w:val="00B050"/>
          <w:sz w:val="24"/>
        </w:rPr>
      </w:pPr>
      <w:r>
        <w:rPr>
          <w:rFonts w:hint="default" w:ascii="Times New Roman" w:hAnsi="Times New Roman" w:eastAsia="宋体" w:cs="Times New Roman"/>
          <w:color w:val="00B050"/>
          <w:sz w:val="24"/>
        </w:rPr>
        <w:t>在反应塔中，SO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首先从气相进入液相，吸收的SO</w:t>
      </w:r>
      <w:r>
        <w:rPr>
          <w:rFonts w:hint="default" w:ascii="Times New Roman" w:hAnsi="Times New Roman" w:eastAsia="宋体" w:cs="Times New Roman"/>
          <w:color w:val="00B050"/>
          <w:sz w:val="24"/>
          <w:vertAlign w:val="subscript"/>
        </w:rPr>
        <w:t>2</w:t>
      </w:r>
      <w:r>
        <w:rPr>
          <w:rFonts w:hint="default" w:ascii="Times New Roman" w:hAnsi="Times New Roman" w:eastAsia="宋体" w:cs="Times New Roman"/>
          <w:color w:val="00B050"/>
          <w:sz w:val="24"/>
        </w:rPr>
        <w:t>被浆液中的碱性物中和，碱性物从固相溶解进入液相。在循环氧化槽中，通过氧化空气的进入，亚硫酸钙很大部分被氧化成硫酸钙，仅有极少量的亚硫酸钙存在，硫酸钙通过结晶生成二水硫酸钙，即脱硫石膏。</w:t>
      </w:r>
    </w:p>
    <w:p>
      <w:pPr>
        <w:pStyle w:val="41"/>
        <w:keepNext w:val="0"/>
        <w:keepLines w:val="0"/>
        <w:pageBreakBefore w:val="0"/>
        <w:widowControl w:val="0"/>
        <w:numPr>
          <w:ilvl w:val="3"/>
          <w:numId w:val="22"/>
        </w:numPr>
        <w:tabs>
          <w:tab w:val="left" w:pos="1320"/>
        </w:tabs>
        <w:kinsoku/>
        <w:wordWrap/>
        <w:overflowPunct/>
        <w:topLinePunct w:val="0"/>
        <w:autoSpaceDE w:val="0"/>
        <w:autoSpaceDN w:val="0"/>
        <w:bidi w:val="0"/>
        <w:adjustRightInd w:val="0"/>
        <w:snapToGrid w:val="0"/>
        <w:spacing w:before="0" w:line="360" w:lineRule="auto"/>
        <w:ind w:left="0"/>
        <w:jc w:val="both"/>
        <w:textAlignment w:val="auto"/>
        <w:rPr>
          <w:rFonts w:hint="eastAsia"/>
          <w:b/>
          <w:bCs/>
          <w:sz w:val="24"/>
          <w:lang w:eastAsia="zh-CN"/>
        </w:rPr>
      </w:pPr>
      <w:bookmarkStart w:id="327" w:name="6.2.1.2_饲料加工粉尘防治措施分析"/>
      <w:bookmarkEnd w:id="327"/>
      <w:r>
        <w:rPr>
          <w:rFonts w:hint="eastAsia"/>
          <w:b/>
          <w:bCs/>
          <w:sz w:val="24"/>
          <w:lang w:eastAsia="zh-CN"/>
        </w:rPr>
        <w:t>无组织排放治理措施</w:t>
      </w:r>
    </w:p>
    <w:p>
      <w:pPr>
        <w:bidi w:val="0"/>
        <w:rPr>
          <w:rFonts w:hint="eastAsia"/>
          <w:color w:val="auto"/>
          <w:highlight w:val="none"/>
        </w:rPr>
      </w:pPr>
      <w:r>
        <w:rPr>
          <w:rFonts w:hint="eastAsia"/>
          <w:color w:val="auto"/>
          <w:highlight w:val="none"/>
        </w:rPr>
        <w:t>本工程主要有组织排放是锅炉烟囱，无组织排放主要为煤、渣场装卸扬尘、输煤系统粉尘。</w:t>
      </w:r>
    </w:p>
    <w:p>
      <w:pPr>
        <w:bidi w:val="0"/>
        <w:rPr>
          <w:rFonts w:hint="eastAsia"/>
          <w:color w:val="auto"/>
          <w:highlight w:val="none"/>
        </w:rPr>
      </w:pPr>
      <w:r>
        <w:rPr>
          <w:rFonts w:hint="eastAsia"/>
          <w:color w:val="auto"/>
          <w:highlight w:val="none"/>
        </w:rPr>
        <w:t>根据《新疆维吾尔自治区大气污染防治条例》</w:t>
      </w:r>
      <w:r>
        <w:rPr>
          <w:rFonts w:hint="eastAsia"/>
          <w:color w:val="auto"/>
          <w:highlight w:val="none"/>
          <w:lang w:eastAsia="zh-CN"/>
        </w:rPr>
        <w:t>和</w:t>
      </w:r>
      <w:r>
        <w:rPr>
          <w:rFonts w:hint="default" w:ascii="Times New Roman" w:hAnsi="Times New Roman" w:eastAsia="宋体" w:cs="Times New Roman"/>
          <w:color w:val="auto"/>
          <w:sz w:val="24"/>
          <w:szCs w:val="24"/>
          <w:highlight w:val="none"/>
          <w:lang w:eastAsia="zh-CN"/>
        </w:rPr>
        <w:t>《工业料堆场扬尘整治规范》（DB65</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T4061-2017）</w:t>
      </w:r>
      <w:r>
        <w:rPr>
          <w:rFonts w:hint="eastAsia"/>
          <w:color w:val="auto"/>
          <w:highlight w:val="none"/>
        </w:rPr>
        <w:t>，贮存易产生扬尘的煤炭、煤矸石、煤渣、煤灰、水泥、石灰、石膏、砂土等物料的堆场应当密闭；不能密闭的，贮存单位或者个人应当采取下列防尘措施：</w:t>
      </w:r>
    </w:p>
    <w:p>
      <w:pPr>
        <w:bidi w:val="0"/>
        <w:rPr>
          <w:rFonts w:hint="eastAsia"/>
          <w:color w:val="auto"/>
          <w:highlight w:val="none"/>
        </w:rPr>
      </w:pPr>
      <w:r>
        <w:rPr>
          <w:rFonts w:hint="eastAsia"/>
          <w:color w:val="auto"/>
          <w:highlight w:val="none"/>
        </w:rPr>
        <w:t>（一）堆场的场坪、路面应当进行硬化处理，并保持路面整洁；</w:t>
      </w:r>
    </w:p>
    <w:p>
      <w:pPr>
        <w:bidi w:val="0"/>
        <w:rPr>
          <w:rFonts w:hint="eastAsia"/>
          <w:color w:val="auto"/>
          <w:highlight w:val="none"/>
        </w:rPr>
      </w:pPr>
      <w:r>
        <w:rPr>
          <w:rFonts w:hint="eastAsia"/>
          <w:color w:val="auto"/>
          <w:highlight w:val="none"/>
        </w:rPr>
        <w:t>（二）堆场周边应当配备高于堆存物料的围挡、防风抑尘网等设施；</w:t>
      </w:r>
    </w:p>
    <w:p>
      <w:pPr>
        <w:bidi w:val="0"/>
        <w:rPr>
          <w:rFonts w:hint="eastAsia"/>
          <w:color w:val="auto"/>
          <w:highlight w:val="none"/>
        </w:rPr>
      </w:pPr>
      <w:r>
        <w:rPr>
          <w:rFonts w:hint="eastAsia"/>
          <w:color w:val="auto"/>
          <w:highlight w:val="none"/>
        </w:rPr>
        <w:t>（三）按照物料类别采取相应的覆盖、喷淋和围挡等防风抑尘措施。</w:t>
      </w:r>
    </w:p>
    <w:p>
      <w:pPr>
        <w:bidi w:val="0"/>
        <w:rPr>
          <w:rFonts w:hint="eastAsia"/>
          <w:color w:val="auto"/>
          <w:highlight w:val="none"/>
        </w:rPr>
      </w:pPr>
      <w:r>
        <w:rPr>
          <w:rFonts w:hint="eastAsia"/>
          <w:color w:val="auto"/>
          <w:highlight w:val="none"/>
        </w:rPr>
        <w:t>露天装卸物料应当采取密闭或者喷淋等抑尘措施；输送的物料应当在装料、卸料处配备吸尘、喷淋等防尘设施。</w:t>
      </w:r>
    </w:p>
    <w:p>
      <w:pPr>
        <w:bidi w:val="0"/>
        <w:rPr>
          <w:rFonts w:hint="eastAsia"/>
          <w:color w:val="auto"/>
          <w:highlight w:val="none"/>
          <w:lang w:eastAsia="zh-CN"/>
        </w:rPr>
      </w:pPr>
      <w:r>
        <w:rPr>
          <w:rFonts w:hint="eastAsia"/>
          <w:color w:val="auto"/>
          <w:highlight w:val="none"/>
          <w:lang w:eastAsia="zh-CN"/>
        </w:rPr>
        <w:t>根据</w:t>
      </w:r>
      <w:r>
        <w:rPr>
          <w:rFonts w:hint="eastAsia"/>
          <w:color w:val="auto"/>
          <w:highlight w:val="none"/>
        </w:rPr>
        <w:t>《新疆维吾尔自治区大气污染防治行动计划实施方案》</w:t>
      </w:r>
      <w:r>
        <w:rPr>
          <w:rFonts w:hint="eastAsia"/>
          <w:color w:val="auto"/>
          <w:highlight w:val="none"/>
          <w:lang w:eastAsia="zh-CN"/>
        </w:rPr>
        <w:t>指出</w:t>
      </w:r>
      <w:r>
        <w:rPr>
          <w:rFonts w:hint="eastAsia"/>
          <w:color w:val="auto"/>
          <w:highlight w:val="none"/>
        </w:rPr>
        <w:t>加大城市扬尘综合整治力度煤堆、料堆、渣堆实现封闭存储。</w:t>
      </w:r>
    </w:p>
    <w:p>
      <w:pPr>
        <w:bidi w:val="0"/>
        <w:rPr>
          <w:rFonts w:hint="eastAsia"/>
          <w:color w:val="auto"/>
          <w:highlight w:val="none"/>
        </w:rPr>
      </w:pPr>
      <w:r>
        <w:rPr>
          <w:rFonts w:hint="eastAsia"/>
          <w:color w:val="auto"/>
          <w:highlight w:val="none"/>
        </w:rPr>
        <w:t>本次环评结合《新疆维吾尔自治区大气污染防治条例》</w:t>
      </w:r>
      <w:r>
        <w:rPr>
          <w:rFonts w:hint="eastAsia"/>
          <w:color w:val="auto"/>
          <w:highlight w:val="none"/>
          <w:lang w:eastAsia="zh-CN"/>
        </w:rPr>
        <w:t>《</w:t>
      </w:r>
      <w:r>
        <w:rPr>
          <w:rFonts w:hint="eastAsia"/>
          <w:color w:val="auto"/>
          <w:highlight w:val="none"/>
        </w:rPr>
        <w:t>新疆维吾尔自治区大气污染防治行动计划实施方案</w:t>
      </w:r>
      <w:r>
        <w:rPr>
          <w:rFonts w:hint="eastAsia"/>
          <w:color w:val="auto"/>
          <w:highlight w:val="none"/>
          <w:lang w:eastAsia="zh-CN"/>
        </w:rPr>
        <w:t>》《</w:t>
      </w:r>
      <w:r>
        <w:rPr>
          <w:rFonts w:hint="eastAsia"/>
          <w:color w:val="auto"/>
          <w:highlight w:val="none"/>
          <w:lang w:val="en-US" w:eastAsia="zh-CN"/>
        </w:rPr>
        <w:t>排污许可证申请与核发技术规范 锅炉》（HJ991-2018）及《工业锅炉污染防治可行技术指南》（HJ1178-2021）</w:t>
      </w:r>
      <w:r>
        <w:rPr>
          <w:rFonts w:hint="eastAsia"/>
          <w:color w:val="auto"/>
          <w:highlight w:val="none"/>
          <w:lang w:eastAsia="zh-CN"/>
        </w:rPr>
        <w:t>的相关要求</w:t>
      </w:r>
      <w:r>
        <w:rPr>
          <w:rFonts w:hint="eastAsia"/>
          <w:color w:val="auto"/>
          <w:highlight w:val="none"/>
        </w:rPr>
        <w:t>，</w:t>
      </w:r>
      <w:r>
        <w:rPr>
          <w:rFonts w:hint="eastAsia"/>
          <w:color w:val="auto"/>
          <w:highlight w:val="none"/>
          <w:lang w:eastAsia="zh-CN"/>
        </w:rPr>
        <w:t>提出</w:t>
      </w:r>
      <w:r>
        <w:rPr>
          <w:rFonts w:hint="eastAsia"/>
          <w:color w:val="auto"/>
          <w:highlight w:val="none"/>
        </w:rPr>
        <w:t>本项目无组织扬尘排放控制措施：</w:t>
      </w:r>
    </w:p>
    <w:p>
      <w:pPr>
        <w:numPr>
          <w:ilvl w:val="0"/>
          <w:numId w:val="23"/>
        </w:numPr>
        <w:bidi w:val="0"/>
        <w:rPr>
          <w:rFonts w:hint="eastAsia"/>
          <w:color w:val="auto"/>
          <w:highlight w:val="none"/>
          <w:lang w:eastAsia="zh-CN"/>
        </w:rPr>
      </w:pPr>
      <w:r>
        <w:rPr>
          <w:rFonts w:hint="eastAsia"/>
          <w:color w:val="auto"/>
          <w:highlight w:val="none"/>
          <w:lang w:eastAsia="zh-CN"/>
        </w:rPr>
        <w:t>项目区煤和灰渣均采取封闭存储。</w:t>
      </w:r>
      <w:r>
        <w:rPr>
          <w:rFonts w:hint="eastAsia"/>
          <w:color w:val="auto"/>
          <w:highlight w:val="none"/>
        </w:rPr>
        <w:t>生产所需原煤由汽车运至厂区内封闭式煤场，卸车时可采取</w:t>
      </w:r>
      <w:r>
        <w:rPr>
          <w:rFonts w:hint="eastAsia"/>
          <w:color w:val="auto"/>
          <w:highlight w:val="none"/>
          <w:lang w:eastAsia="zh-CN"/>
        </w:rPr>
        <w:t>喷淋</w:t>
      </w:r>
      <w:r>
        <w:rPr>
          <w:rFonts w:hint="eastAsia"/>
          <w:color w:val="auto"/>
          <w:highlight w:val="none"/>
        </w:rPr>
        <w:t>方法来减少煤尘飞扬，有效减少装卸煤产生的扬尘；</w:t>
      </w:r>
      <w:r>
        <w:rPr>
          <w:rFonts w:hint="eastAsia"/>
          <w:color w:val="auto"/>
          <w:highlight w:val="none"/>
          <w:lang w:eastAsia="zh-CN"/>
        </w:rPr>
        <w:t>锅炉产生的灰渣集中贮存在封闭的灰渣库内，灰渣库设置挡尘帘；</w:t>
      </w:r>
      <w:r>
        <w:rPr>
          <w:rFonts w:hint="eastAsia"/>
          <w:color w:val="auto"/>
          <w:highlight w:val="none"/>
        </w:rPr>
        <w:t>采取封闭式输送廊道</w:t>
      </w:r>
      <w:r>
        <w:rPr>
          <w:rFonts w:hint="eastAsia"/>
          <w:color w:val="auto"/>
          <w:highlight w:val="none"/>
          <w:lang w:eastAsia="zh-CN"/>
        </w:rPr>
        <w:t>在供热站内进行煤炭运输</w:t>
      </w:r>
      <w:r>
        <w:rPr>
          <w:rFonts w:hint="eastAsia"/>
          <w:color w:val="auto"/>
          <w:highlight w:val="none"/>
        </w:rPr>
        <w:t>；</w:t>
      </w:r>
      <w:r>
        <w:rPr>
          <w:rFonts w:hint="eastAsia"/>
          <w:color w:val="auto"/>
          <w:highlight w:val="none"/>
          <w:lang w:eastAsia="zh-CN"/>
        </w:rPr>
        <w:t>落煤点采取喷淋防尘措施；</w:t>
      </w:r>
      <w:r>
        <w:rPr>
          <w:rFonts w:hint="eastAsia"/>
          <w:color w:val="auto"/>
          <w:highlight w:val="none"/>
        </w:rPr>
        <w:t>输煤机转运点和煤斗间均采用密封罩、遮尘帘、机械抽风和收尘相结合的除尘措施。</w:t>
      </w:r>
      <w:r>
        <w:rPr>
          <w:rFonts w:hint="eastAsia"/>
          <w:color w:val="00B050"/>
          <w:highlight w:val="none"/>
          <w:lang w:eastAsia="zh-CN"/>
        </w:rPr>
        <w:t>脱硫剂石灰石袋装</w:t>
      </w:r>
      <w:r>
        <w:rPr>
          <w:rFonts w:hint="eastAsia"/>
          <w:color w:val="auto"/>
          <w:highlight w:val="none"/>
          <w:lang w:eastAsia="zh-CN"/>
        </w:rPr>
        <w:t>运输到厂区内，在封闭库房内储存。</w:t>
      </w:r>
    </w:p>
    <w:p>
      <w:pPr>
        <w:numPr>
          <w:ilvl w:val="0"/>
          <w:numId w:val="23"/>
        </w:numPr>
        <w:bidi w:val="0"/>
        <w:rPr>
          <w:rFonts w:hint="eastAsia"/>
          <w:color w:val="auto"/>
          <w:highlight w:val="none"/>
        </w:rPr>
      </w:pPr>
      <w:r>
        <w:rPr>
          <w:rFonts w:hint="eastAsia"/>
          <w:color w:val="auto"/>
          <w:highlight w:val="none"/>
        </w:rPr>
        <w:t>封闭式煤渣场设喷洒设施，根据当地气候变化规律定期洒水，有效控制煤场作业扬尘。</w:t>
      </w:r>
    </w:p>
    <w:p>
      <w:pPr>
        <w:numPr>
          <w:ilvl w:val="0"/>
          <w:numId w:val="23"/>
        </w:numPr>
        <w:bidi w:val="0"/>
        <w:rPr>
          <w:rFonts w:hint="eastAsia"/>
          <w:color w:val="auto"/>
          <w:highlight w:val="none"/>
        </w:rPr>
      </w:pPr>
      <w:r>
        <w:rPr>
          <w:rFonts w:hint="eastAsia"/>
          <w:color w:val="auto"/>
          <w:highlight w:val="none"/>
        </w:rPr>
        <w:t>除灰除渣机均采用湿式作业，所得灰渣含水率高，无粉尘飞扬。本项目产生的灰渣直接从渣仓排出，由运输车辆直接拉运出厂区，进行综合利用。</w:t>
      </w:r>
    </w:p>
    <w:p>
      <w:pPr>
        <w:numPr>
          <w:ilvl w:val="0"/>
          <w:numId w:val="23"/>
        </w:numPr>
        <w:bidi w:val="0"/>
        <w:rPr>
          <w:rFonts w:hint="eastAsia"/>
          <w:color w:val="auto"/>
          <w:highlight w:val="none"/>
        </w:rPr>
      </w:pPr>
      <w:r>
        <w:rPr>
          <w:rFonts w:hint="eastAsia"/>
          <w:color w:val="auto"/>
          <w:highlight w:val="none"/>
        </w:rPr>
        <w:t>原煤、灰渣的运输过程应加强运输管理，运输过程原煤用篷布遮盖，防止运输过程造成粉尘污染。</w:t>
      </w:r>
    </w:p>
    <w:p>
      <w:pPr>
        <w:numPr>
          <w:ilvl w:val="0"/>
          <w:numId w:val="23"/>
        </w:numPr>
        <w:bidi w:val="0"/>
        <w:rPr>
          <w:rFonts w:hint="eastAsia"/>
          <w:color w:val="auto"/>
          <w:highlight w:val="none"/>
        </w:rPr>
      </w:pPr>
      <w:r>
        <w:rPr>
          <w:rFonts w:hint="eastAsia"/>
          <w:color w:val="auto"/>
          <w:highlight w:val="none"/>
        </w:rPr>
        <w:t>大风天气停止装卸作业，并对灰渣运输车辆采取苫盖措施，减低粉尘的产生。</w:t>
      </w:r>
    </w:p>
    <w:p>
      <w:pPr>
        <w:numPr>
          <w:ilvl w:val="0"/>
          <w:numId w:val="23"/>
        </w:numPr>
        <w:bidi w:val="0"/>
      </w:pPr>
      <w:r>
        <w:rPr>
          <w:rFonts w:hint="eastAsia"/>
          <w:color w:val="auto"/>
          <w:highlight w:val="none"/>
        </w:rPr>
        <w:t>厂内道路硬化处理，</w:t>
      </w:r>
      <w:r>
        <w:rPr>
          <w:rFonts w:hint="eastAsia"/>
          <w:color w:val="auto"/>
          <w:highlight w:val="none"/>
          <w:lang w:eastAsia="zh-CN"/>
        </w:rPr>
        <w:t>车辆运输期间加强</w:t>
      </w:r>
      <w:r>
        <w:rPr>
          <w:rFonts w:hint="eastAsia"/>
          <w:color w:val="auto"/>
          <w:highlight w:val="none"/>
        </w:rPr>
        <w:t>厂区道路洒水降尘，防止在车辆来往过程造成大量扬尘。</w:t>
      </w:r>
    </w:p>
    <w:p>
      <w:pPr>
        <w:numPr>
          <w:ilvl w:val="0"/>
          <w:numId w:val="23"/>
        </w:numPr>
        <w:bidi w:val="0"/>
      </w:pPr>
      <w:r>
        <w:rPr>
          <w:rFonts w:hint="eastAsia"/>
          <w:color w:val="auto"/>
          <w:highlight w:val="none"/>
        </w:rPr>
        <w:t>加强厂区管理，加强绿化。</w:t>
      </w:r>
    </w:p>
    <w:p>
      <w:pPr>
        <w:pStyle w:val="41"/>
        <w:keepNext w:val="0"/>
        <w:keepLines w:val="0"/>
        <w:pageBreakBefore w:val="0"/>
        <w:widowControl w:val="0"/>
        <w:numPr>
          <w:ilvl w:val="3"/>
          <w:numId w:val="22"/>
        </w:numPr>
        <w:tabs>
          <w:tab w:val="left" w:pos="1320"/>
        </w:tabs>
        <w:kinsoku/>
        <w:wordWrap/>
        <w:overflowPunct/>
        <w:topLinePunct w:val="0"/>
        <w:autoSpaceDE w:val="0"/>
        <w:autoSpaceDN w:val="0"/>
        <w:bidi w:val="0"/>
        <w:adjustRightInd w:val="0"/>
        <w:snapToGrid w:val="0"/>
        <w:spacing w:before="0" w:line="360" w:lineRule="auto"/>
        <w:ind w:left="0"/>
        <w:jc w:val="both"/>
        <w:textAlignment w:val="auto"/>
        <w:rPr>
          <w:rFonts w:hint="default"/>
          <w:b/>
          <w:bCs/>
          <w:sz w:val="24"/>
          <w:lang w:val="en-US" w:eastAsia="zh-CN"/>
        </w:rPr>
      </w:pPr>
      <w:r>
        <w:rPr>
          <w:rFonts w:hint="eastAsia"/>
          <w:b/>
          <w:bCs/>
          <w:sz w:val="24"/>
          <w:lang w:val="en-US" w:eastAsia="zh-CN"/>
        </w:rPr>
        <w:t>烟气排放系统</w:t>
      </w:r>
    </w:p>
    <w:p>
      <w:pPr>
        <w:bidi w:val="0"/>
        <w:rPr>
          <w:color w:val="auto"/>
          <w:highlight w:val="none"/>
        </w:rPr>
      </w:pPr>
      <w:r>
        <w:rPr>
          <w:color w:val="auto"/>
          <w:highlight w:val="none"/>
        </w:rPr>
        <w:t>本项目烟气采用</w:t>
      </w:r>
      <w:r>
        <w:rPr>
          <w:rFonts w:hint="eastAsia"/>
          <w:color w:val="auto"/>
          <w:highlight w:val="none"/>
          <w:lang w:val="en-US" w:eastAsia="zh-CN"/>
        </w:rPr>
        <w:t>45</w:t>
      </w:r>
      <w:r>
        <w:rPr>
          <w:color w:val="auto"/>
          <w:highlight w:val="none"/>
        </w:rPr>
        <w:t>m高烟囱进行高空排放，</w:t>
      </w:r>
      <w:r>
        <w:rPr>
          <w:rFonts w:hint="eastAsia"/>
          <w:color w:val="auto"/>
          <w:highlight w:val="none"/>
          <w:lang w:eastAsia="zh-CN"/>
        </w:rPr>
        <w:t>锅炉烟囱高度满足</w:t>
      </w:r>
      <w:r>
        <w:rPr>
          <w:color w:val="auto"/>
          <w:highlight w:val="none"/>
        </w:rPr>
        <w:t>《锅炉大气污染物排放标准》（GB13271-2014）中规定</w:t>
      </w:r>
      <w:r>
        <w:rPr>
          <w:rFonts w:hint="eastAsia"/>
          <w:color w:val="auto"/>
          <w:highlight w:val="none"/>
          <w:lang w:eastAsia="zh-CN"/>
        </w:rPr>
        <w:t>的锅炉房总装机容量中烟囱最低允许高度的</w:t>
      </w:r>
      <w:r>
        <w:rPr>
          <w:color w:val="auto"/>
          <w:highlight w:val="none"/>
        </w:rPr>
        <w:t>要求，</w:t>
      </w:r>
      <w:r>
        <w:rPr>
          <w:rFonts w:hint="eastAsia"/>
          <w:color w:val="auto"/>
          <w:highlight w:val="none"/>
          <w:lang w:eastAsia="zh-CN"/>
        </w:rPr>
        <w:t>具体</w:t>
      </w:r>
      <w:r>
        <w:rPr>
          <w:color w:val="auto"/>
          <w:highlight w:val="none"/>
        </w:rPr>
        <w:t>见表6.2-</w:t>
      </w:r>
      <w:r>
        <w:rPr>
          <w:rFonts w:hint="eastAsia"/>
          <w:color w:val="auto"/>
          <w:highlight w:val="none"/>
        </w:rPr>
        <w:t>4</w:t>
      </w:r>
      <w:r>
        <w:rPr>
          <w:color w:val="auto"/>
          <w:highlight w:val="none"/>
        </w:rPr>
        <w:t>。</w:t>
      </w:r>
    </w:p>
    <w:p>
      <w:pPr>
        <w:pStyle w:val="8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bCs/>
          <w:color w:val="auto"/>
          <w:sz w:val="21"/>
          <w:szCs w:val="18"/>
          <w:highlight w:val="none"/>
        </w:rPr>
        <w:t>表</w:t>
      </w:r>
      <w:r>
        <w:rPr>
          <w:rFonts w:hint="eastAsia"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kern w:val="0"/>
          <w:sz w:val="21"/>
          <w:szCs w:val="18"/>
          <w:highlight w:val="none"/>
        </w:rPr>
        <w:t xml:space="preserve">6.2-4  </w:t>
      </w:r>
      <w:r>
        <w:rPr>
          <w:rFonts w:hint="default" w:ascii="Times New Roman" w:hAnsi="Times New Roman" w:eastAsia="宋体" w:cs="Times New Roman"/>
          <w:b/>
          <w:bCs/>
          <w:color w:val="auto"/>
          <w:sz w:val="21"/>
          <w:szCs w:val="18"/>
          <w:highlight w:val="none"/>
        </w:rPr>
        <w:t xml:space="preserve"> </w:t>
      </w:r>
      <w:r>
        <w:rPr>
          <w:rFonts w:hint="eastAsia"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锅炉房烟囱最低允许排放高度   单位（m）</w:t>
      </w:r>
    </w:p>
    <w:tbl>
      <w:tblPr>
        <w:tblStyle w:val="31"/>
        <w:tblW w:w="47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002"/>
        <w:gridCol w:w="793"/>
        <w:gridCol w:w="999"/>
        <w:gridCol w:w="7"/>
        <w:gridCol w:w="1018"/>
        <w:gridCol w:w="1018"/>
        <w:gridCol w:w="1018"/>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85" w:type="pct"/>
            <w:vMerge w:val="restar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锅炉房总</w:t>
            </w:r>
          </w:p>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装机容量</w:t>
            </w:r>
          </w:p>
        </w:tc>
        <w:tc>
          <w:tcPr>
            <w:tcW w:w="61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MW</w:t>
            </w:r>
          </w:p>
        </w:tc>
        <w:tc>
          <w:tcPr>
            <w:tcW w:w="486"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&lt;0.7</w:t>
            </w:r>
          </w:p>
        </w:tc>
        <w:tc>
          <w:tcPr>
            <w:tcW w:w="616" w:type="pct"/>
            <w:gridSpan w:val="2"/>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0.7~&lt;1.4</w:t>
            </w:r>
          </w:p>
        </w:tc>
        <w:tc>
          <w:tcPr>
            <w:tcW w:w="62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1.4~&lt;2.8</w:t>
            </w:r>
          </w:p>
        </w:tc>
        <w:tc>
          <w:tcPr>
            <w:tcW w:w="62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2.8~&lt;7</w:t>
            </w:r>
          </w:p>
        </w:tc>
        <w:tc>
          <w:tcPr>
            <w:tcW w:w="62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7~&lt;14</w:t>
            </w:r>
          </w:p>
        </w:tc>
        <w:tc>
          <w:tcPr>
            <w:tcW w:w="623"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14~&lt;28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785" w:type="pct"/>
            <w:vMerge w:val="continue"/>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p>
        </w:tc>
        <w:tc>
          <w:tcPr>
            <w:tcW w:w="61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t/h</w:t>
            </w:r>
          </w:p>
        </w:tc>
        <w:tc>
          <w:tcPr>
            <w:tcW w:w="486"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&lt;1</w:t>
            </w:r>
          </w:p>
        </w:tc>
        <w:tc>
          <w:tcPr>
            <w:tcW w:w="616" w:type="pct"/>
            <w:gridSpan w:val="2"/>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1~&lt;2</w:t>
            </w:r>
          </w:p>
        </w:tc>
        <w:tc>
          <w:tcPr>
            <w:tcW w:w="62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2~&lt;4</w:t>
            </w:r>
          </w:p>
        </w:tc>
        <w:tc>
          <w:tcPr>
            <w:tcW w:w="62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4~&lt;10</w:t>
            </w:r>
          </w:p>
        </w:tc>
        <w:tc>
          <w:tcPr>
            <w:tcW w:w="62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10~&lt;20</w:t>
            </w:r>
          </w:p>
        </w:tc>
        <w:tc>
          <w:tcPr>
            <w:tcW w:w="623"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1399" w:type="pct"/>
            <w:gridSpan w:val="2"/>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烟囱最低允许高度（m）</w:t>
            </w:r>
          </w:p>
        </w:tc>
        <w:tc>
          <w:tcPr>
            <w:tcW w:w="486"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20</w:t>
            </w:r>
          </w:p>
        </w:tc>
        <w:tc>
          <w:tcPr>
            <w:tcW w:w="612"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25</w:t>
            </w:r>
          </w:p>
        </w:tc>
        <w:tc>
          <w:tcPr>
            <w:tcW w:w="628" w:type="pct"/>
            <w:gridSpan w:val="2"/>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30</w:t>
            </w:r>
          </w:p>
        </w:tc>
        <w:tc>
          <w:tcPr>
            <w:tcW w:w="62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35</w:t>
            </w:r>
          </w:p>
        </w:tc>
        <w:tc>
          <w:tcPr>
            <w:tcW w:w="624"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40</w:t>
            </w:r>
          </w:p>
        </w:tc>
        <w:tc>
          <w:tcPr>
            <w:tcW w:w="623" w:type="pct"/>
            <w:noWrap w:val="0"/>
            <w:vAlign w:val="center"/>
          </w:tcPr>
          <w:p>
            <w:pPr>
              <w:pStyle w:val="87"/>
              <w:keepNext w:val="0"/>
              <w:keepLines w:val="0"/>
              <w:pageBreakBefore w:val="0"/>
              <w:widowControl/>
              <w:kinsoku/>
              <w:wordWrap w:val="0"/>
              <w:overflowPunct/>
              <w:topLinePunct/>
              <w:autoSpaceDE w:val="0"/>
              <w:autoSpaceDN w:val="0"/>
              <w:bidi w:val="0"/>
              <w:adjustRightInd w:val="0"/>
              <w:snapToGrid w:val="0"/>
              <w:spacing w:line="320" w:lineRule="exact"/>
              <w:jc w:val="center"/>
              <w:textAlignment w:val="auto"/>
              <w:rPr>
                <w:rFonts w:ascii="Times New Roman"/>
                <w:color w:val="auto"/>
                <w:highlight w:val="none"/>
              </w:rPr>
            </w:pPr>
            <w:r>
              <w:rPr>
                <w:rFonts w:ascii="Times New Roman"/>
                <w:color w:val="auto"/>
                <w:highlight w:val="none"/>
              </w:rPr>
              <w:t>45</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firstLine="480" w:firstLineChars="200"/>
        <w:jc w:val="both"/>
        <w:textAlignment w:val="auto"/>
        <w:rPr>
          <w:rFonts w:hint="eastAsia"/>
          <w:color w:val="auto"/>
          <w:highlight w:val="none"/>
        </w:rPr>
      </w:pPr>
      <w:r>
        <w:rPr>
          <w:rFonts w:hint="eastAsia"/>
          <w:color w:val="auto"/>
          <w:highlight w:val="none"/>
          <w:lang w:eastAsia="zh-CN"/>
        </w:rPr>
        <w:t>经现场勘查，本锅炉排气筒周边</w:t>
      </w:r>
      <w:r>
        <w:rPr>
          <w:rFonts w:hint="eastAsia"/>
          <w:color w:val="auto"/>
          <w:highlight w:val="none"/>
          <w:lang w:val="en-US" w:eastAsia="zh-CN"/>
        </w:rPr>
        <w:t>200m范围内最高建筑物高度18m，根据建设单位提供的资料，本项目锅炉排气筒高度为45m，满足《锅炉大气污染物排放标准》（GB13271-2014）中新建锅炉房的烟囱周围半径200m距离内有建筑物时，其烟囱应高出最高建筑物3m以上的规定。</w:t>
      </w:r>
    </w:p>
    <w:p>
      <w:pPr>
        <w:pStyle w:val="6"/>
        <w:keepNext w:val="0"/>
        <w:keepLines w:val="0"/>
        <w:pageBreakBefore w:val="0"/>
        <w:widowControl w:val="0"/>
        <w:numPr>
          <w:ilvl w:val="2"/>
          <w:numId w:val="21"/>
        </w:numPr>
        <w:tabs>
          <w:tab w:val="left" w:pos="1241"/>
        </w:tabs>
        <w:kinsoku/>
        <w:wordWrap/>
        <w:overflowPunct/>
        <w:topLinePunct w:val="0"/>
        <w:autoSpaceDE w:val="0"/>
        <w:autoSpaceDN w:val="0"/>
        <w:bidi w:val="0"/>
        <w:adjustRightInd w:val="0"/>
        <w:snapToGrid w:val="0"/>
        <w:spacing w:line="360" w:lineRule="auto"/>
        <w:ind w:left="0" w:leftChars="0" w:right="0" w:firstLine="562" w:firstLineChars="200"/>
        <w:jc w:val="both"/>
        <w:textAlignment w:val="auto"/>
      </w:pPr>
      <w:bookmarkStart w:id="328" w:name="6.2.2_水污染防治措施分析"/>
      <w:bookmarkEnd w:id="328"/>
      <w:r>
        <w:t>水污染防治措施分析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64" w:firstLineChars="200"/>
        <w:textAlignment w:val="auto"/>
        <w:rPr>
          <w:rFonts w:hint="eastAsia" w:ascii="宋体" w:hAnsi="宋体" w:cs="宋体"/>
          <w:color w:val="auto"/>
          <w:spacing w:val="-4"/>
          <w:sz w:val="24"/>
          <w:szCs w:val="24"/>
          <w:highlight w:val="none"/>
        </w:rPr>
      </w:pPr>
      <w:bookmarkStart w:id="329" w:name="6.2.2.1_项目污水处理及排放去向"/>
      <w:bookmarkEnd w:id="329"/>
      <w:r>
        <w:rPr>
          <w:rFonts w:hint="eastAsia" w:ascii="宋体" w:hAnsi="宋体" w:cs="宋体"/>
          <w:color w:val="auto"/>
          <w:spacing w:val="-4"/>
          <w:sz w:val="24"/>
          <w:szCs w:val="24"/>
          <w:highlight w:val="none"/>
        </w:rPr>
        <w:t>（1）废水治理措施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64" w:firstLineChars="200"/>
        <w:textAlignment w:val="auto"/>
        <w:rPr>
          <w:rFonts w:ascii="宋体" w:hAnsi="宋体" w:cs="宋体"/>
          <w:color w:val="auto"/>
          <w:sz w:val="24"/>
          <w:szCs w:val="24"/>
          <w:highlight w:val="none"/>
        </w:rPr>
      </w:pPr>
      <w:r>
        <w:rPr>
          <w:rFonts w:ascii="宋体" w:hAnsi="宋体" w:cs="宋体"/>
          <w:color w:val="auto"/>
          <w:spacing w:val="-4"/>
          <w:sz w:val="24"/>
          <w:szCs w:val="24"/>
          <w:highlight w:val="none"/>
        </w:rPr>
        <w:t>本项目废水主要为生产废水</w:t>
      </w:r>
      <w:r>
        <w:rPr>
          <w:rFonts w:hint="eastAsia" w:ascii="宋体" w:hAnsi="宋体" w:cs="宋体"/>
          <w:color w:val="auto"/>
          <w:spacing w:val="-4"/>
          <w:sz w:val="24"/>
          <w:szCs w:val="24"/>
          <w:highlight w:val="none"/>
          <w:lang w:eastAsia="zh-CN"/>
        </w:rPr>
        <w:t>，</w:t>
      </w:r>
      <w:r>
        <w:rPr>
          <w:rFonts w:ascii="宋体" w:hAnsi="宋体" w:cs="宋体"/>
          <w:color w:val="auto"/>
          <w:spacing w:val="4"/>
          <w:sz w:val="24"/>
          <w:szCs w:val="24"/>
          <w:highlight w:val="none"/>
        </w:rPr>
        <w:t>包括锅炉排污水、</w:t>
      </w:r>
      <w:r>
        <w:rPr>
          <w:rFonts w:ascii="宋体" w:hAnsi="宋体" w:cs="宋体"/>
          <w:color w:val="auto"/>
          <w:spacing w:val="-3"/>
          <w:sz w:val="24"/>
          <w:szCs w:val="24"/>
          <w:highlight w:val="none"/>
        </w:rPr>
        <w:t>循环冷却排污水、软水制备废水、脱硫废水</w:t>
      </w:r>
      <w:r>
        <w:rPr>
          <w:rFonts w:ascii="宋体" w:hAnsi="宋体" w:cs="宋体"/>
          <w:color w:val="auto"/>
          <w:spacing w:val="-7"/>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textAlignment w:val="auto"/>
        <w:rPr>
          <w:rFonts w:ascii="Times New Roman" w:hAnsi="Times New Roman"/>
          <w:color w:val="auto"/>
          <w:kern w:val="2"/>
          <w:highlight w:val="none"/>
          <w:lang w:val="de-DE"/>
        </w:rPr>
      </w:pPr>
      <w:r>
        <w:rPr>
          <w:rFonts w:hint="eastAsia" w:ascii="Times New Roman" w:hAnsi="Times New Roman"/>
          <w:color w:val="auto"/>
          <w:kern w:val="2"/>
          <w:highlight w:val="none"/>
          <w:lang w:val="de-DE" w:eastAsia="zh-CN"/>
        </w:rPr>
        <w:t>本项目</w:t>
      </w:r>
      <w:r>
        <w:rPr>
          <w:rFonts w:ascii="宋体" w:hAnsi="宋体" w:cs="宋体"/>
          <w:color w:val="auto"/>
          <w:spacing w:val="4"/>
          <w:sz w:val="24"/>
          <w:szCs w:val="24"/>
          <w:highlight w:val="none"/>
        </w:rPr>
        <w:t>锅炉排污水</w:t>
      </w:r>
      <w:r>
        <w:rPr>
          <w:rFonts w:hint="eastAsia" w:ascii="宋体" w:hAnsi="宋体" w:cs="宋体"/>
          <w:color w:val="auto"/>
          <w:spacing w:val="4"/>
          <w:sz w:val="24"/>
          <w:szCs w:val="24"/>
          <w:highlight w:val="none"/>
          <w:lang w:eastAsia="zh-CN"/>
        </w:rPr>
        <w:t>、</w:t>
      </w:r>
      <w:r>
        <w:rPr>
          <w:rFonts w:ascii="宋体" w:hAnsi="宋体" w:cs="宋体"/>
          <w:color w:val="auto"/>
          <w:spacing w:val="-3"/>
          <w:sz w:val="24"/>
          <w:szCs w:val="24"/>
          <w:highlight w:val="none"/>
        </w:rPr>
        <w:t>循环冷却排污水、软水制备废水</w:t>
      </w:r>
      <w:r>
        <w:rPr>
          <w:rFonts w:ascii="Times New Roman" w:hAnsi="Times New Roman"/>
          <w:color w:val="auto"/>
          <w:kern w:val="2"/>
          <w:highlight w:val="none"/>
          <w:lang w:val="de-DE"/>
        </w:rPr>
        <w:t>全部排入厂区沉淀池，</w:t>
      </w:r>
      <w:r>
        <w:rPr>
          <w:rFonts w:hint="eastAsia" w:ascii="Times New Roman" w:hAnsi="Times New Roman"/>
          <w:color w:val="auto"/>
          <w:kern w:val="2"/>
          <w:highlight w:val="none"/>
          <w:lang w:val="de-DE"/>
        </w:rPr>
        <w:t>经</w:t>
      </w:r>
      <w:r>
        <w:rPr>
          <w:rFonts w:ascii="Times New Roman" w:hAnsi="Times New Roman"/>
          <w:color w:val="auto"/>
          <w:kern w:val="2"/>
          <w:highlight w:val="none"/>
          <w:lang w:val="de-DE"/>
        </w:rPr>
        <w:t>处理后可用于</w:t>
      </w:r>
      <w:r>
        <w:rPr>
          <w:rFonts w:hint="eastAsia"/>
          <w:color w:val="auto"/>
          <w:spacing w:val="-5"/>
          <w:sz w:val="24"/>
          <w:szCs w:val="24"/>
          <w:highlight w:val="none"/>
        </w:rPr>
        <w:t>除渣系统喷洒降尘</w:t>
      </w:r>
      <w:r>
        <w:rPr>
          <w:rFonts w:hint="eastAsia" w:ascii="Times New Roman" w:hAnsi="Times New Roman"/>
          <w:color w:val="auto"/>
          <w:kern w:val="2"/>
          <w:highlight w:val="none"/>
          <w:lang w:val="de-DE"/>
        </w:rPr>
        <w:t>；</w:t>
      </w:r>
      <w:r>
        <w:rPr>
          <w:rFonts w:ascii="Times New Roman" w:hAnsi="Times New Roman"/>
          <w:color w:val="auto"/>
          <w:kern w:val="2"/>
          <w:highlight w:val="none"/>
          <w:lang w:val="de-DE"/>
        </w:rPr>
        <w:t>脱</w:t>
      </w:r>
      <w:r>
        <w:rPr>
          <w:color w:val="auto"/>
          <w:spacing w:val="-5"/>
          <w:sz w:val="24"/>
          <w:szCs w:val="24"/>
          <w:highlight w:val="none"/>
        </w:rPr>
        <w:t>硫废水经中和、沉淀池处理后</w:t>
      </w:r>
      <w:r>
        <w:rPr>
          <w:rFonts w:hint="eastAsia"/>
          <w:color w:val="auto"/>
          <w:spacing w:val="-5"/>
          <w:sz w:val="24"/>
          <w:szCs w:val="24"/>
          <w:highlight w:val="none"/>
          <w:lang w:eastAsia="zh-CN"/>
        </w:rPr>
        <w:t>绝大部分循环使用，</w:t>
      </w:r>
      <w:r>
        <w:rPr>
          <w:rFonts w:hint="eastAsia" w:ascii="Times New Roman" w:hAnsi="宋体" w:cs="Times New Roman"/>
          <w:color w:val="auto"/>
          <w:kern w:val="0"/>
          <w:sz w:val="24"/>
          <w:szCs w:val="24"/>
          <w:highlight w:val="none"/>
        </w:rPr>
        <w:t>除损耗外，</w:t>
      </w:r>
      <w:r>
        <w:rPr>
          <w:rFonts w:hint="eastAsia" w:ascii="Times New Roman" w:hAnsi="宋体" w:cs="Times New Roman"/>
          <w:color w:val="auto"/>
          <w:kern w:val="0"/>
          <w:sz w:val="24"/>
          <w:szCs w:val="24"/>
          <w:highlight w:val="none"/>
          <w:lang w:eastAsia="zh-CN"/>
        </w:rPr>
        <w:t>其余</w:t>
      </w:r>
      <w:r>
        <w:rPr>
          <w:rFonts w:hint="eastAsia" w:ascii="Times New Roman" w:hAnsi="宋体" w:cs="Times New Roman"/>
          <w:color w:val="auto"/>
          <w:kern w:val="0"/>
          <w:sz w:val="24"/>
          <w:szCs w:val="24"/>
          <w:highlight w:val="none"/>
        </w:rPr>
        <w:t>全部直接回用于</w:t>
      </w:r>
      <w:r>
        <w:rPr>
          <w:rFonts w:hint="eastAsia" w:ascii="Times New Roman" w:hAnsi="宋体" w:cs="Times New Roman"/>
          <w:color w:val="auto"/>
          <w:kern w:val="0"/>
          <w:sz w:val="24"/>
          <w:szCs w:val="24"/>
          <w:highlight w:val="none"/>
          <w:lang w:eastAsia="zh-CN"/>
        </w:rPr>
        <w:t>煤场抑尘</w:t>
      </w:r>
      <w:r>
        <w:rPr>
          <w:rFonts w:hint="eastAsia" w:ascii="Times New Roman" w:hAnsi="宋体" w:cs="Times New Roman"/>
          <w:color w:val="auto"/>
          <w:kern w:val="0"/>
          <w:sz w:val="24"/>
          <w:szCs w:val="24"/>
          <w:highlight w:val="none"/>
        </w:rPr>
        <w:t>，不外排</w:t>
      </w:r>
      <w:r>
        <w:rPr>
          <w:rFonts w:ascii="Times New Roman" w:hAnsi="Times New Roman"/>
          <w:color w:val="auto"/>
          <w:kern w:val="2"/>
          <w:highlight w:val="none"/>
          <w:lang w:val="de-D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textAlignment w:val="auto"/>
        <w:rPr>
          <w:rFonts w:hint="eastAsia" w:ascii="Times New Roman" w:hAnsi="Times New Roman"/>
          <w:color w:val="auto"/>
          <w:kern w:val="2"/>
          <w:highlight w:val="none"/>
        </w:rPr>
      </w:pPr>
      <w:r>
        <w:rPr>
          <w:rFonts w:hint="eastAsia" w:ascii="Times New Roman" w:hAnsi="Times New Roman"/>
          <w:color w:val="auto"/>
          <w:kern w:val="2"/>
          <w:highlight w:val="none"/>
        </w:rPr>
        <w:t>（2）地下水污染防治措施</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right="0" w:firstLine="480" w:firstLineChars="200"/>
        <w:textAlignment w:val="auto"/>
        <w:rPr>
          <w:rFonts w:ascii="Times New Roman" w:hAnsi="Times New Roman" w:cs="Times New Roman"/>
          <w:color w:val="auto"/>
          <w:highlight w:val="none"/>
        </w:rPr>
      </w:pPr>
      <w:r>
        <w:rPr>
          <w:rFonts w:ascii="Times New Roman" w:hAnsi="Times New Roman" w:cs="Times New Roman"/>
          <w:color w:val="auto"/>
          <w:highlight w:val="none"/>
        </w:rPr>
        <w:t>运营期需避免废水对本工程所在区域的地下水造成影响。</w:t>
      </w:r>
    </w:p>
    <w:p>
      <w:pPr>
        <w:pStyle w:val="14"/>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right="0" w:firstLine="480" w:firstLineChars="200"/>
        <w:textAlignment w:val="auto"/>
        <w:rPr>
          <w:rFonts w:ascii="Times New Roman" w:hAnsi="Times New Roman" w:cs="Times New Roman"/>
          <w:color w:val="auto"/>
          <w:highlight w:val="none"/>
        </w:rPr>
      </w:pPr>
      <w:r>
        <w:rPr>
          <w:rFonts w:ascii="Times New Roman" w:hAnsi="Times New Roman" w:cs="Times New Roman"/>
          <w:color w:val="auto"/>
          <w:highlight w:val="none"/>
        </w:rPr>
        <w:t>加强锅炉房的管理，提高工作人员的操作水平，确保锅炉间的各种设备按照相应的规程、方法进行操作，减少操作过程中的错误</w:t>
      </w:r>
      <w:r>
        <w:rPr>
          <w:rFonts w:hint="eastAsia" w:ascii="Times New Roman" w:hAnsi="Times New Roman" w:cs="Times New Roman"/>
          <w:color w:val="auto"/>
          <w:highlight w:val="none"/>
        </w:rPr>
        <w:t>概率</w:t>
      </w:r>
      <w:r>
        <w:rPr>
          <w:rFonts w:ascii="Times New Roman" w:hAnsi="Times New Roman" w:cs="Times New Roman"/>
          <w:color w:val="auto"/>
          <w:highlight w:val="none"/>
        </w:rPr>
        <w:t>，避免发生环境风险，以起到预防环境污染的目的。</w:t>
      </w:r>
    </w:p>
    <w:p>
      <w:pPr>
        <w:pStyle w:val="1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（3）废水处理措施可行性分析</w:t>
      </w:r>
    </w:p>
    <w:p>
      <w:pPr>
        <w:pStyle w:val="1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本项目废水处理措施可行性分析见下表。</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default" w:ascii="Times New Roman" w:hAnsi="Times New Roman" w:cs="Times New Roman"/>
          <w:b/>
          <w:bCs/>
          <w:color w:val="auto"/>
          <w:kern w:val="0"/>
          <w:sz w:val="21"/>
          <w:szCs w:val="18"/>
          <w:highlight w:val="none"/>
        </w:rPr>
      </w:pPr>
      <w:r>
        <w:rPr>
          <w:rFonts w:hint="default" w:ascii="Times New Roman" w:hAnsi="Times New Roman" w:cs="Times New Roman"/>
          <w:b/>
          <w:bCs/>
          <w:color w:val="auto"/>
          <w:kern w:val="0"/>
          <w:sz w:val="21"/>
          <w:szCs w:val="18"/>
          <w:highlight w:val="none"/>
        </w:rPr>
        <w:t>表</w:t>
      </w:r>
      <w:r>
        <w:rPr>
          <w:rFonts w:hint="eastAsia" w:cs="Times New Roman"/>
          <w:b/>
          <w:bCs/>
          <w:color w:val="auto"/>
          <w:kern w:val="0"/>
          <w:sz w:val="21"/>
          <w:szCs w:val="18"/>
          <w:highlight w:val="none"/>
          <w:lang w:val="en-US" w:eastAsia="zh-CN"/>
        </w:rPr>
        <w:t xml:space="preserve"> </w:t>
      </w:r>
      <w:r>
        <w:rPr>
          <w:rFonts w:hint="default" w:ascii="Times New Roman" w:hAnsi="Times New Roman" w:cs="Times New Roman"/>
          <w:b/>
          <w:bCs/>
          <w:color w:val="auto"/>
          <w:kern w:val="0"/>
          <w:sz w:val="21"/>
          <w:szCs w:val="18"/>
          <w:highlight w:val="none"/>
        </w:rPr>
        <w:t>6.2-</w:t>
      </w:r>
      <w:r>
        <w:rPr>
          <w:rFonts w:hint="eastAsia" w:cs="Times New Roman"/>
          <w:b/>
          <w:bCs/>
          <w:color w:val="auto"/>
          <w:kern w:val="0"/>
          <w:sz w:val="21"/>
          <w:szCs w:val="18"/>
          <w:highlight w:val="none"/>
          <w:lang w:val="en-US" w:eastAsia="zh-CN"/>
        </w:rPr>
        <w:t>6</w:t>
      </w:r>
      <w:r>
        <w:rPr>
          <w:rFonts w:hint="default" w:ascii="Times New Roman" w:hAnsi="Times New Roman" w:cs="Times New Roman"/>
          <w:b/>
          <w:bCs/>
          <w:color w:val="auto"/>
          <w:kern w:val="0"/>
          <w:sz w:val="21"/>
          <w:szCs w:val="18"/>
          <w:highlight w:val="none"/>
        </w:rPr>
        <w:t xml:space="preserve"> </w:t>
      </w:r>
      <w:r>
        <w:rPr>
          <w:rFonts w:hint="eastAsia" w:cs="Times New Roman"/>
          <w:b/>
          <w:bCs/>
          <w:color w:val="auto"/>
          <w:kern w:val="0"/>
          <w:sz w:val="21"/>
          <w:szCs w:val="18"/>
          <w:highlight w:val="none"/>
          <w:lang w:val="en-US" w:eastAsia="zh-CN"/>
        </w:rPr>
        <w:t xml:space="preserve">  </w:t>
      </w:r>
      <w:r>
        <w:rPr>
          <w:rFonts w:hint="default" w:ascii="Times New Roman" w:hAnsi="Times New Roman" w:cs="Times New Roman"/>
          <w:b/>
          <w:bCs/>
          <w:color w:val="auto"/>
          <w:kern w:val="0"/>
          <w:sz w:val="21"/>
          <w:szCs w:val="18"/>
          <w:highlight w:val="none"/>
        </w:rPr>
        <w:t xml:space="preserve"> 废</w:t>
      </w:r>
      <w:r>
        <w:rPr>
          <w:rFonts w:hint="default" w:ascii="Times New Roman" w:hAnsi="Times New Roman" w:cs="Times New Roman"/>
          <w:b/>
          <w:bCs/>
          <w:color w:val="auto"/>
          <w:kern w:val="0"/>
          <w:sz w:val="21"/>
          <w:szCs w:val="18"/>
          <w:highlight w:val="none"/>
          <w:lang w:eastAsia="zh-CN"/>
        </w:rPr>
        <w:t>水</w:t>
      </w:r>
      <w:r>
        <w:rPr>
          <w:rFonts w:hint="default" w:ascii="Times New Roman" w:hAnsi="Times New Roman" w:cs="Times New Roman"/>
          <w:b/>
          <w:bCs/>
          <w:color w:val="auto"/>
          <w:kern w:val="0"/>
          <w:sz w:val="21"/>
          <w:szCs w:val="18"/>
          <w:highlight w:val="none"/>
        </w:rPr>
        <w:t>防治措施可行性分析表</w:t>
      </w:r>
    </w:p>
    <w:tbl>
      <w:tblPr>
        <w:tblStyle w:val="31"/>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1104"/>
        <w:gridCol w:w="1308"/>
        <w:gridCol w:w="1245"/>
        <w:gridCol w:w="1958"/>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val="de-DE" w:eastAsia="zh-CN"/>
              </w:rPr>
            </w:pPr>
            <w:r>
              <w:rPr>
                <w:rFonts w:hint="eastAsia"/>
                <w:color w:val="auto"/>
                <w:sz w:val="21"/>
                <w:szCs w:val="21"/>
                <w:highlight w:val="none"/>
                <w:lang w:val="de-DE" w:eastAsia="zh-CN"/>
              </w:rPr>
              <w:t>可行技术</w:t>
            </w:r>
          </w:p>
        </w:tc>
        <w:tc>
          <w:tcPr>
            <w:tcW w:w="11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val="de-DE" w:eastAsia="zh-CN"/>
              </w:rPr>
            </w:pPr>
            <w:r>
              <w:rPr>
                <w:rFonts w:hint="eastAsia"/>
                <w:color w:val="auto"/>
                <w:sz w:val="21"/>
                <w:szCs w:val="21"/>
                <w:highlight w:val="none"/>
                <w:lang w:val="de-DE" w:eastAsia="zh-CN"/>
              </w:rPr>
              <w:t>废水种类</w:t>
            </w: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lang w:val="de-DE"/>
              </w:rPr>
            </w:pPr>
            <w:r>
              <w:rPr>
                <w:color w:val="auto"/>
                <w:sz w:val="21"/>
                <w:szCs w:val="21"/>
                <w:highlight w:val="none"/>
                <w:lang w:val="de-DE"/>
              </w:rPr>
              <w:t>治理技术</w:t>
            </w:r>
          </w:p>
        </w:tc>
        <w:tc>
          <w:tcPr>
            <w:tcW w:w="12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val="de-DE" w:eastAsia="zh-CN"/>
              </w:rPr>
            </w:pPr>
            <w:r>
              <w:rPr>
                <w:rFonts w:hint="eastAsia"/>
                <w:color w:val="auto"/>
                <w:sz w:val="21"/>
                <w:szCs w:val="21"/>
                <w:highlight w:val="none"/>
                <w:lang w:val="de-DE" w:eastAsia="zh-CN"/>
              </w:rPr>
              <w:t>排放去向</w:t>
            </w:r>
          </w:p>
        </w:tc>
        <w:tc>
          <w:tcPr>
            <w:tcW w:w="19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rFonts w:ascii="Times New Roman" w:hAnsi="Times New Roman"/>
                <w:color w:val="auto"/>
                <w:kern w:val="2"/>
                <w:sz w:val="21"/>
                <w:szCs w:val="21"/>
                <w:highlight w:val="none"/>
                <w:lang w:val="en-US" w:eastAsia="zh-CN"/>
              </w:rPr>
              <w:t>本项目</w:t>
            </w:r>
          </w:p>
        </w:tc>
        <w:tc>
          <w:tcPr>
            <w:tcW w:w="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rFonts w:ascii="Times New Roman" w:hAnsi="Times New Roman"/>
                <w:color w:val="auto"/>
                <w:kern w:val="2"/>
                <w:sz w:val="21"/>
                <w:szCs w:val="21"/>
                <w:highlight w:val="none"/>
                <w:lang w:val="de-DE"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《工业锅炉污染防治可行技术指南》（HJ1178-2021）</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eastAsia="zh-CN"/>
              </w:rPr>
            </w:pPr>
            <w:r>
              <w:rPr>
                <w:color w:val="auto"/>
                <w:sz w:val="21"/>
                <w:szCs w:val="21"/>
                <w:highlight w:val="none"/>
                <w:lang w:val="de-DE"/>
              </w:rPr>
              <w:t>可行技术</w:t>
            </w:r>
            <w:r>
              <w:rPr>
                <w:rFonts w:hint="eastAsia"/>
                <w:color w:val="auto"/>
                <w:sz w:val="21"/>
                <w:szCs w:val="21"/>
                <w:highlight w:val="none"/>
                <w:lang w:val="en-US" w:eastAsia="zh-CN"/>
              </w:rPr>
              <w:t>1</w:t>
            </w:r>
          </w:p>
        </w:tc>
        <w:tc>
          <w:tcPr>
            <w:tcW w:w="11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val="de-DE" w:eastAsia="zh-CN"/>
              </w:rPr>
            </w:pPr>
            <w:r>
              <w:rPr>
                <w:rFonts w:hint="eastAsia"/>
                <w:color w:val="auto"/>
                <w:sz w:val="21"/>
                <w:szCs w:val="21"/>
                <w:highlight w:val="none"/>
                <w:lang w:val="de-DE" w:eastAsia="zh-CN"/>
              </w:rPr>
              <w:t>湿法脱硫废水</w:t>
            </w: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lang w:val="de-DE"/>
              </w:rPr>
            </w:pPr>
            <w:r>
              <w:rPr>
                <w:rFonts w:hint="eastAsia"/>
                <w:color w:val="auto"/>
                <w:sz w:val="21"/>
                <w:szCs w:val="21"/>
                <w:highlight w:val="none"/>
                <w:lang w:val="de-DE"/>
              </w:rPr>
              <w:t>pH调整+沉淀+絮凝+澄清+浓缩+氧化</w:t>
            </w:r>
          </w:p>
        </w:tc>
        <w:tc>
          <w:tcPr>
            <w:tcW w:w="12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val="de-DE" w:eastAsia="zh-CN"/>
              </w:rPr>
            </w:pPr>
            <w:r>
              <w:rPr>
                <w:rFonts w:hint="eastAsia"/>
                <w:color w:val="auto"/>
                <w:sz w:val="21"/>
                <w:szCs w:val="21"/>
                <w:highlight w:val="none"/>
                <w:lang w:val="de-DE" w:eastAsia="zh-CN"/>
              </w:rPr>
              <w:t>处理后回用或间接排放</w:t>
            </w:r>
          </w:p>
        </w:tc>
        <w:tc>
          <w:tcPr>
            <w:tcW w:w="19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de-DE" w:eastAsia="zh-CN"/>
              </w:rPr>
              <w:t>本项目脱硫废水经中和、沉淀处理系统处理后绝大部分循环使用，除损耗外，其余全部直接回用于煤场抑尘，不外排</w:t>
            </w:r>
          </w:p>
        </w:tc>
        <w:tc>
          <w:tcPr>
            <w:tcW w:w="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rFonts w:hint="eastAsia"/>
                <w:color w:val="auto"/>
                <w:sz w:val="21"/>
                <w:szCs w:val="21"/>
                <w:highlight w:val="none"/>
                <w:lang w:val="de-DE"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de-DE" w:eastAsia="zh-CN"/>
              </w:rPr>
              <w:t>可行技术</w:t>
            </w:r>
            <w:r>
              <w:rPr>
                <w:rFonts w:hint="eastAsia"/>
                <w:color w:val="auto"/>
                <w:sz w:val="21"/>
                <w:szCs w:val="21"/>
                <w:highlight w:val="none"/>
                <w:lang w:val="en-US" w:eastAsia="zh-CN"/>
              </w:rPr>
              <w:t>4</w:t>
            </w:r>
          </w:p>
        </w:tc>
        <w:tc>
          <w:tcPr>
            <w:tcW w:w="11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val="de-DE" w:eastAsia="zh-CN"/>
              </w:rPr>
            </w:pPr>
            <w:r>
              <w:rPr>
                <w:rFonts w:hint="eastAsia"/>
                <w:color w:val="auto"/>
                <w:sz w:val="21"/>
                <w:szCs w:val="21"/>
                <w:highlight w:val="none"/>
                <w:lang w:val="de-DE" w:eastAsia="zh-CN"/>
              </w:rPr>
              <w:t>软化水再生浓盐废水</w:t>
            </w: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de-DE" w:eastAsia="zh-CN"/>
              </w:rPr>
              <w:t>絮凝</w:t>
            </w:r>
            <w:r>
              <w:rPr>
                <w:rFonts w:hint="eastAsia"/>
                <w:color w:val="auto"/>
                <w:sz w:val="21"/>
                <w:szCs w:val="21"/>
                <w:highlight w:val="none"/>
                <w:lang w:val="en-US" w:eastAsia="zh-CN"/>
              </w:rPr>
              <w:t>+澄清</w:t>
            </w:r>
          </w:p>
        </w:tc>
        <w:tc>
          <w:tcPr>
            <w:tcW w:w="12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rFonts w:hint="eastAsia"/>
                <w:color w:val="auto"/>
                <w:sz w:val="21"/>
                <w:szCs w:val="21"/>
                <w:highlight w:val="none"/>
                <w:lang w:val="de-DE" w:eastAsia="zh-CN"/>
              </w:rPr>
              <w:t>处理后回用或排至生产废水集中处理系统</w:t>
            </w:r>
          </w:p>
        </w:tc>
        <w:tc>
          <w:tcPr>
            <w:tcW w:w="19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rFonts w:hint="eastAsia" w:ascii="Times New Roman" w:hAnsi="Times New Roman" w:eastAsia="宋体" w:cs="Times New Roman"/>
                <w:color w:val="auto"/>
                <w:sz w:val="21"/>
                <w:szCs w:val="21"/>
                <w:highlight w:val="none"/>
                <w:vertAlign w:val="baseline"/>
                <w:lang w:val="en-US" w:eastAsia="zh-CN"/>
              </w:rPr>
              <w:t>经沉淀处理后用于</w:t>
            </w:r>
            <w:r>
              <w:rPr>
                <w:rFonts w:hint="default" w:ascii="Times New Roman" w:hAnsi="Times New Roman" w:eastAsia="宋体" w:cs="Times New Roman"/>
                <w:color w:val="auto"/>
                <w:sz w:val="21"/>
                <w:szCs w:val="21"/>
                <w:highlight w:val="none"/>
                <w:vertAlign w:val="baseline"/>
                <w:lang w:val="en-US" w:eastAsia="zh-CN"/>
              </w:rPr>
              <w:t>除渣系统</w:t>
            </w:r>
          </w:p>
        </w:tc>
        <w:tc>
          <w:tcPr>
            <w:tcW w:w="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color w:val="auto"/>
                <w:sz w:val="21"/>
                <w:szCs w:val="21"/>
                <w:highlight w:val="none"/>
                <w:lang w:val="de-D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8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de-DE" w:eastAsia="zh-CN"/>
              </w:rPr>
              <w:t>可行技术</w:t>
            </w:r>
            <w:r>
              <w:rPr>
                <w:rFonts w:hint="eastAsia"/>
                <w:color w:val="auto"/>
                <w:sz w:val="21"/>
                <w:szCs w:val="21"/>
                <w:highlight w:val="none"/>
                <w:lang w:val="en-US" w:eastAsia="zh-CN"/>
              </w:rPr>
              <w:t>5</w:t>
            </w:r>
          </w:p>
        </w:tc>
        <w:tc>
          <w:tcPr>
            <w:tcW w:w="11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rFonts w:hint="eastAsia"/>
                <w:color w:val="auto"/>
                <w:sz w:val="21"/>
                <w:szCs w:val="21"/>
                <w:highlight w:val="none"/>
                <w:lang w:val="de-DE" w:eastAsia="zh-CN"/>
              </w:rPr>
              <w:t>锅炉排污水</w:t>
            </w:r>
          </w:p>
        </w:tc>
        <w:tc>
          <w:tcPr>
            <w:tcW w:w="13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rFonts w:hint="eastAsia"/>
                <w:color w:val="auto"/>
                <w:sz w:val="21"/>
                <w:szCs w:val="21"/>
                <w:highlight w:val="none"/>
                <w:lang w:val="de-DE"/>
              </w:rPr>
              <w:t>pH调整+絮凝+澄清</w:t>
            </w:r>
          </w:p>
        </w:tc>
        <w:tc>
          <w:tcPr>
            <w:tcW w:w="12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p>
        </w:tc>
        <w:tc>
          <w:tcPr>
            <w:tcW w:w="19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rFonts w:hint="eastAsia" w:ascii="Times New Roman" w:hAnsi="Times New Roman" w:eastAsia="宋体" w:cs="Times New Roman"/>
                <w:color w:val="auto"/>
                <w:sz w:val="21"/>
                <w:szCs w:val="21"/>
                <w:highlight w:val="none"/>
                <w:vertAlign w:val="baseline"/>
                <w:lang w:val="en-US" w:eastAsia="zh-CN"/>
              </w:rPr>
              <w:t>调节pH值，沉淀用于</w:t>
            </w:r>
            <w:r>
              <w:rPr>
                <w:rFonts w:hint="default" w:ascii="Times New Roman" w:hAnsi="Times New Roman" w:eastAsia="宋体" w:cs="Times New Roman"/>
                <w:color w:val="auto"/>
                <w:sz w:val="21"/>
                <w:szCs w:val="21"/>
                <w:highlight w:val="none"/>
                <w:vertAlign w:val="baseline"/>
                <w:lang w:val="en-US" w:eastAsia="zh-CN"/>
              </w:rPr>
              <w:t>除渣系统</w:t>
            </w:r>
          </w:p>
        </w:tc>
        <w:tc>
          <w:tcPr>
            <w:tcW w:w="9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color w:val="auto"/>
                <w:sz w:val="21"/>
                <w:szCs w:val="21"/>
                <w:highlight w:val="none"/>
                <w:lang w:val="de-DE" w:eastAsia="zh-CN"/>
              </w:rPr>
            </w:pPr>
            <w:r>
              <w:rPr>
                <w:color w:val="auto"/>
                <w:sz w:val="21"/>
                <w:szCs w:val="21"/>
                <w:highlight w:val="none"/>
                <w:lang w:val="de-DE"/>
              </w:rPr>
              <w:t>符合</w:t>
            </w:r>
          </w:p>
        </w:tc>
      </w:tr>
    </w:tbl>
    <w:p>
      <w:pPr>
        <w:pStyle w:val="6"/>
        <w:numPr>
          <w:ilvl w:val="2"/>
          <w:numId w:val="21"/>
        </w:numPr>
        <w:tabs>
          <w:tab w:val="left" w:pos="1241"/>
        </w:tabs>
        <w:adjustRightInd w:val="0"/>
        <w:snapToGrid w:val="0"/>
        <w:spacing w:line="360" w:lineRule="auto"/>
        <w:ind w:left="0" w:firstLine="562" w:firstLineChars="200"/>
        <w:jc w:val="both"/>
      </w:pPr>
      <w:bookmarkStart w:id="330" w:name="6.2.3_噪声污染防治措施分析"/>
      <w:bookmarkEnd w:id="330"/>
      <w:r>
        <w:t>噪声污染防治措施分析</w:t>
      </w:r>
    </w:p>
    <w:p>
      <w:pPr>
        <w:bidi w:val="0"/>
        <w:rPr>
          <w:color w:val="auto"/>
          <w:highlight w:val="none"/>
        </w:rPr>
      </w:pPr>
      <w:r>
        <w:rPr>
          <w:color w:val="auto"/>
          <w:highlight w:val="none"/>
        </w:rPr>
        <w:t>本项目主要噪声为锅炉、辅助设备（引风机、空压机、除尘设备、水泵、一次风机、二次风机）等机械设备、各种管道介质的流动和</w:t>
      </w:r>
      <w:r>
        <w:rPr>
          <w:rFonts w:hint="eastAsia"/>
          <w:color w:val="auto"/>
          <w:highlight w:val="none"/>
        </w:rPr>
        <w:t>排气</w:t>
      </w:r>
      <w:r>
        <w:rPr>
          <w:color w:val="auto"/>
          <w:highlight w:val="none"/>
        </w:rPr>
        <w:t>、煤及灰渣运输等产生的噪声。</w:t>
      </w:r>
    </w:p>
    <w:p>
      <w:pPr>
        <w:bidi w:val="0"/>
        <w:rPr>
          <w:color w:val="auto"/>
          <w:highlight w:val="none"/>
        </w:rPr>
      </w:pPr>
      <w:r>
        <w:rPr>
          <w:color w:val="auto"/>
          <w:highlight w:val="none"/>
        </w:rPr>
        <w:t>本项目除要求制造厂的机械设备符合规定的噪声标准外，还采取了以下治理措施：</w:t>
      </w:r>
    </w:p>
    <w:p>
      <w:pPr>
        <w:bidi w:val="0"/>
        <w:rPr>
          <w:color w:val="auto"/>
          <w:highlight w:val="none"/>
        </w:rPr>
      </w:pPr>
      <w:r>
        <w:rPr>
          <w:color w:val="auto"/>
          <w:highlight w:val="none"/>
        </w:rPr>
        <w:t>（1）噪声较大的设备布置在远离人员较集中的地方。</w:t>
      </w:r>
    </w:p>
    <w:p>
      <w:pPr>
        <w:bidi w:val="0"/>
        <w:rPr>
          <w:color w:val="auto"/>
          <w:highlight w:val="none"/>
        </w:rPr>
      </w:pPr>
      <w:r>
        <w:rPr>
          <w:color w:val="auto"/>
          <w:highlight w:val="none"/>
        </w:rPr>
        <w:t>（2）</w:t>
      </w:r>
      <w:r>
        <w:rPr>
          <w:rFonts w:hint="eastAsia"/>
          <w:color w:val="auto"/>
          <w:highlight w:val="none"/>
        </w:rPr>
        <w:t>对运行噪声较大且无法控制产生噪声的设备，要将其安装在封闭厂房或室内，如不能达到标准要求，应采取有效的隔声降噪措施。如在锅炉对空排气口，锅炉房风机等处加装消声器，以降低气流噪声。锅炉对空排气口消声器的消声量不小于30dB(A)。</w:t>
      </w:r>
    </w:p>
    <w:p>
      <w:pPr>
        <w:bidi w:val="0"/>
        <w:rPr>
          <w:color w:val="auto"/>
          <w:highlight w:val="none"/>
        </w:rPr>
      </w:pPr>
      <w:r>
        <w:rPr>
          <w:rFonts w:hint="eastAsia"/>
          <w:color w:val="auto"/>
          <w:highlight w:val="none"/>
        </w:rPr>
        <w:t>（3）</w:t>
      </w:r>
      <w:r>
        <w:rPr>
          <w:color w:val="auto"/>
          <w:highlight w:val="none"/>
        </w:rPr>
        <w:t>在风烟道与风机接口处采用软性接头，对引风机及烟道、二次风机及热风道进行保温，并在风、烟道上适当设置了加强筋以增加刚度、改变钢板振动频率，从而减少了流动噪声及相应引起的振动噪声及传递，以减少振动噪声。</w:t>
      </w:r>
    </w:p>
    <w:p>
      <w:pPr>
        <w:bidi w:val="0"/>
        <w:rPr>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highlight w:val="none"/>
        </w:rPr>
        <w:t>尽量使烟风管道布置合理，使介质流动畅通，减少空气动力噪声。优化锅炉房等管道设计，管道设计做到合理布置，流道顺畅，并考虑防震措施。合理选择各支吊架形式并合理布置，降低气流和振动噪声。</w:t>
      </w:r>
    </w:p>
    <w:p>
      <w:pPr>
        <w:bidi w:val="0"/>
        <w:rPr>
          <w:color w:val="auto"/>
          <w:highlight w:val="none"/>
        </w:rPr>
      </w:pPr>
      <w:r>
        <w:rPr>
          <w:color w:val="auto"/>
          <w:highlight w:val="none"/>
        </w:rPr>
        <w:t>（</w:t>
      </w:r>
      <w:r>
        <w:rPr>
          <w:rFonts w:hint="eastAsia"/>
          <w:color w:val="auto"/>
          <w:highlight w:val="none"/>
        </w:rPr>
        <w:t>5</w:t>
      </w:r>
      <w:r>
        <w:rPr>
          <w:color w:val="auto"/>
          <w:highlight w:val="none"/>
        </w:rPr>
        <w:t>）锅炉</w:t>
      </w:r>
      <w:r>
        <w:rPr>
          <w:rFonts w:hint="eastAsia"/>
          <w:color w:val="auto"/>
          <w:highlight w:val="none"/>
        </w:rPr>
        <w:t>排气</w:t>
      </w:r>
      <w:r>
        <w:rPr>
          <w:color w:val="auto"/>
          <w:highlight w:val="none"/>
        </w:rPr>
        <w:t>安装了消声器；锅炉点火</w:t>
      </w:r>
      <w:r>
        <w:rPr>
          <w:rFonts w:hint="eastAsia"/>
          <w:color w:val="auto"/>
          <w:highlight w:val="none"/>
        </w:rPr>
        <w:t>排气</w:t>
      </w:r>
      <w:r>
        <w:rPr>
          <w:color w:val="auto"/>
          <w:highlight w:val="none"/>
        </w:rPr>
        <w:t>管设置了小孔消音器。</w:t>
      </w:r>
    </w:p>
    <w:p>
      <w:pPr>
        <w:bidi w:val="0"/>
        <w:rPr>
          <w:color w:val="auto"/>
          <w:highlight w:val="none"/>
        </w:rPr>
      </w:pPr>
      <w:r>
        <w:rPr>
          <w:color w:val="auto"/>
          <w:highlight w:val="none"/>
        </w:rPr>
        <w:t>同时为了本项目噪声能够稳定达标，环评提出以下要求：</w:t>
      </w:r>
    </w:p>
    <w:p>
      <w:pPr>
        <w:bidi w:val="0"/>
        <w:rPr>
          <w:color w:val="auto"/>
          <w:highlight w:val="none"/>
        </w:rPr>
      </w:pPr>
      <w:r>
        <w:rPr>
          <w:color w:val="auto"/>
          <w:highlight w:val="none"/>
        </w:rPr>
        <w:t>（1）在运行管理人员集中的控制室内，门窗处设置吸声装置（如密封隔音门窗等），室内设置吸声吊顶，以减少噪声对运行人员的影响。</w:t>
      </w:r>
    </w:p>
    <w:p>
      <w:pPr>
        <w:bidi w:val="0"/>
        <w:rPr>
          <w:color w:val="auto"/>
          <w:highlight w:val="none"/>
        </w:rPr>
      </w:pPr>
      <w:r>
        <w:rPr>
          <w:color w:val="auto"/>
          <w:highlight w:val="none"/>
        </w:rPr>
        <w:t>（2）为减轻煤及灰渣运输过程中车辆对其集中通过区域的影响，厂方应对运输车辆加强管理和维护，保持车辆有良好的车况，要求机动车驾驶人员经过噪声敏感区地段限制车速，禁止鸣笛。</w:t>
      </w:r>
    </w:p>
    <w:p>
      <w:pPr>
        <w:bidi w:val="0"/>
        <w:rPr>
          <w:color w:val="auto"/>
          <w:highlight w:val="none"/>
        </w:rPr>
      </w:pPr>
      <w:r>
        <w:rPr>
          <w:rFonts w:hint="eastAsia"/>
          <w:color w:val="auto"/>
          <w:highlight w:val="none"/>
        </w:rPr>
        <w:t>（3）要求企业加强管理，应制定严格的管理规程，包括作业管理、作业环境管理、健康管理和职业卫生管理等一系列措施。</w:t>
      </w:r>
    </w:p>
    <w:p>
      <w:pPr>
        <w:bidi w:val="0"/>
        <w:rPr>
          <w:color w:val="auto"/>
          <w:highlight w:val="none"/>
        </w:rPr>
      </w:pPr>
      <w:r>
        <w:rPr>
          <w:color w:val="auto"/>
          <w:highlight w:val="none"/>
        </w:rPr>
        <w:t>上述降噪措施是目前工业生产中噪声控制中常用和通用技术，成熟可靠，效果明显。另外本工程在四周建有围墙及绿化带，也能起到良好的隔声效果。</w:t>
      </w:r>
    </w:p>
    <w:p>
      <w:pPr>
        <w:bidi w:val="0"/>
        <w:rPr>
          <w:color w:val="auto"/>
          <w:highlight w:val="none"/>
        </w:rPr>
      </w:pPr>
      <w:r>
        <w:rPr>
          <w:color w:val="auto"/>
          <w:highlight w:val="none"/>
        </w:rPr>
        <w:t>采取上述控制措施后，噪声源强可降低</w:t>
      </w:r>
      <w:r>
        <w:rPr>
          <w:rFonts w:hint="eastAsia"/>
          <w:color w:val="auto"/>
          <w:highlight w:val="none"/>
          <w:lang w:val="en-US" w:eastAsia="zh-CN"/>
        </w:rPr>
        <w:t>1</w:t>
      </w:r>
      <w:r>
        <w:rPr>
          <w:color w:val="auto"/>
          <w:highlight w:val="none"/>
        </w:rPr>
        <w:t>5～30dB（A），再经距离衰减，预测结果表明，锅炉房厂界噪声及敏感点噪声可以达到《工业企业厂界环境噪声排放标准》（GBl2348-2008）</w:t>
      </w:r>
      <w:r>
        <w:rPr>
          <w:rFonts w:hint="eastAsia"/>
          <w:color w:val="auto"/>
          <w:highlight w:val="none"/>
          <w:lang w:val="en-US" w:eastAsia="zh-CN"/>
        </w:rPr>
        <w:t>3</w:t>
      </w:r>
      <w:r>
        <w:rPr>
          <w:color w:val="auto"/>
          <w:highlight w:val="none"/>
        </w:rPr>
        <w:t>类标准要求，噪声源对周围环境敏感点的贡献值较小，区域声环境可维持现状水平，不会产生噪声扰民现象。因此，本评价认为本工程采取的噪声防治措施可行。</w:t>
      </w:r>
    </w:p>
    <w:p>
      <w:pPr>
        <w:bidi w:val="0"/>
        <w:rPr>
          <w:rFonts w:hint="eastAsia" w:eastAsia="宋体"/>
          <w:color w:val="auto"/>
          <w:szCs w:val="24"/>
          <w:highlight w:val="none"/>
          <w:lang w:val="en-US" w:eastAsia="zh-CN"/>
        </w:rPr>
      </w:pPr>
      <w:r>
        <w:rPr>
          <w:rFonts w:hint="eastAsia"/>
          <w:color w:val="auto"/>
          <w:highlight w:val="none"/>
          <w:lang w:eastAsia="zh-CN"/>
        </w:rPr>
        <w:t>本项目具体噪声源污染治理措施可行性分析见表</w:t>
      </w:r>
      <w:r>
        <w:rPr>
          <w:rFonts w:hint="eastAsia"/>
          <w:color w:val="auto"/>
          <w:highlight w:val="none"/>
          <w:lang w:val="en-US" w:eastAsia="zh-CN"/>
        </w:rPr>
        <w:t>6.2-7。</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default" w:ascii="Times New Roman" w:hAnsi="Times New Roman" w:cs="Times New Roman"/>
          <w:b/>
          <w:bCs/>
          <w:color w:val="auto"/>
          <w:kern w:val="0"/>
          <w:sz w:val="21"/>
          <w:szCs w:val="18"/>
          <w:highlight w:val="none"/>
        </w:rPr>
      </w:pPr>
      <w:r>
        <w:rPr>
          <w:rFonts w:hint="default" w:ascii="Times New Roman" w:hAnsi="Times New Roman" w:cs="Times New Roman"/>
          <w:b/>
          <w:bCs/>
          <w:color w:val="auto"/>
          <w:kern w:val="0"/>
          <w:sz w:val="21"/>
          <w:szCs w:val="18"/>
          <w:highlight w:val="none"/>
        </w:rPr>
        <w:t>表</w:t>
      </w:r>
      <w:r>
        <w:rPr>
          <w:rFonts w:hint="eastAsia" w:cs="Times New Roman"/>
          <w:b/>
          <w:bCs/>
          <w:color w:val="auto"/>
          <w:kern w:val="0"/>
          <w:sz w:val="21"/>
          <w:szCs w:val="18"/>
          <w:highlight w:val="none"/>
          <w:lang w:val="en-US" w:eastAsia="zh-CN"/>
        </w:rPr>
        <w:t xml:space="preserve"> </w:t>
      </w:r>
      <w:r>
        <w:rPr>
          <w:rFonts w:hint="default" w:ascii="Times New Roman" w:hAnsi="Times New Roman" w:cs="Times New Roman"/>
          <w:b/>
          <w:bCs/>
          <w:color w:val="auto"/>
          <w:kern w:val="0"/>
          <w:sz w:val="21"/>
          <w:szCs w:val="18"/>
          <w:highlight w:val="none"/>
        </w:rPr>
        <w:t>6.2-</w:t>
      </w:r>
      <w:r>
        <w:rPr>
          <w:rFonts w:hint="eastAsia" w:cs="Times New Roman"/>
          <w:b/>
          <w:bCs/>
          <w:color w:val="auto"/>
          <w:kern w:val="0"/>
          <w:sz w:val="21"/>
          <w:szCs w:val="18"/>
          <w:highlight w:val="none"/>
          <w:lang w:val="en-US" w:eastAsia="zh-CN"/>
        </w:rPr>
        <w:t>7</w:t>
      </w:r>
      <w:r>
        <w:rPr>
          <w:rFonts w:hint="default" w:ascii="Times New Roman" w:hAnsi="Times New Roman" w:cs="Times New Roman"/>
          <w:b/>
          <w:bCs/>
          <w:color w:val="auto"/>
          <w:kern w:val="0"/>
          <w:sz w:val="21"/>
          <w:szCs w:val="18"/>
          <w:highlight w:val="none"/>
        </w:rPr>
        <w:t xml:space="preserve"> </w:t>
      </w:r>
      <w:r>
        <w:rPr>
          <w:rFonts w:hint="eastAsia" w:cs="Times New Roman"/>
          <w:b/>
          <w:bCs/>
          <w:color w:val="auto"/>
          <w:kern w:val="0"/>
          <w:sz w:val="21"/>
          <w:szCs w:val="18"/>
          <w:highlight w:val="none"/>
          <w:lang w:val="en-US" w:eastAsia="zh-CN"/>
        </w:rPr>
        <w:t xml:space="preserve">  </w:t>
      </w:r>
      <w:r>
        <w:rPr>
          <w:rFonts w:hint="default" w:ascii="Times New Roman" w:hAnsi="Times New Roman" w:cs="Times New Roman"/>
          <w:b/>
          <w:bCs/>
          <w:color w:val="auto"/>
          <w:kern w:val="0"/>
          <w:sz w:val="21"/>
          <w:szCs w:val="18"/>
          <w:highlight w:val="none"/>
        </w:rPr>
        <w:t xml:space="preserve"> </w:t>
      </w:r>
      <w:r>
        <w:rPr>
          <w:rFonts w:hint="default" w:ascii="Times New Roman" w:hAnsi="Times New Roman" w:cs="Times New Roman"/>
          <w:b/>
          <w:bCs/>
          <w:color w:val="auto"/>
          <w:kern w:val="0"/>
          <w:sz w:val="21"/>
          <w:szCs w:val="18"/>
          <w:highlight w:val="none"/>
          <w:lang w:eastAsia="zh-CN"/>
        </w:rPr>
        <w:t>噪声污染</w:t>
      </w:r>
      <w:r>
        <w:rPr>
          <w:rFonts w:hint="default" w:ascii="Times New Roman" w:hAnsi="Times New Roman" w:cs="Times New Roman"/>
          <w:b/>
          <w:bCs/>
          <w:color w:val="auto"/>
          <w:kern w:val="0"/>
          <w:sz w:val="21"/>
          <w:szCs w:val="18"/>
          <w:highlight w:val="none"/>
        </w:rPr>
        <w:t>防治可行性分析表</w:t>
      </w:r>
    </w:p>
    <w:tbl>
      <w:tblPr>
        <w:tblStyle w:val="31"/>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094"/>
        <w:gridCol w:w="1424"/>
        <w:gridCol w:w="2532"/>
        <w:gridCol w:w="1780"/>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433"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b/>
                <w:bCs/>
                <w:color w:val="auto"/>
                <w:sz w:val="21"/>
                <w:szCs w:val="21"/>
                <w:highlight w:val="none"/>
              </w:rPr>
            </w:pPr>
            <w:r>
              <w:rPr>
                <w:rFonts w:hint="eastAsia"/>
                <w:b/>
                <w:bCs/>
                <w:color w:val="auto"/>
                <w:sz w:val="21"/>
                <w:szCs w:val="21"/>
                <w:highlight w:val="none"/>
              </w:rPr>
              <w:t>序号</w:t>
            </w:r>
          </w:p>
        </w:tc>
        <w:tc>
          <w:tcPr>
            <w:tcW w:w="650"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b/>
                <w:bCs/>
                <w:color w:val="auto"/>
                <w:sz w:val="21"/>
                <w:szCs w:val="21"/>
                <w:highlight w:val="none"/>
              </w:rPr>
            </w:pPr>
            <w:r>
              <w:rPr>
                <w:rFonts w:hint="eastAsia"/>
                <w:b/>
                <w:bCs/>
                <w:color w:val="auto"/>
                <w:sz w:val="21"/>
                <w:szCs w:val="21"/>
                <w:highlight w:val="none"/>
              </w:rPr>
              <w:t>分类</w:t>
            </w:r>
          </w:p>
        </w:tc>
        <w:tc>
          <w:tcPr>
            <w:tcW w:w="846"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b/>
                <w:bCs/>
                <w:color w:val="auto"/>
                <w:sz w:val="21"/>
                <w:szCs w:val="21"/>
                <w:highlight w:val="none"/>
              </w:rPr>
            </w:pPr>
            <w:r>
              <w:rPr>
                <w:rFonts w:hint="eastAsia"/>
                <w:b/>
                <w:bCs/>
                <w:color w:val="auto"/>
                <w:sz w:val="21"/>
                <w:szCs w:val="21"/>
                <w:highlight w:val="none"/>
              </w:rPr>
              <w:t>噪声源</w:t>
            </w:r>
          </w:p>
        </w:tc>
        <w:tc>
          <w:tcPr>
            <w:tcW w:w="1504"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ascii="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《工业锅炉污染防治可行技术指南》(HJ1178- -2021)、《排污许可申请与核发技术规范锅炉》</w:t>
            </w:r>
            <w:r>
              <w:rPr>
                <w:rFonts w:hint="eastAsia"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HJ953-2018</w:t>
            </w:r>
            <w:r>
              <w:rPr>
                <w:rFonts w:hint="eastAsia" w:ascii="Times New Roman" w:hAnsi="Times New Roman" w:eastAsia="宋体" w:cs="Times New Roman"/>
                <w:b/>
                <w:bCs/>
                <w:color w:val="auto"/>
                <w:sz w:val="21"/>
                <w:szCs w:val="21"/>
                <w:highlight w:val="none"/>
                <w:lang w:val="en-US" w:eastAsia="zh-CN"/>
              </w:rPr>
              <w:t>）</w:t>
            </w:r>
            <w:r>
              <w:rPr>
                <w:rFonts w:ascii="Times New Roman" w:hAnsi="Times New Roman" w:eastAsia="宋体" w:cs="Times New Roman"/>
                <w:b/>
                <w:bCs/>
                <w:color w:val="auto"/>
                <w:sz w:val="21"/>
                <w:szCs w:val="21"/>
                <w:highlight w:val="none"/>
              </w:rPr>
              <w:t>中可行技术</w:t>
            </w:r>
          </w:p>
        </w:tc>
        <w:tc>
          <w:tcPr>
            <w:tcW w:w="1057"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ascii="Times New Roman"/>
                <w:b/>
                <w:bCs/>
                <w:color w:val="auto"/>
                <w:sz w:val="21"/>
                <w:szCs w:val="21"/>
                <w:highlight w:val="none"/>
              </w:rPr>
            </w:pPr>
            <w:r>
              <w:rPr>
                <w:rFonts w:ascii="Times New Roman"/>
                <w:b/>
                <w:bCs/>
                <w:color w:val="auto"/>
                <w:sz w:val="21"/>
                <w:szCs w:val="21"/>
                <w:highlight w:val="none"/>
              </w:rPr>
              <w:t>本次项目采取</w:t>
            </w:r>
          </w:p>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ascii="Times New Roman"/>
                <w:b/>
                <w:bCs/>
                <w:color w:val="auto"/>
                <w:sz w:val="21"/>
                <w:szCs w:val="21"/>
                <w:highlight w:val="none"/>
              </w:rPr>
            </w:pPr>
            <w:r>
              <w:rPr>
                <w:rFonts w:ascii="Times New Roman"/>
                <w:b/>
                <w:bCs/>
                <w:color w:val="auto"/>
                <w:sz w:val="21"/>
                <w:szCs w:val="21"/>
                <w:highlight w:val="none"/>
              </w:rPr>
              <w:t>措施</w:t>
            </w:r>
          </w:p>
        </w:tc>
        <w:tc>
          <w:tcPr>
            <w:tcW w:w="507"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ascii="Times New Roman"/>
                <w:b/>
                <w:bCs/>
                <w:color w:val="auto"/>
                <w:sz w:val="21"/>
                <w:szCs w:val="21"/>
                <w:highlight w:val="none"/>
              </w:rPr>
            </w:pPr>
            <w:r>
              <w:rPr>
                <w:rFonts w:ascii="Times New Roman"/>
                <w:b/>
                <w:bCs/>
                <w:color w:val="auto"/>
                <w:sz w:val="21"/>
                <w:szCs w:val="21"/>
                <w:highlight w:val="none"/>
              </w:rPr>
              <w:t>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33"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hint="eastAsia" w:ascii="Times New Roman" w:eastAsia="宋体"/>
                <w:color w:val="auto"/>
                <w:sz w:val="21"/>
                <w:szCs w:val="21"/>
                <w:highlight w:val="none"/>
                <w:lang w:eastAsia="zh-CN"/>
              </w:rPr>
            </w:pPr>
            <w:r>
              <w:rPr>
                <w:rFonts w:hint="eastAsia" w:ascii="Times New Roman"/>
                <w:color w:val="auto"/>
                <w:sz w:val="21"/>
                <w:szCs w:val="21"/>
                <w:highlight w:val="none"/>
                <w:lang w:val="en-US" w:eastAsia="zh-CN"/>
              </w:rPr>
              <w:t>1</w:t>
            </w:r>
          </w:p>
        </w:tc>
        <w:tc>
          <w:tcPr>
            <w:tcW w:w="650"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hint="eastAsia" w:ascii="Times New Roman" w:eastAsia="宋体"/>
                <w:color w:val="auto"/>
                <w:sz w:val="21"/>
                <w:szCs w:val="21"/>
                <w:highlight w:val="none"/>
                <w:lang w:eastAsia="zh-CN"/>
              </w:rPr>
            </w:pPr>
            <w:r>
              <w:rPr>
                <w:rFonts w:hint="eastAsia" w:ascii="Times New Roman"/>
                <w:color w:val="auto"/>
                <w:sz w:val="21"/>
                <w:szCs w:val="21"/>
                <w:highlight w:val="none"/>
                <w:lang w:eastAsia="zh-CN"/>
              </w:rPr>
              <w:t>燃烧系统</w:t>
            </w:r>
          </w:p>
        </w:tc>
        <w:tc>
          <w:tcPr>
            <w:tcW w:w="846"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引风机、送风机</w:t>
            </w:r>
          </w:p>
        </w:tc>
        <w:tc>
          <w:tcPr>
            <w:tcW w:w="1504"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①减振+②消声</w:t>
            </w:r>
          </w:p>
        </w:tc>
        <w:tc>
          <w:tcPr>
            <w:tcW w:w="1057"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减振+消声</w:t>
            </w:r>
          </w:p>
        </w:tc>
        <w:tc>
          <w:tcPr>
            <w:tcW w:w="507"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ascii="Times New Roman"/>
                <w:color w:val="auto"/>
                <w:sz w:val="21"/>
                <w:szCs w:val="21"/>
                <w:highlight w:val="none"/>
              </w:rPr>
            </w:pPr>
            <w:r>
              <w:rPr>
                <w:rFonts w:ascii="Times New Roman"/>
                <w:color w:val="auto"/>
                <w:sz w:val="21"/>
                <w:szCs w:val="21"/>
                <w:highlight w:val="none"/>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33"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hint="default" w:ascii="Times New Roman"/>
                <w:color w:val="auto"/>
                <w:sz w:val="21"/>
                <w:szCs w:val="21"/>
                <w:highlight w:val="none"/>
                <w:lang w:val="en-US" w:eastAsia="zh-CN"/>
              </w:rPr>
            </w:pPr>
            <w:r>
              <w:rPr>
                <w:rFonts w:hint="eastAsia" w:ascii="Times New Roman"/>
                <w:color w:val="auto"/>
                <w:sz w:val="21"/>
                <w:szCs w:val="21"/>
                <w:highlight w:val="none"/>
                <w:lang w:val="en-US" w:eastAsia="zh-CN"/>
              </w:rPr>
              <w:t>2</w:t>
            </w:r>
          </w:p>
        </w:tc>
        <w:tc>
          <w:tcPr>
            <w:tcW w:w="650"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eastAsia" w:ascii="Times New Roman"/>
                <w:color w:val="auto"/>
                <w:sz w:val="21"/>
                <w:szCs w:val="21"/>
                <w:highlight w:val="none"/>
                <w:lang w:eastAsia="zh-CN"/>
              </w:rPr>
            </w:pPr>
            <w:r>
              <w:rPr>
                <w:rFonts w:hint="eastAsia"/>
                <w:color w:val="auto"/>
                <w:sz w:val="21"/>
                <w:szCs w:val="21"/>
                <w:highlight w:val="none"/>
              </w:rPr>
              <w:t>脱硫系统</w:t>
            </w:r>
          </w:p>
        </w:tc>
        <w:tc>
          <w:tcPr>
            <w:tcW w:w="846"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氧化风机、增压</w:t>
            </w:r>
          </w:p>
        </w:tc>
        <w:tc>
          <w:tcPr>
            <w:tcW w:w="1504"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①减振+②消声</w:t>
            </w:r>
          </w:p>
        </w:tc>
        <w:tc>
          <w:tcPr>
            <w:tcW w:w="1057"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减振+消声</w:t>
            </w:r>
          </w:p>
        </w:tc>
        <w:tc>
          <w:tcPr>
            <w:tcW w:w="507"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ascii="Times New Roman"/>
                <w:color w:val="auto"/>
                <w:sz w:val="21"/>
                <w:szCs w:val="21"/>
                <w:highlight w:val="none"/>
              </w:rPr>
            </w:pPr>
            <w:r>
              <w:rPr>
                <w:rFonts w:ascii="Times New Roman"/>
                <w:color w:val="auto"/>
                <w:sz w:val="21"/>
                <w:szCs w:val="21"/>
                <w:highlight w:val="none"/>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33"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hint="default" w:ascii="Times New Roman"/>
                <w:color w:val="auto"/>
                <w:sz w:val="21"/>
                <w:szCs w:val="21"/>
                <w:highlight w:val="none"/>
                <w:lang w:val="en-US" w:eastAsia="zh-CN"/>
              </w:rPr>
            </w:pPr>
            <w:r>
              <w:rPr>
                <w:rFonts w:hint="eastAsia" w:ascii="Times New Roman"/>
                <w:color w:val="auto"/>
                <w:sz w:val="21"/>
                <w:szCs w:val="21"/>
                <w:highlight w:val="none"/>
                <w:lang w:val="en-US" w:eastAsia="zh-CN"/>
              </w:rPr>
              <w:t>3</w:t>
            </w:r>
          </w:p>
        </w:tc>
        <w:tc>
          <w:tcPr>
            <w:tcW w:w="650"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eastAsia" w:ascii="Times New Roman"/>
                <w:color w:val="auto"/>
                <w:sz w:val="21"/>
                <w:szCs w:val="21"/>
                <w:highlight w:val="none"/>
                <w:lang w:eastAsia="zh-CN"/>
              </w:rPr>
            </w:pPr>
            <w:r>
              <w:rPr>
                <w:rFonts w:hint="eastAsia"/>
                <w:color w:val="auto"/>
                <w:sz w:val="21"/>
                <w:szCs w:val="21"/>
                <w:highlight w:val="none"/>
              </w:rPr>
              <w:t>其他</w:t>
            </w:r>
          </w:p>
        </w:tc>
        <w:tc>
          <w:tcPr>
            <w:tcW w:w="846"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给水泵、循环泵等</w:t>
            </w:r>
          </w:p>
        </w:tc>
        <w:tc>
          <w:tcPr>
            <w:tcW w:w="1504"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①减振+②隔声</w:t>
            </w:r>
          </w:p>
        </w:tc>
        <w:tc>
          <w:tcPr>
            <w:tcW w:w="1057"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ascii="Times New Roman"/>
                <w:color w:val="auto"/>
                <w:sz w:val="21"/>
                <w:szCs w:val="21"/>
                <w:highlight w:val="none"/>
              </w:rPr>
            </w:pPr>
            <w:r>
              <w:rPr>
                <w:rFonts w:hint="eastAsia"/>
                <w:color w:val="auto"/>
                <w:sz w:val="21"/>
                <w:szCs w:val="21"/>
                <w:highlight w:val="none"/>
              </w:rPr>
              <w:t>减振+隔声</w:t>
            </w:r>
          </w:p>
        </w:tc>
        <w:tc>
          <w:tcPr>
            <w:tcW w:w="507"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textAlignment w:val="auto"/>
              <w:rPr>
                <w:rFonts w:ascii="Times New Roman"/>
                <w:color w:val="auto"/>
                <w:sz w:val="21"/>
                <w:szCs w:val="21"/>
                <w:highlight w:val="none"/>
              </w:rPr>
            </w:pPr>
            <w:r>
              <w:rPr>
                <w:rFonts w:ascii="Times New Roman"/>
                <w:color w:val="auto"/>
                <w:sz w:val="21"/>
                <w:szCs w:val="21"/>
                <w:highlight w:val="none"/>
              </w:rPr>
              <w:t>可行</w:t>
            </w:r>
          </w:p>
        </w:tc>
      </w:tr>
    </w:tbl>
    <w:p>
      <w:pPr>
        <w:pStyle w:val="6"/>
        <w:numPr>
          <w:ilvl w:val="2"/>
          <w:numId w:val="21"/>
        </w:numPr>
        <w:tabs>
          <w:tab w:val="left" w:pos="1241"/>
        </w:tabs>
        <w:adjustRightInd w:val="0"/>
        <w:snapToGrid w:val="0"/>
        <w:spacing w:line="360" w:lineRule="auto"/>
        <w:ind w:left="0" w:firstLine="530" w:firstLineChars="200"/>
        <w:jc w:val="both"/>
      </w:pPr>
      <w:bookmarkStart w:id="331" w:name="6.2.4_固体废物污染防治措施分析"/>
      <w:bookmarkEnd w:id="331"/>
      <w:r>
        <w:rPr>
          <w:spacing w:val="-1"/>
          <w:w w:val="95"/>
        </w:rPr>
        <w:t>固体废物污染防治措施分析</w:t>
      </w:r>
    </w:p>
    <w:p>
      <w:pPr>
        <w:pStyle w:val="41"/>
        <w:keepNext w:val="0"/>
        <w:keepLines w:val="0"/>
        <w:pageBreakBefore w:val="0"/>
        <w:widowControl w:val="0"/>
        <w:numPr>
          <w:ilvl w:val="3"/>
          <w:numId w:val="24"/>
        </w:numPr>
        <w:tabs>
          <w:tab w:val="left" w:pos="1320"/>
        </w:tabs>
        <w:kinsoku/>
        <w:wordWrap/>
        <w:overflowPunct/>
        <w:topLinePunct w:val="0"/>
        <w:autoSpaceDE w:val="0"/>
        <w:autoSpaceDN w:val="0"/>
        <w:bidi w:val="0"/>
        <w:adjustRightInd w:val="0"/>
        <w:snapToGrid w:val="0"/>
        <w:spacing w:before="0" w:line="360" w:lineRule="auto"/>
        <w:ind w:left="0"/>
        <w:jc w:val="both"/>
        <w:textAlignment w:val="auto"/>
        <w:rPr>
          <w:b/>
          <w:bCs/>
          <w:sz w:val="24"/>
        </w:rPr>
      </w:pPr>
      <w:bookmarkStart w:id="332" w:name="6.2.4.1_粪污治理措施"/>
      <w:bookmarkEnd w:id="332"/>
      <w:r>
        <w:rPr>
          <w:rFonts w:hint="eastAsia"/>
          <w:b/>
          <w:bCs/>
          <w:sz w:val="24"/>
          <w:lang w:eastAsia="zh-CN"/>
        </w:rPr>
        <w:t>一般固</w:t>
      </w:r>
      <w:r>
        <w:rPr>
          <w:rFonts w:hint="eastAsia" w:ascii="Times New Roman" w:hAnsi="Times New Roman" w:eastAsia="宋体" w:cs="宋体"/>
          <w:b/>
          <w:bCs/>
          <w:sz w:val="24"/>
          <w:lang w:eastAsia="zh-CN"/>
        </w:rPr>
        <w:t>废污染防治措施</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）固废产生量</w:t>
      </w:r>
    </w:p>
    <w:p>
      <w:pPr>
        <w:bidi w:val="0"/>
        <w:rPr>
          <w:color w:val="auto"/>
          <w:highlight w:val="none"/>
        </w:rPr>
      </w:pPr>
      <w:r>
        <w:rPr>
          <w:color w:val="auto"/>
          <w:highlight w:val="none"/>
        </w:rPr>
        <w:t>本工程生产过程产生的</w:t>
      </w:r>
      <w:r>
        <w:rPr>
          <w:rFonts w:hint="eastAsia"/>
          <w:color w:val="auto"/>
          <w:highlight w:val="none"/>
        </w:rPr>
        <w:t>一般</w:t>
      </w:r>
      <w:r>
        <w:rPr>
          <w:color w:val="auto"/>
          <w:highlight w:val="none"/>
        </w:rPr>
        <w:t>固体废物为锅炉</w:t>
      </w:r>
      <w:r>
        <w:rPr>
          <w:rFonts w:hint="eastAsia"/>
          <w:color w:val="auto"/>
          <w:highlight w:val="none"/>
        </w:rPr>
        <w:t>灰</w:t>
      </w:r>
      <w:r>
        <w:rPr>
          <w:color w:val="auto"/>
          <w:highlight w:val="none"/>
        </w:rPr>
        <w:t>渣、</w:t>
      </w:r>
      <w:r>
        <w:rPr>
          <w:rFonts w:hint="eastAsia"/>
          <w:color w:val="auto"/>
          <w:highlight w:val="none"/>
          <w:lang w:eastAsia="zh-CN"/>
        </w:rPr>
        <w:t>脱硫渣</w:t>
      </w:r>
      <w:r>
        <w:rPr>
          <w:rFonts w:hint="eastAsia"/>
          <w:color w:val="auto"/>
          <w:highlight w:val="none"/>
        </w:rPr>
        <w:t>、废弃滤袋、废离子交换树脂</w:t>
      </w:r>
      <w:r>
        <w:rPr>
          <w:color w:val="auto"/>
          <w:highlight w:val="none"/>
        </w:rPr>
        <w:t>。</w:t>
      </w:r>
    </w:p>
    <w:p>
      <w:pPr>
        <w:bidi w:val="0"/>
        <w:rPr>
          <w:rFonts w:hint="default"/>
          <w:color w:val="auto"/>
          <w:highlight w:val="none"/>
          <w:lang w:val="en-US" w:eastAsia="zh-CN"/>
        </w:rPr>
      </w:pPr>
      <w:r>
        <w:rPr>
          <w:color w:val="auto"/>
          <w:highlight w:val="none"/>
        </w:rPr>
        <w:t>项目产生的</w:t>
      </w:r>
      <w:r>
        <w:rPr>
          <w:rFonts w:hint="eastAsia"/>
          <w:color w:val="auto"/>
          <w:highlight w:val="none"/>
        </w:rPr>
        <w:t>锅炉</w:t>
      </w:r>
      <w:r>
        <w:rPr>
          <w:color w:val="auto"/>
          <w:highlight w:val="none"/>
        </w:rPr>
        <w:t>灰渣</w:t>
      </w:r>
      <w:r>
        <w:rPr>
          <w:rFonts w:hint="eastAsia"/>
          <w:color w:val="auto"/>
          <w:highlight w:val="none"/>
          <w:lang w:eastAsia="zh-CN"/>
        </w:rPr>
        <w:t>（飞灰和炉渣）</w:t>
      </w:r>
      <w:r>
        <w:rPr>
          <w:color w:val="auto"/>
          <w:highlight w:val="none"/>
        </w:rPr>
        <w:t>及</w:t>
      </w:r>
      <w:r>
        <w:rPr>
          <w:rFonts w:hint="eastAsia"/>
          <w:color w:val="auto"/>
          <w:highlight w:val="none"/>
          <w:lang w:eastAsia="zh-CN"/>
        </w:rPr>
        <w:t>脱硫渣</w:t>
      </w:r>
      <w:r>
        <w:rPr>
          <w:color w:val="auto"/>
          <w:highlight w:val="none"/>
        </w:rPr>
        <w:t>可销售至本地建材企业做原材料，保证固废100%综合利用，实现废物减量化、资源化和无害化。</w:t>
      </w:r>
    </w:p>
    <w:p>
      <w:pPr>
        <w:bidi w:val="0"/>
        <w:rPr>
          <w:rFonts w:hint="eastAsia"/>
          <w:color w:val="0000FF"/>
          <w:highlight w:val="none"/>
        </w:rPr>
      </w:pPr>
      <w:r>
        <w:rPr>
          <w:color w:val="0000FF"/>
          <w:highlight w:val="none"/>
        </w:rPr>
        <w:t>根据《国家危险废物名录（2021版）》，</w:t>
      </w:r>
      <w:r>
        <w:rPr>
          <w:color w:val="0000FF"/>
          <w:sz w:val="24"/>
          <w:szCs w:val="24"/>
          <w:highlight w:val="none"/>
        </w:rPr>
        <w:t>关于废离子树脂，工业废水处理过程中产生的废离子交换树脂为危险废物，本项目不属于工业废水，仅为市政自来水软化，产生的废离子交换树脂不属于危险废物。故本次环评按照一般固体废物进行处置。</w:t>
      </w:r>
      <w:r>
        <w:rPr>
          <w:rFonts w:hint="eastAsia"/>
          <w:color w:val="0000FF"/>
          <w:sz w:val="24"/>
          <w:szCs w:val="24"/>
          <w:highlight w:val="none"/>
        </w:rPr>
        <w:t>本项目产生的</w:t>
      </w:r>
      <w:r>
        <w:rPr>
          <w:color w:val="0000FF"/>
          <w:sz w:val="24"/>
          <w:szCs w:val="24"/>
          <w:highlight w:val="none"/>
        </w:rPr>
        <w:t>废离子树脂全部由厂家更换后回收处置。</w:t>
      </w:r>
    </w:p>
    <w:p>
      <w:pPr>
        <w:bidi w:val="0"/>
        <w:rPr>
          <w:rFonts w:hint="eastAsia"/>
          <w:color w:val="0000FF"/>
          <w:highlight w:val="none"/>
        </w:rPr>
      </w:pPr>
      <w:r>
        <w:rPr>
          <w:rFonts w:hint="eastAsia"/>
          <w:color w:val="0000FF"/>
          <w:highlight w:val="none"/>
        </w:rPr>
        <w:t>项目产生的废弃滤袋，集中收集，</w:t>
      </w:r>
      <w:r>
        <w:rPr>
          <w:color w:val="0000FF"/>
          <w:highlight w:val="none"/>
        </w:rPr>
        <w:t>由厂家回收处置</w:t>
      </w:r>
      <w:r>
        <w:rPr>
          <w:rFonts w:hint="eastAsia"/>
          <w:color w:val="0000FF"/>
          <w:highlight w:val="none"/>
        </w:rPr>
        <w:t>。</w:t>
      </w:r>
    </w:p>
    <w:p>
      <w:pPr>
        <w:bidi w:val="0"/>
        <w:rPr>
          <w:rFonts w:hint="eastAsia"/>
          <w:color w:val="0000FF"/>
          <w:highlight w:val="none"/>
          <w:lang w:eastAsia="zh-CN"/>
        </w:rPr>
      </w:pPr>
      <w:r>
        <w:rPr>
          <w:rFonts w:hint="eastAsia"/>
          <w:color w:val="0000FF"/>
          <w:highlight w:val="none"/>
          <w:lang w:eastAsia="zh-CN"/>
        </w:rPr>
        <w:t>（</w:t>
      </w:r>
      <w:r>
        <w:rPr>
          <w:rFonts w:hint="eastAsia"/>
          <w:color w:val="0000FF"/>
          <w:highlight w:val="none"/>
          <w:lang w:val="en-US" w:eastAsia="zh-CN"/>
        </w:rPr>
        <w:t>2</w:t>
      </w:r>
      <w:r>
        <w:rPr>
          <w:rFonts w:hint="eastAsia"/>
          <w:color w:val="0000FF"/>
          <w:highlight w:val="none"/>
          <w:lang w:eastAsia="zh-CN"/>
        </w:rPr>
        <w:t>）一般固废污染防治措施</w:t>
      </w:r>
    </w:p>
    <w:p>
      <w:pPr>
        <w:bidi w:val="0"/>
        <w:rPr>
          <w:rFonts w:hint="eastAsia"/>
          <w:color w:val="0000FF"/>
          <w:highlight w:val="none"/>
          <w:lang w:eastAsia="zh-CN"/>
        </w:rPr>
      </w:pPr>
      <w:r>
        <w:rPr>
          <w:color w:val="0000FF"/>
          <w:highlight w:val="none"/>
        </w:rPr>
        <w:t>本项目</w:t>
      </w:r>
      <w:r>
        <w:rPr>
          <w:rFonts w:hint="eastAsia"/>
          <w:color w:val="0000FF"/>
          <w:highlight w:val="none"/>
          <w:lang w:eastAsia="zh-CN"/>
        </w:rPr>
        <w:t>废离子交换树脂、废弃滤袋收集后暂存在一般</w:t>
      </w:r>
      <w:r>
        <w:rPr>
          <w:color w:val="0000FF"/>
          <w:highlight w:val="none"/>
        </w:rPr>
        <w:t>固废</w:t>
      </w:r>
      <w:r>
        <w:rPr>
          <w:rFonts w:hint="eastAsia"/>
          <w:color w:val="0000FF"/>
          <w:highlight w:val="none"/>
          <w:lang w:eastAsia="zh-CN"/>
        </w:rPr>
        <w:t>堆场；</w:t>
      </w:r>
      <w:r>
        <w:rPr>
          <w:rFonts w:hint="eastAsia"/>
          <w:color w:val="0000FF"/>
          <w:highlight w:val="none"/>
        </w:rPr>
        <w:t>锅炉</w:t>
      </w:r>
      <w:r>
        <w:rPr>
          <w:color w:val="0000FF"/>
          <w:highlight w:val="none"/>
        </w:rPr>
        <w:t>灰渣</w:t>
      </w:r>
      <w:r>
        <w:rPr>
          <w:rFonts w:hint="eastAsia"/>
          <w:color w:val="0000FF"/>
          <w:highlight w:val="none"/>
          <w:lang w:eastAsia="zh-CN"/>
        </w:rPr>
        <w:t>（飞灰和炉渣）</w:t>
      </w:r>
      <w:r>
        <w:rPr>
          <w:color w:val="0000FF"/>
          <w:highlight w:val="none"/>
        </w:rPr>
        <w:t>及</w:t>
      </w:r>
      <w:r>
        <w:rPr>
          <w:rFonts w:hint="eastAsia"/>
          <w:color w:val="0000FF"/>
          <w:highlight w:val="none"/>
          <w:lang w:eastAsia="zh-CN"/>
        </w:rPr>
        <w:t>脱硫渣堆存在灰渣库。</w:t>
      </w:r>
    </w:p>
    <w:p>
      <w:pPr>
        <w:bidi w:val="0"/>
        <w:rPr>
          <w:color w:val="0000FF"/>
          <w:highlight w:val="none"/>
        </w:rPr>
      </w:pPr>
      <w:r>
        <w:rPr>
          <w:color w:val="0000FF"/>
          <w:highlight w:val="none"/>
        </w:rPr>
        <w:t>根据《一般工业固体废物贮存和填埋污染控制标准》</w:t>
      </w:r>
      <w:r>
        <w:rPr>
          <w:rFonts w:hint="eastAsia"/>
          <w:color w:val="0000FF"/>
          <w:highlight w:val="none"/>
        </w:rPr>
        <w:t>（</w:t>
      </w:r>
      <w:r>
        <w:rPr>
          <w:color w:val="0000FF"/>
          <w:highlight w:val="none"/>
        </w:rPr>
        <w:t>GB18599-2020</w:t>
      </w:r>
      <w:r>
        <w:rPr>
          <w:rFonts w:hint="eastAsia"/>
          <w:color w:val="0000FF"/>
          <w:highlight w:val="none"/>
        </w:rPr>
        <w:t>）</w:t>
      </w:r>
      <w:r>
        <w:rPr>
          <w:color w:val="0000FF"/>
          <w:highlight w:val="none"/>
        </w:rPr>
        <w:t>中相关要求固废堆场应采取以下措施：</w:t>
      </w:r>
    </w:p>
    <w:p>
      <w:pPr>
        <w:bidi w:val="0"/>
        <w:rPr>
          <w:color w:val="0000FF"/>
          <w:highlight w:val="none"/>
        </w:rPr>
      </w:pPr>
      <w:r>
        <w:rPr>
          <w:rFonts w:hint="eastAsia" w:ascii="微软雅黑" w:hAnsi="微软雅黑" w:eastAsia="微软雅黑" w:cs="微软雅黑"/>
          <w:color w:val="0000FF"/>
          <w:highlight w:val="none"/>
        </w:rPr>
        <w:t>①</w:t>
      </w:r>
      <w:r>
        <w:rPr>
          <w:color w:val="0000FF"/>
          <w:highlight w:val="none"/>
        </w:rPr>
        <w:t>对一般工业固体废物实行从产生、收集、运输、贮存直至最终处理实行全过程管理，加强固体废物运输过程的事故风险防范，按照有关法律、法规的要求，对固体废弃物全过程管理应报当地环保行政主管部门等批准。</w:t>
      </w:r>
    </w:p>
    <w:p>
      <w:pPr>
        <w:bidi w:val="0"/>
        <w:rPr>
          <w:color w:val="0000FF"/>
          <w:highlight w:val="none"/>
        </w:rPr>
      </w:pPr>
      <w:r>
        <w:rPr>
          <w:rFonts w:hint="eastAsia" w:ascii="微软雅黑" w:hAnsi="微软雅黑" w:eastAsia="微软雅黑" w:cs="微软雅黑"/>
          <w:color w:val="0000FF"/>
          <w:highlight w:val="none"/>
        </w:rPr>
        <w:t>②</w:t>
      </w:r>
      <w:r>
        <w:rPr>
          <w:color w:val="0000FF"/>
          <w:highlight w:val="none"/>
        </w:rPr>
        <w:t>固废堆场应按照要求易产生扬尘的贮存场、覆盖、洒水等有效抑尘措施防止扬尘污染，并且控制堆存量，及时清运。</w:t>
      </w:r>
    </w:p>
    <w:p>
      <w:pPr>
        <w:bidi w:val="0"/>
        <w:rPr>
          <w:color w:val="0000FF"/>
          <w:szCs w:val="24"/>
          <w:highlight w:val="none"/>
        </w:rPr>
      </w:pPr>
      <w:r>
        <w:rPr>
          <w:rFonts w:hint="eastAsia" w:ascii="微软雅黑" w:hAnsi="微软雅黑" w:eastAsia="微软雅黑" w:cs="微软雅黑"/>
          <w:color w:val="0000FF"/>
          <w:highlight w:val="none"/>
        </w:rPr>
        <w:t>③</w:t>
      </w:r>
      <w:r>
        <w:rPr>
          <w:color w:val="0000FF"/>
          <w:highlight w:val="none"/>
        </w:rPr>
        <w:t>加强固体废物规范化管理，固体废物分类定点堆放，堆放场所远离办公及宿舍区。为了减少雨水侵蚀造成的二次污染，堆放场地应进行相应硬化或设置防雨措施等。</w:t>
      </w:r>
    </w:p>
    <w:p>
      <w:pPr>
        <w:bidi w:val="0"/>
        <w:rPr>
          <w:rFonts w:hint="default"/>
          <w:color w:val="0000FF"/>
          <w:highlight w:val="none"/>
        </w:rPr>
      </w:pPr>
      <w:r>
        <w:rPr>
          <w:rFonts w:hint="default"/>
          <w:color w:val="0000FF"/>
          <w:highlight w:val="none"/>
          <w:lang w:val="zh-CN"/>
        </w:rPr>
        <w:t>根据</w:t>
      </w:r>
      <w:r>
        <w:rPr>
          <w:rFonts w:hint="default"/>
          <w:color w:val="0000FF"/>
          <w:highlight w:val="none"/>
        </w:rPr>
        <w:t>《一般工业固体废物贮存和填埋污染控制标准》（GB18599-2020）</w:t>
      </w:r>
      <w:r>
        <w:rPr>
          <w:rFonts w:hint="default"/>
          <w:color w:val="0000FF"/>
          <w:highlight w:val="none"/>
          <w:lang w:eastAsia="zh-CN"/>
        </w:rPr>
        <w:t>中</w:t>
      </w:r>
      <w:r>
        <w:rPr>
          <w:rFonts w:hint="default"/>
          <w:color w:val="0000FF"/>
          <w:highlight w:val="none"/>
          <w:lang w:val="zh-CN"/>
        </w:rPr>
        <w:t>防渗要求</w:t>
      </w:r>
      <w:r>
        <w:rPr>
          <w:rFonts w:hint="eastAsia"/>
          <w:color w:val="0000FF"/>
          <w:highlight w:val="none"/>
          <w:lang w:val="zh-CN"/>
        </w:rPr>
        <w:t>对灰渣场进行防渗，</w:t>
      </w:r>
      <w:r>
        <w:rPr>
          <w:rFonts w:hint="default"/>
          <w:color w:val="0000FF"/>
          <w:highlight w:val="none"/>
          <w:lang w:val="zh-CN"/>
        </w:rPr>
        <w:t>防渗要求</w:t>
      </w:r>
      <w:r>
        <w:rPr>
          <w:rFonts w:hint="eastAsia"/>
          <w:color w:val="0000FF"/>
          <w:highlight w:val="none"/>
          <w:lang w:val="zh-CN"/>
        </w:rPr>
        <w:t>如下</w:t>
      </w:r>
      <w:r>
        <w:rPr>
          <w:rFonts w:hint="default"/>
          <w:color w:val="0000FF"/>
          <w:highlight w:val="none"/>
          <w:lang w:val="zh-CN"/>
        </w:rPr>
        <w:t>：</w:t>
      </w:r>
      <w:r>
        <w:rPr>
          <w:rFonts w:hint="default"/>
          <w:color w:val="0000FF"/>
          <w:highlight w:val="none"/>
        </w:rPr>
        <w:t>人工合成材料应采用高密度聚乙烯膜，厚度不小于1.5mm</w:t>
      </w:r>
      <w:r>
        <w:rPr>
          <w:rFonts w:hint="default"/>
          <w:color w:val="0000FF"/>
          <w:highlight w:val="none"/>
          <w:lang w:eastAsia="zh-CN"/>
        </w:rPr>
        <w:t>，</w:t>
      </w:r>
      <w:r>
        <w:rPr>
          <w:rFonts w:hint="default"/>
          <w:color w:val="0000FF"/>
          <w:highlight w:val="none"/>
        </w:rPr>
        <w:t>并满足GB/T17643规定的技术指标要求。采用其他人工合成材料的，其防渗性能至少相当于1.5mm高密度聚乙烯膜的防渗性能。粘土衬层厚度应不小于0.75m，且经压实、人工改性等措施处理后的饱和渗透系数不应大于1</w:t>
      </w:r>
      <w:r>
        <w:rPr>
          <w:rFonts w:hint="default"/>
          <w:color w:val="0000FF"/>
          <w:highlight w:val="none"/>
          <w:lang w:val="en-US" w:eastAsia="zh-CN"/>
        </w:rPr>
        <w:t>.</w:t>
      </w:r>
      <w:r>
        <w:rPr>
          <w:rFonts w:hint="default"/>
          <w:color w:val="0000FF"/>
          <w:highlight w:val="none"/>
        </w:rPr>
        <w:t>0×10</w:t>
      </w:r>
      <w:r>
        <w:rPr>
          <w:rFonts w:hint="eastAsia"/>
          <w:color w:val="0000FF"/>
          <w:highlight w:val="none"/>
          <w:vertAlign w:val="superscript"/>
          <w:lang w:val="en-US" w:eastAsia="zh-CN"/>
        </w:rPr>
        <w:t>-7</w:t>
      </w:r>
      <w:r>
        <w:rPr>
          <w:rFonts w:hint="default"/>
          <w:color w:val="0000FF"/>
          <w:highlight w:val="none"/>
        </w:rPr>
        <w:t>cm/s。</w:t>
      </w:r>
    </w:p>
    <w:p>
      <w:pPr>
        <w:bidi w:val="0"/>
        <w:rPr>
          <w:rFonts w:hint="eastAsia"/>
          <w:color w:val="0000FF"/>
          <w:highlight w:val="none"/>
          <w:lang w:val="en-US" w:eastAsia="zh-CN"/>
        </w:rPr>
      </w:pPr>
      <w:r>
        <w:rPr>
          <w:rFonts w:hint="eastAsia"/>
          <w:color w:val="0000FF"/>
          <w:highlight w:val="none"/>
          <w:lang w:eastAsia="zh-CN"/>
        </w:rPr>
        <w:t>项目建设</w:t>
      </w:r>
      <w:r>
        <w:rPr>
          <w:rFonts w:hint="default"/>
          <w:color w:val="0000FF"/>
          <w:highlight w:val="none"/>
        </w:rPr>
        <w:t>全封闭式</w:t>
      </w:r>
      <w:r>
        <w:rPr>
          <w:rFonts w:hint="eastAsia"/>
          <w:color w:val="0000FF"/>
          <w:highlight w:val="none"/>
          <w:lang w:eastAsia="zh-CN"/>
        </w:rPr>
        <w:t>灰渣库一座</w:t>
      </w:r>
      <w:r>
        <w:rPr>
          <w:rFonts w:hint="default"/>
          <w:color w:val="0000FF"/>
          <w:highlight w:val="none"/>
        </w:rPr>
        <w:t>，占地面积为</w:t>
      </w:r>
      <w:r>
        <w:rPr>
          <w:rFonts w:hint="eastAsia"/>
          <w:color w:val="0000FF"/>
          <w:highlight w:val="none"/>
          <w:lang w:val="en-US" w:eastAsia="zh-CN"/>
        </w:rPr>
        <w:t>300</w:t>
      </w:r>
      <w:r>
        <w:rPr>
          <w:rFonts w:hint="default"/>
          <w:color w:val="0000FF"/>
          <w:highlight w:val="none"/>
        </w:rPr>
        <w:t>m</w:t>
      </w:r>
      <w:r>
        <w:rPr>
          <w:rFonts w:hint="default"/>
          <w:color w:val="0000FF"/>
          <w:highlight w:val="none"/>
          <w:vertAlign w:val="superscript"/>
        </w:rPr>
        <w:t>2</w:t>
      </w:r>
      <w:r>
        <w:rPr>
          <w:rFonts w:hint="default"/>
          <w:color w:val="0000FF"/>
          <w:highlight w:val="none"/>
        </w:rPr>
        <w:t>，</w:t>
      </w:r>
      <w:r>
        <w:rPr>
          <w:rFonts w:hint="eastAsia"/>
          <w:color w:val="0000FF"/>
          <w:highlight w:val="none"/>
          <w:lang w:eastAsia="zh-CN"/>
        </w:rPr>
        <w:t>设计高度</w:t>
      </w:r>
      <w:r>
        <w:rPr>
          <w:rFonts w:hint="eastAsia"/>
          <w:color w:val="0000FF"/>
          <w:highlight w:val="none"/>
          <w:lang w:val="en-US" w:eastAsia="zh-CN"/>
        </w:rPr>
        <w:t>8.5m，</w:t>
      </w:r>
      <w:r>
        <w:rPr>
          <w:rFonts w:hint="default"/>
          <w:color w:val="0000FF"/>
          <w:highlight w:val="none"/>
        </w:rPr>
        <w:t>地面采用250mm 厚 C30混凝土面层，采用洒水抑尘，抑制颗粒物产生</w:t>
      </w:r>
      <w:r>
        <w:rPr>
          <w:rFonts w:hint="eastAsia"/>
          <w:color w:val="0000FF"/>
          <w:highlight w:val="none"/>
          <w:lang w:eastAsia="zh-CN"/>
        </w:rPr>
        <w:t>。本项目灰渣场存储量按照</w:t>
      </w:r>
      <w:r>
        <w:rPr>
          <w:rFonts w:hint="eastAsia"/>
          <w:color w:val="0000FF"/>
          <w:highlight w:val="none"/>
          <w:lang w:val="en-US" w:eastAsia="zh-CN"/>
        </w:rPr>
        <w:t>80%计，则灰渣库可储存灰渣约2000m</w:t>
      </w:r>
      <w:r>
        <w:rPr>
          <w:rFonts w:hint="eastAsia"/>
          <w:color w:val="0000FF"/>
          <w:highlight w:val="none"/>
          <w:vertAlign w:val="superscript"/>
          <w:lang w:val="en-US" w:eastAsia="zh-CN"/>
        </w:rPr>
        <w:t>3</w:t>
      </w:r>
      <w:r>
        <w:rPr>
          <w:rFonts w:hint="eastAsia"/>
          <w:color w:val="0000FF"/>
          <w:highlight w:val="none"/>
          <w:lang w:val="en-US" w:eastAsia="zh-CN"/>
        </w:rPr>
        <w:t>，完全可以满足本项目灰渣、飞灰及脱硫渣的贮存。</w:t>
      </w:r>
    </w:p>
    <w:p>
      <w:pPr>
        <w:bidi w:val="0"/>
        <w:rPr>
          <w:rFonts w:hint="default"/>
          <w:color w:val="0000FF"/>
          <w:highlight w:val="none"/>
        </w:rPr>
      </w:pPr>
      <w:r>
        <w:rPr>
          <w:rFonts w:hint="default"/>
          <w:color w:val="0000FF"/>
          <w:highlight w:val="none"/>
        </w:rPr>
        <w:t>项目产生的一般工业固废采取以上措施后，固废可以得到合理处置，处置措施合理可行。</w:t>
      </w:r>
    </w:p>
    <w:p>
      <w:pPr>
        <w:bidi w:val="0"/>
        <w:rPr>
          <w:rFonts w:hint="eastAsia"/>
          <w:color w:val="0000FF"/>
          <w:highlight w:val="none"/>
          <w:lang w:eastAsia="zh-CN"/>
        </w:rPr>
      </w:pPr>
      <w:r>
        <w:rPr>
          <w:rFonts w:hint="eastAsia"/>
          <w:color w:val="0000FF"/>
          <w:highlight w:val="none"/>
          <w:lang w:eastAsia="zh-CN"/>
        </w:rPr>
        <w:t>（</w:t>
      </w:r>
      <w:r>
        <w:rPr>
          <w:rFonts w:hint="eastAsia"/>
          <w:color w:val="0000FF"/>
          <w:highlight w:val="none"/>
          <w:lang w:val="en-US" w:eastAsia="zh-CN"/>
        </w:rPr>
        <w:t>3</w:t>
      </w:r>
      <w:r>
        <w:rPr>
          <w:rFonts w:hint="eastAsia"/>
          <w:color w:val="0000FF"/>
          <w:highlight w:val="none"/>
          <w:lang w:eastAsia="zh-CN"/>
        </w:rPr>
        <w:t>）综合利用可行性分析</w:t>
      </w:r>
    </w:p>
    <w:p>
      <w:pPr>
        <w:bidi w:val="0"/>
        <w:rPr>
          <w:rFonts w:hint="eastAsia" w:eastAsia="宋体"/>
          <w:color w:val="0000FF"/>
          <w:highlight w:val="none"/>
          <w:lang w:eastAsia="zh-CN"/>
        </w:rPr>
      </w:pPr>
      <w:r>
        <w:rPr>
          <w:rFonts w:hint="eastAsia"/>
          <w:color w:val="0000FF"/>
          <w:highlight w:val="none"/>
          <w:lang w:eastAsia="zh-CN"/>
        </w:rPr>
        <w:t>本工程排放的锅炉灰渣及脱硫渣等固体废物全部外售用做建筑材料。根据调查，企业每年产生的灰渣均全部出售（见附件</w:t>
      </w:r>
      <w:r>
        <w:rPr>
          <w:rFonts w:hint="eastAsia"/>
          <w:color w:val="0000FF"/>
          <w:highlight w:val="none"/>
          <w:lang w:val="en-US" w:eastAsia="zh-CN"/>
        </w:rPr>
        <w:t>9</w:t>
      </w:r>
      <w:r>
        <w:rPr>
          <w:rFonts w:hint="eastAsia"/>
          <w:color w:val="0000FF"/>
          <w:highlight w:val="none"/>
          <w:lang w:eastAsia="zh-CN"/>
        </w:rPr>
        <w:t>：细灰炉渣处置及堆放协议），综合利用，没有积存，固废100％综合利用，实现废物减量化、资源化和无害化。</w:t>
      </w:r>
    </w:p>
    <w:p>
      <w:pPr>
        <w:pStyle w:val="41"/>
        <w:keepNext w:val="0"/>
        <w:keepLines w:val="0"/>
        <w:pageBreakBefore w:val="0"/>
        <w:widowControl w:val="0"/>
        <w:numPr>
          <w:ilvl w:val="3"/>
          <w:numId w:val="24"/>
        </w:numPr>
        <w:tabs>
          <w:tab w:val="left" w:pos="1320"/>
        </w:tabs>
        <w:kinsoku/>
        <w:wordWrap/>
        <w:overflowPunct/>
        <w:topLinePunct w:val="0"/>
        <w:autoSpaceDE w:val="0"/>
        <w:autoSpaceDN w:val="0"/>
        <w:bidi w:val="0"/>
        <w:adjustRightInd w:val="0"/>
        <w:snapToGrid w:val="0"/>
        <w:spacing w:before="0" w:line="360" w:lineRule="auto"/>
        <w:ind w:left="0"/>
        <w:jc w:val="both"/>
        <w:textAlignment w:val="auto"/>
        <w:rPr>
          <w:b/>
          <w:bCs/>
          <w:color w:val="0000FF"/>
          <w:sz w:val="24"/>
        </w:rPr>
      </w:pPr>
      <w:bookmarkStart w:id="333" w:name="6.2.4.2_病死羊及分娩物处置措施"/>
      <w:bookmarkEnd w:id="333"/>
      <w:r>
        <w:rPr>
          <w:rFonts w:hint="eastAsia"/>
          <w:b/>
          <w:bCs/>
          <w:color w:val="0000FF"/>
          <w:sz w:val="24"/>
          <w:lang w:eastAsia="zh-CN"/>
        </w:rPr>
        <w:t>危险废物</w:t>
      </w:r>
    </w:p>
    <w:p>
      <w:pPr>
        <w:bidi w:val="0"/>
        <w:rPr>
          <w:rFonts w:hint="eastAsia" w:eastAsia="宋体"/>
          <w:color w:val="0000FF"/>
          <w:highlight w:val="none"/>
          <w:lang w:eastAsia="zh-CN"/>
        </w:rPr>
      </w:pPr>
      <w:r>
        <w:rPr>
          <w:rFonts w:hint="eastAsia"/>
          <w:color w:val="0000FF"/>
          <w:highlight w:val="none"/>
          <w:lang w:eastAsia="zh-CN"/>
        </w:rPr>
        <w:t>（</w:t>
      </w:r>
      <w:r>
        <w:rPr>
          <w:rFonts w:hint="eastAsia"/>
          <w:color w:val="0000FF"/>
          <w:highlight w:val="none"/>
          <w:lang w:val="en-US" w:eastAsia="zh-CN"/>
        </w:rPr>
        <w:t>1</w:t>
      </w:r>
      <w:r>
        <w:rPr>
          <w:rFonts w:hint="eastAsia"/>
          <w:color w:val="0000FF"/>
          <w:highlight w:val="none"/>
          <w:lang w:eastAsia="zh-CN"/>
        </w:rPr>
        <w:t>）危废来源</w:t>
      </w:r>
    </w:p>
    <w:p>
      <w:pPr>
        <w:bidi w:val="0"/>
        <w:rPr>
          <w:color w:val="0000FF"/>
          <w:kern w:val="0"/>
          <w:szCs w:val="24"/>
          <w:highlight w:val="none"/>
          <w:lang w:bidi="ar"/>
        </w:rPr>
      </w:pPr>
      <w:r>
        <w:rPr>
          <w:color w:val="0000FF"/>
          <w:highlight w:val="none"/>
        </w:rPr>
        <w:t>本项目</w:t>
      </w:r>
      <w:r>
        <w:rPr>
          <w:rFonts w:hint="eastAsia"/>
          <w:color w:val="0000FF"/>
          <w:highlight w:val="none"/>
        </w:rPr>
        <w:t>设备维修过程中会产生少量的</w:t>
      </w:r>
      <w:r>
        <w:rPr>
          <w:rFonts w:hint="eastAsia"/>
          <w:color w:val="0000FF"/>
          <w:highlight w:val="none"/>
          <w:lang w:eastAsia="zh-CN"/>
        </w:rPr>
        <w:t>废润滑油</w:t>
      </w:r>
      <w:r>
        <w:rPr>
          <w:rFonts w:hint="eastAsia"/>
          <w:color w:val="0000FF"/>
          <w:highlight w:val="none"/>
        </w:rPr>
        <w:t>。</w:t>
      </w:r>
      <w:r>
        <w:rPr>
          <w:color w:val="0000FF"/>
          <w:highlight w:val="none"/>
        </w:rPr>
        <w:t>根据《国家危险废物名录》</w:t>
      </w:r>
      <w:r>
        <w:rPr>
          <w:rFonts w:hint="eastAsia"/>
          <w:color w:val="0000FF"/>
          <w:highlight w:val="none"/>
        </w:rPr>
        <w:t>（2021年版）</w:t>
      </w:r>
      <w:r>
        <w:rPr>
          <w:color w:val="0000FF"/>
          <w:highlight w:val="none"/>
        </w:rPr>
        <w:t>，</w:t>
      </w:r>
      <w:r>
        <w:rPr>
          <w:rFonts w:hint="eastAsia"/>
          <w:color w:val="0000FF"/>
          <w:highlight w:val="none"/>
          <w:lang w:eastAsia="zh-CN"/>
        </w:rPr>
        <w:t>废润滑油</w:t>
      </w:r>
      <w:r>
        <w:rPr>
          <w:color w:val="0000FF"/>
          <w:highlight w:val="none"/>
        </w:rPr>
        <w:t>属于HW</w:t>
      </w:r>
      <w:r>
        <w:rPr>
          <w:rFonts w:hint="eastAsia"/>
          <w:color w:val="0000FF"/>
          <w:highlight w:val="none"/>
        </w:rPr>
        <w:t>08废矿物油与含矿物油废物</w:t>
      </w:r>
      <w:r>
        <w:rPr>
          <w:color w:val="0000FF"/>
          <w:highlight w:val="none"/>
        </w:rPr>
        <w:t>，废物代码为900-2</w:t>
      </w:r>
      <w:r>
        <w:rPr>
          <w:rFonts w:hint="eastAsia"/>
          <w:color w:val="0000FF"/>
          <w:highlight w:val="none"/>
          <w:lang w:val="en-US" w:eastAsia="zh-CN"/>
        </w:rPr>
        <w:t>17</w:t>
      </w:r>
      <w:r>
        <w:rPr>
          <w:color w:val="0000FF"/>
          <w:highlight w:val="none"/>
        </w:rPr>
        <w:t>-08。</w:t>
      </w:r>
    </w:p>
    <w:p>
      <w:pPr>
        <w:bidi w:val="0"/>
        <w:rPr>
          <w:rFonts w:hint="eastAsia" w:eastAsia="宋体"/>
          <w:color w:val="0000FF"/>
          <w:highlight w:val="none"/>
          <w:lang w:eastAsia="zh-CN"/>
        </w:rPr>
      </w:pPr>
      <w:r>
        <w:rPr>
          <w:rFonts w:hint="eastAsia"/>
          <w:color w:val="0000FF"/>
          <w:highlight w:val="none"/>
          <w:lang w:eastAsia="zh-CN"/>
        </w:rPr>
        <w:t>（</w:t>
      </w:r>
      <w:r>
        <w:rPr>
          <w:rFonts w:hint="eastAsia"/>
          <w:color w:val="0000FF"/>
          <w:highlight w:val="none"/>
          <w:lang w:val="en-US" w:eastAsia="zh-CN"/>
        </w:rPr>
        <w:t>2</w:t>
      </w:r>
      <w:r>
        <w:rPr>
          <w:rFonts w:hint="eastAsia"/>
          <w:color w:val="0000FF"/>
          <w:highlight w:val="none"/>
          <w:lang w:eastAsia="zh-CN"/>
        </w:rPr>
        <w:t>）危废暂存要求及措施</w:t>
      </w:r>
    </w:p>
    <w:p>
      <w:pPr>
        <w:bidi w:val="0"/>
        <w:rPr>
          <w:rFonts w:hint="eastAsia"/>
          <w:color w:val="0000FF"/>
          <w:highlight w:val="none"/>
        </w:rPr>
      </w:pPr>
      <w:r>
        <w:rPr>
          <w:rFonts w:hint="eastAsia"/>
          <w:color w:val="0000FF"/>
          <w:highlight w:val="none"/>
        </w:rPr>
        <w:t>项目厂内应设置</w:t>
      </w:r>
      <w:r>
        <w:rPr>
          <w:rFonts w:hint="eastAsia"/>
          <w:color w:val="0000FF"/>
          <w:highlight w:val="none"/>
          <w:lang w:eastAsia="zh-CN"/>
        </w:rPr>
        <w:t>危废暂存间</w:t>
      </w:r>
      <w:r>
        <w:rPr>
          <w:rFonts w:hint="eastAsia"/>
          <w:color w:val="0000FF"/>
          <w:highlight w:val="none"/>
        </w:rPr>
        <w:t>，由专人负责管理，为防止</w:t>
      </w:r>
      <w:r>
        <w:rPr>
          <w:rFonts w:hint="eastAsia"/>
          <w:color w:val="0000FF"/>
          <w:highlight w:val="none"/>
          <w:lang w:eastAsia="zh-CN"/>
        </w:rPr>
        <w:t>危废</w:t>
      </w:r>
      <w:r>
        <w:rPr>
          <w:rFonts w:hint="eastAsia"/>
          <w:color w:val="0000FF"/>
          <w:highlight w:val="none"/>
        </w:rPr>
        <w:t>堆放期间对环境产生不利影响，贮存</w:t>
      </w:r>
      <w:r>
        <w:rPr>
          <w:rFonts w:hint="eastAsia"/>
          <w:color w:val="0000FF"/>
          <w:highlight w:val="none"/>
          <w:lang w:eastAsia="zh-CN"/>
        </w:rPr>
        <w:t>间</w:t>
      </w:r>
      <w:r>
        <w:rPr>
          <w:rFonts w:hint="eastAsia"/>
          <w:color w:val="0000FF"/>
          <w:highlight w:val="none"/>
        </w:rPr>
        <w:t>内应有隔离设施、报警装置和防风、防晒、防雨、防渗、防火设施，具体要求如下：</w:t>
      </w:r>
    </w:p>
    <w:p>
      <w:pPr>
        <w:bidi w:val="0"/>
        <w:rPr>
          <w:color w:val="0000FF"/>
          <w:highlight w:val="none"/>
        </w:rPr>
      </w:pPr>
      <w:r>
        <w:rPr>
          <w:rFonts w:hint="eastAsia"/>
          <w:color w:val="0000FF"/>
          <w:highlight w:val="none"/>
        </w:rPr>
        <w:t>厂内</w:t>
      </w:r>
      <w:r>
        <w:rPr>
          <w:rFonts w:hint="eastAsia"/>
          <w:color w:val="0000FF"/>
          <w:highlight w:val="none"/>
          <w:lang w:eastAsia="zh-CN"/>
        </w:rPr>
        <w:t>已</w:t>
      </w:r>
      <w:r>
        <w:rPr>
          <w:rFonts w:hint="eastAsia"/>
          <w:color w:val="0000FF"/>
          <w:highlight w:val="none"/>
        </w:rPr>
        <w:t>建设危险废物临时贮存场所，生产过程中产生的危险废物暂时储存在厂区内的危废贮存场所。应交由有资质的危废处理公司定期回收处置</w:t>
      </w:r>
      <w:r>
        <w:rPr>
          <w:rFonts w:hint="eastAsia"/>
          <w:color w:val="0000FF"/>
          <w:highlight w:val="none"/>
          <w:lang w:eastAsia="zh-CN"/>
        </w:rPr>
        <w:t>。</w:t>
      </w:r>
      <w:r>
        <w:rPr>
          <w:rFonts w:hint="eastAsia"/>
          <w:color w:val="0000FF"/>
          <w:highlight w:val="none"/>
        </w:rPr>
        <w:t>废物分类编号，用固定的容器密闭贮存。废弃物入室堆放前，均需填写入场清单，经核准后方可入场。盛装危险废物的容器上必须粘贴符合标准要求的标签，标明贮存日期、名称、成份、数量及特性。贮存区地面经防渗处理，表面铺设防腐层，四周用围墙及屋顶隔离，不得露天堆放，场四周设雨水沟，防止雨水流入贮存区。堆放场内设置紧急照明系统，配备报警装置及灭火器材。与环保主管部门建立响应体系，方便环保主管部门管理。</w:t>
      </w:r>
    </w:p>
    <w:p>
      <w:pPr>
        <w:bidi w:val="0"/>
        <w:rPr>
          <w:color w:val="0000FF"/>
          <w:szCs w:val="24"/>
          <w:highlight w:val="none"/>
        </w:rPr>
      </w:pPr>
      <w:r>
        <w:rPr>
          <w:color w:val="0000FF"/>
          <w:highlight w:val="none"/>
        </w:rPr>
        <w:t>本次评价要求建设单位</w:t>
      </w:r>
      <w:r>
        <w:rPr>
          <w:rFonts w:hint="eastAsia"/>
          <w:color w:val="0000FF"/>
          <w:highlight w:val="none"/>
          <w:lang w:eastAsia="zh-CN"/>
        </w:rPr>
        <w:t>依托原有</w:t>
      </w:r>
      <w:r>
        <w:rPr>
          <w:color w:val="0000FF"/>
          <w:highlight w:val="none"/>
        </w:rPr>
        <w:t>危废暂存</w:t>
      </w:r>
      <w:r>
        <w:rPr>
          <w:rFonts w:hint="eastAsia"/>
          <w:color w:val="0000FF"/>
          <w:highlight w:val="none"/>
          <w:lang w:eastAsia="zh-CN"/>
        </w:rPr>
        <w:t>间</w:t>
      </w:r>
      <w:r>
        <w:rPr>
          <w:color w:val="0000FF"/>
          <w:highlight w:val="none"/>
        </w:rPr>
        <w:t>，用于暂存</w:t>
      </w:r>
      <w:r>
        <w:rPr>
          <w:rFonts w:hint="eastAsia"/>
          <w:color w:val="0000FF"/>
          <w:highlight w:val="none"/>
          <w:lang w:eastAsia="zh-CN"/>
        </w:rPr>
        <w:t>废润滑油</w:t>
      </w:r>
      <w:r>
        <w:rPr>
          <w:color w:val="0000FF"/>
          <w:highlight w:val="none"/>
        </w:rPr>
        <w:t>，定期交由有资质单位处置。危废暂存间建筑面积</w:t>
      </w:r>
      <w:r>
        <w:rPr>
          <w:rFonts w:hint="eastAsia"/>
          <w:color w:val="0000FF"/>
          <w:highlight w:val="none"/>
          <w:lang w:eastAsia="zh-CN"/>
        </w:rPr>
        <w:t>约</w:t>
      </w:r>
      <w:r>
        <w:rPr>
          <w:color w:val="0000FF"/>
          <w:highlight w:val="none"/>
        </w:rPr>
        <w:t>为</w:t>
      </w:r>
      <w:r>
        <w:rPr>
          <w:rFonts w:hint="eastAsia"/>
          <w:color w:val="0000FF"/>
          <w:highlight w:val="none"/>
          <w:lang w:val="en-US" w:eastAsia="zh-CN"/>
        </w:rPr>
        <w:t>10</w:t>
      </w:r>
      <w:r>
        <w:rPr>
          <w:color w:val="0000FF"/>
          <w:highlight w:val="none"/>
        </w:rPr>
        <w:t>m</w:t>
      </w:r>
      <w:r>
        <w:rPr>
          <w:color w:val="0000FF"/>
          <w:highlight w:val="none"/>
          <w:vertAlign w:val="superscript"/>
        </w:rPr>
        <w:t>2</w:t>
      </w:r>
      <w:r>
        <w:rPr>
          <w:color w:val="0000FF"/>
          <w:highlight w:val="none"/>
        </w:rPr>
        <w:t>，设置醒目标识牌，危废暂存间的设置严格按照《危险废物贮存污染控制标准》</w:t>
      </w:r>
      <w:r>
        <w:rPr>
          <w:rFonts w:hint="eastAsia"/>
          <w:color w:val="0000FF"/>
          <w:highlight w:val="none"/>
        </w:rPr>
        <w:t>（</w:t>
      </w:r>
      <w:r>
        <w:rPr>
          <w:color w:val="0000FF"/>
          <w:highlight w:val="none"/>
        </w:rPr>
        <w:t>GB18957-20</w:t>
      </w:r>
      <w:r>
        <w:rPr>
          <w:rFonts w:hint="eastAsia"/>
          <w:color w:val="0000FF"/>
          <w:highlight w:val="none"/>
          <w:lang w:val="en-US" w:eastAsia="zh-CN"/>
        </w:rPr>
        <w:t>23</w:t>
      </w:r>
      <w:r>
        <w:rPr>
          <w:rFonts w:hint="eastAsia"/>
          <w:color w:val="0000FF"/>
          <w:highlight w:val="none"/>
        </w:rPr>
        <w:t>）</w:t>
      </w:r>
      <w:r>
        <w:rPr>
          <w:color w:val="0000FF"/>
          <w:highlight w:val="none"/>
        </w:rPr>
        <w:t>中有关规定，</w:t>
      </w:r>
      <w:r>
        <w:rPr>
          <w:rFonts w:hint="eastAsia"/>
          <w:color w:val="0000FF"/>
          <w:highlight w:val="none"/>
          <w:lang w:eastAsia="zh-CN"/>
        </w:rPr>
        <w:t>危废间</w:t>
      </w:r>
      <w:r>
        <w:rPr>
          <w:rFonts w:hint="eastAsia"/>
          <w:color w:val="0000FF"/>
          <w:highlight w:val="none"/>
        </w:rPr>
        <w:t>采取必要的防风、防晒、防雨、防漏、防渗、防腐措施</w:t>
      </w:r>
      <w:r>
        <w:rPr>
          <w:rFonts w:hint="eastAsia"/>
          <w:color w:val="0000FF"/>
          <w:highlight w:val="none"/>
          <w:lang w:eastAsia="zh-CN"/>
        </w:rPr>
        <w:t>；</w:t>
      </w:r>
      <w:r>
        <w:rPr>
          <w:color w:val="0000FF"/>
          <w:highlight w:val="none"/>
        </w:rPr>
        <w:t>危险废物存放期间，使用完好无损容器盛装；用以存放装置危险废物容器的地方，必须有耐腐蚀的硬化地面，且表面无裂痕。储存容器上必须粘贴该标准中规定的危险废物标签；容器材质与危险废物本身相容</w:t>
      </w:r>
      <w:r>
        <w:rPr>
          <w:rFonts w:hint="eastAsia"/>
          <w:color w:val="0000FF"/>
          <w:highlight w:val="none"/>
        </w:rPr>
        <w:t>（</w:t>
      </w:r>
      <w:r>
        <w:rPr>
          <w:color w:val="0000FF"/>
          <w:highlight w:val="none"/>
        </w:rPr>
        <w:t>不相互反应</w:t>
      </w:r>
      <w:r>
        <w:rPr>
          <w:rFonts w:hint="eastAsia"/>
          <w:color w:val="0000FF"/>
          <w:highlight w:val="none"/>
        </w:rPr>
        <w:t>）</w:t>
      </w:r>
      <w:r>
        <w:rPr>
          <w:color w:val="0000FF"/>
          <w:highlight w:val="none"/>
        </w:rPr>
        <w:t>；危废暂存间基础做防渗，</w:t>
      </w:r>
      <w:r>
        <w:rPr>
          <w:rFonts w:hint="eastAsia"/>
          <w:color w:val="0000FF"/>
          <w:highlight w:val="none"/>
        </w:rPr>
        <w:t>防渗层为至少 1 m 厚黏土层（渗透系数不大于10</w:t>
      </w:r>
      <w:r>
        <w:rPr>
          <w:rFonts w:hint="eastAsia"/>
          <w:color w:val="0000FF"/>
          <w:highlight w:val="none"/>
          <w:vertAlign w:val="superscript"/>
        </w:rPr>
        <w:t>-7</w:t>
      </w:r>
      <w:r>
        <w:rPr>
          <w:rFonts w:hint="eastAsia"/>
          <w:color w:val="0000FF"/>
          <w:highlight w:val="none"/>
        </w:rPr>
        <w:t xml:space="preserve"> cm/s），或至少2 mm厚高密度聚乙烯膜等人工防渗材料（渗透系数不大于 10</w:t>
      </w:r>
      <w:r>
        <w:rPr>
          <w:rFonts w:hint="eastAsia"/>
          <w:color w:val="0000FF"/>
          <w:highlight w:val="none"/>
          <w:vertAlign w:val="superscript"/>
        </w:rPr>
        <w:t>-10</w:t>
      </w:r>
      <w:r>
        <w:rPr>
          <w:rFonts w:hint="eastAsia"/>
          <w:color w:val="0000FF"/>
          <w:highlight w:val="none"/>
        </w:rPr>
        <w:t xml:space="preserve"> cm/s），或其他防渗性能等效的材料</w:t>
      </w:r>
      <w:r>
        <w:rPr>
          <w:color w:val="0000FF"/>
          <w:highlight w:val="none"/>
        </w:rPr>
        <w:t>。危废暂存间设置危险废物识别标志。设有专人管理危险废物，并在产生、贮存、利用、处置等环节建立危险废物</w:t>
      </w:r>
      <w:r>
        <w:rPr>
          <w:rFonts w:hint="eastAsia"/>
          <w:color w:val="0000FF"/>
          <w:highlight w:val="none"/>
        </w:rPr>
        <w:t>管理</w:t>
      </w:r>
      <w:r>
        <w:rPr>
          <w:color w:val="0000FF"/>
          <w:highlight w:val="none"/>
        </w:rPr>
        <w:t>台账，并且保留</w:t>
      </w:r>
      <w:r>
        <w:rPr>
          <w:rFonts w:hint="eastAsia"/>
          <w:color w:val="0000FF"/>
          <w:highlight w:val="none"/>
          <w:lang w:eastAsia="zh-CN"/>
        </w:rPr>
        <w:t>五</w:t>
      </w:r>
      <w:r>
        <w:rPr>
          <w:color w:val="0000FF"/>
          <w:highlight w:val="none"/>
        </w:rPr>
        <w:t>年。</w:t>
      </w:r>
    </w:p>
    <w:p>
      <w:pPr>
        <w:spacing w:line="360" w:lineRule="auto"/>
        <w:ind w:left="39" w:right="29" w:firstLine="479"/>
        <w:rPr>
          <w:color w:val="0000FF"/>
          <w:sz w:val="24"/>
          <w:szCs w:val="24"/>
          <w:highlight w:val="none"/>
        </w:rPr>
      </w:pPr>
      <w:r>
        <w:rPr>
          <w:color w:val="0000FF"/>
          <w:sz w:val="24"/>
          <w:szCs w:val="24"/>
          <w:highlight w:val="none"/>
        </w:rPr>
        <w:t>危险废物暂存期间不得将不相容的废物混合或合并存放。定期对贮存的危险废物包装容器及贮存设施进行检查，发现破损及时采取措施清理更换。</w:t>
      </w:r>
    </w:p>
    <w:p>
      <w:pPr>
        <w:spacing w:line="360" w:lineRule="auto"/>
        <w:ind w:left="39" w:right="29" w:firstLine="479"/>
        <w:rPr>
          <w:color w:val="0000FF"/>
          <w:sz w:val="24"/>
          <w:szCs w:val="24"/>
          <w:highlight w:val="none"/>
        </w:rPr>
      </w:pPr>
      <w:r>
        <w:rPr>
          <w:color w:val="0000FF"/>
          <w:sz w:val="24"/>
          <w:szCs w:val="24"/>
          <w:highlight w:val="none"/>
        </w:rPr>
        <w:t>危险废物贮存容器应满足：</w:t>
      </w:r>
    </w:p>
    <w:p>
      <w:pPr>
        <w:spacing w:line="360" w:lineRule="auto"/>
        <w:ind w:left="39" w:right="29" w:firstLine="479"/>
        <w:rPr>
          <w:color w:val="0000FF"/>
          <w:sz w:val="24"/>
          <w:szCs w:val="24"/>
          <w:highlight w:val="none"/>
        </w:rPr>
      </w:pPr>
      <w:r>
        <w:rPr>
          <w:color w:val="0000FF"/>
          <w:sz w:val="24"/>
          <w:szCs w:val="24"/>
          <w:highlight w:val="none"/>
        </w:rPr>
        <w:t>① 使用符合标准的容器盛装危险废物；应定期对暂时贮存危险废物包装及设施进行检查，发现破损，及时采取措施清理更换；</w:t>
      </w:r>
    </w:p>
    <w:p>
      <w:pPr>
        <w:spacing w:line="360" w:lineRule="auto"/>
        <w:ind w:left="39" w:right="29" w:firstLine="479"/>
        <w:rPr>
          <w:color w:val="0000FF"/>
          <w:sz w:val="24"/>
          <w:szCs w:val="24"/>
          <w:highlight w:val="none"/>
        </w:rPr>
      </w:pPr>
      <w:r>
        <w:rPr>
          <w:color w:val="0000FF"/>
          <w:sz w:val="24"/>
          <w:szCs w:val="24"/>
          <w:highlight w:val="none"/>
        </w:rPr>
        <w:t>② 装载危险废物的容器及材质要满足相应的强度要求；</w:t>
      </w:r>
    </w:p>
    <w:p>
      <w:pPr>
        <w:spacing w:line="360" w:lineRule="auto"/>
        <w:ind w:left="39" w:right="29" w:firstLine="479"/>
        <w:rPr>
          <w:color w:val="0000FF"/>
          <w:sz w:val="24"/>
          <w:szCs w:val="24"/>
          <w:highlight w:val="none"/>
        </w:rPr>
      </w:pPr>
      <w:r>
        <w:rPr>
          <w:color w:val="0000FF"/>
          <w:sz w:val="24"/>
          <w:szCs w:val="24"/>
          <w:highlight w:val="none"/>
        </w:rPr>
        <w:t>③ 装载危险废物的容器必须完好无损；</w:t>
      </w:r>
    </w:p>
    <w:p>
      <w:pPr>
        <w:spacing w:line="360" w:lineRule="auto"/>
        <w:ind w:left="39" w:right="29" w:firstLine="479"/>
        <w:rPr>
          <w:color w:val="0000FF"/>
          <w:sz w:val="24"/>
          <w:szCs w:val="24"/>
          <w:highlight w:val="none"/>
        </w:rPr>
      </w:pPr>
      <w:r>
        <w:rPr>
          <w:color w:val="0000FF"/>
          <w:sz w:val="24"/>
          <w:szCs w:val="24"/>
          <w:highlight w:val="none"/>
        </w:rPr>
        <w:t>④ 盛装危险废物的容器材质和衬里要与危险废物相容，不相互反应。危险废物堆放场所选址、平面布置、设计原则及危险废物的堆放要求等，必须满足</w:t>
      </w:r>
      <w:r>
        <w:rPr>
          <w:rFonts w:hint="eastAsia"/>
          <w:color w:val="0000FF"/>
          <w:sz w:val="24"/>
          <w:szCs w:val="24"/>
          <w:highlight w:val="none"/>
        </w:rPr>
        <w:t>（</w:t>
      </w:r>
      <w:r>
        <w:rPr>
          <w:color w:val="0000FF"/>
          <w:sz w:val="24"/>
          <w:szCs w:val="24"/>
          <w:highlight w:val="none"/>
        </w:rPr>
        <w:t>GB18597-20</w:t>
      </w:r>
      <w:r>
        <w:rPr>
          <w:rFonts w:hint="eastAsia"/>
          <w:color w:val="0000FF"/>
          <w:sz w:val="24"/>
          <w:szCs w:val="24"/>
          <w:highlight w:val="none"/>
          <w:lang w:val="en-US" w:eastAsia="zh-CN"/>
        </w:rPr>
        <w:t>23</w:t>
      </w:r>
      <w:r>
        <w:rPr>
          <w:rFonts w:hint="eastAsia"/>
          <w:color w:val="0000FF"/>
          <w:sz w:val="24"/>
          <w:szCs w:val="24"/>
          <w:highlight w:val="none"/>
        </w:rPr>
        <w:t>）</w:t>
      </w:r>
      <w:r>
        <w:rPr>
          <w:color w:val="0000FF"/>
          <w:sz w:val="24"/>
          <w:szCs w:val="24"/>
          <w:highlight w:val="none"/>
        </w:rPr>
        <w:t>的要求。危险废物贮存仓库必须按</w:t>
      </w:r>
      <w:r>
        <w:rPr>
          <w:rFonts w:hint="eastAsia"/>
          <w:color w:val="0000FF"/>
          <w:sz w:val="24"/>
          <w:szCs w:val="24"/>
          <w:highlight w:val="none"/>
        </w:rPr>
        <w:t>（</w:t>
      </w:r>
      <w:r>
        <w:rPr>
          <w:color w:val="0000FF"/>
          <w:sz w:val="24"/>
          <w:szCs w:val="24"/>
          <w:highlight w:val="none"/>
        </w:rPr>
        <w:t>GB15562.2</w:t>
      </w:r>
      <w:r>
        <w:rPr>
          <w:rFonts w:hint="eastAsia"/>
          <w:color w:val="0000FF"/>
          <w:sz w:val="24"/>
          <w:szCs w:val="24"/>
          <w:highlight w:val="none"/>
        </w:rPr>
        <w:t>）</w:t>
      </w:r>
      <w:r>
        <w:rPr>
          <w:color w:val="0000FF"/>
          <w:sz w:val="24"/>
          <w:szCs w:val="24"/>
          <w:highlight w:val="none"/>
        </w:rPr>
        <w:t>的规定设置警示标志，周围应设置围墙</w:t>
      </w:r>
      <w:r>
        <w:rPr>
          <w:rFonts w:hint="eastAsia"/>
          <w:color w:val="0000FF"/>
          <w:sz w:val="24"/>
          <w:szCs w:val="24"/>
          <w:highlight w:val="none"/>
        </w:rPr>
        <w:t>或其他</w:t>
      </w:r>
      <w:r>
        <w:rPr>
          <w:color w:val="0000FF"/>
          <w:sz w:val="24"/>
          <w:szCs w:val="24"/>
          <w:highlight w:val="none"/>
        </w:rPr>
        <w:t>防护栅栏，配备通讯设备、照明设施、安全防护服装及工具，并设有应急防护设施。</w:t>
      </w:r>
    </w:p>
    <w:p>
      <w:pPr>
        <w:pStyle w:val="76"/>
        <w:spacing w:line="360" w:lineRule="auto"/>
        <w:ind w:firstLine="480" w:firstLineChars="200"/>
        <w:jc w:val="left"/>
        <w:rPr>
          <w:rFonts w:hint="eastAsia" w:ascii="Times New Roman" w:hAnsi="Times New Roman" w:eastAsia="宋体" w:cs="Times New Roman"/>
          <w:color w:val="0000FF"/>
          <w:sz w:val="24"/>
          <w:szCs w:val="20"/>
          <w:highlight w:val="none"/>
          <w:lang w:eastAsia="zh-CN"/>
        </w:rPr>
      </w:pPr>
      <w:r>
        <w:rPr>
          <w:rFonts w:hint="eastAsia" w:ascii="Times New Roman" w:cs="Times New Roman"/>
          <w:color w:val="0000FF"/>
          <w:sz w:val="24"/>
          <w:szCs w:val="20"/>
          <w:highlight w:val="none"/>
          <w:lang w:eastAsia="zh-CN"/>
        </w:rPr>
        <w:t>（</w:t>
      </w:r>
      <w:r>
        <w:rPr>
          <w:rFonts w:hint="eastAsia" w:ascii="Times New Roman" w:cs="Times New Roman"/>
          <w:color w:val="0000FF"/>
          <w:sz w:val="24"/>
          <w:szCs w:val="20"/>
          <w:highlight w:val="none"/>
          <w:lang w:val="en-US" w:eastAsia="zh-CN"/>
        </w:rPr>
        <w:t>3</w:t>
      </w:r>
      <w:r>
        <w:rPr>
          <w:rFonts w:hint="eastAsia" w:ascii="Times New Roman" w:cs="Times New Roman"/>
          <w:color w:val="0000FF"/>
          <w:sz w:val="24"/>
          <w:szCs w:val="20"/>
          <w:highlight w:val="none"/>
          <w:lang w:eastAsia="zh-CN"/>
        </w:rPr>
        <w:t>）危废运输及处置措施</w:t>
      </w:r>
    </w:p>
    <w:p>
      <w:pPr>
        <w:pStyle w:val="76"/>
        <w:spacing w:line="360" w:lineRule="auto"/>
        <w:ind w:firstLine="480" w:firstLineChars="200"/>
        <w:jc w:val="left"/>
        <w:rPr>
          <w:rFonts w:hint="eastAsia" w:ascii="Times New Roman" w:hAnsi="Times New Roman" w:eastAsia="宋体" w:cs="Times New Roman"/>
          <w:color w:val="0000FF"/>
          <w:kern w:val="2"/>
          <w:sz w:val="24"/>
          <w:szCs w:val="24"/>
          <w:highlight w:val="none"/>
        </w:rPr>
      </w:pPr>
      <w:r>
        <w:rPr>
          <w:rFonts w:hint="default" w:ascii="Times New Roman" w:hAnsi="Times New Roman" w:eastAsia="宋体" w:cs="Times New Roman"/>
          <w:color w:val="0000FF"/>
          <w:sz w:val="24"/>
          <w:szCs w:val="20"/>
          <w:highlight w:val="none"/>
        </w:rPr>
        <w:t>本</w:t>
      </w:r>
      <w:r>
        <w:rPr>
          <w:rFonts w:hint="eastAsia" w:ascii="Times New Roman" w:hAnsi="Times New Roman" w:eastAsia="宋体" w:cs="Times New Roman"/>
          <w:color w:val="0000FF"/>
          <w:kern w:val="2"/>
          <w:sz w:val="24"/>
          <w:szCs w:val="24"/>
          <w:highlight w:val="none"/>
        </w:rPr>
        <w:t>项目产生</w:t>
      </w:r>
      <w:r>
        <w:rPr>
          <w:rFonts w:hint="eastAsia" w:ascii="Times New Roman" w:hAnsi="Times New Roman" w:eastAsia="宋体" w:cs="Times New Roman"/>
          <w:color w:val="0000FF"/>
          <w:kern w:val="2"/>
          <w:sz w:val="24"/>
          <w:szCs w:val="24"/>
          <w:highlight w:val="none"/>
          <w:lang w:eastAsia="zh-CN"/>
        </w:rPr>
        <w:t>的</w:t>
      </w:r>
      <w:r>
        <w:rPr>
          <w:rFonts w:hint="eastAsia" w:ascii="Times New Roman" w:hAnsi="Times New Roman" w:eastAsia="宋体" w:cs="Times New Roman"/>
          <w:color w:val="0000FF"/>
          <w:kern w:val="2"/>
          <w:sz w:val="24"/>
          <w:szCs w:val="24"/>
          <w:highlight w:val="none"/>
        </w:rPr>
        <w:t>危险废物由有资质单位负责定期运输，运输过程中严格《危险废物收集贮存运输技术规范》（HJ2025</w:t>
      </w:r>
      <w:r>
        <w:rPr>
          <w:rFonts w:hint="eastAsia" w:ascii="Times New Roman" w:hAnsi="Times New Roman" w:eastAsia="宋体" w:cs="Times New Roman"/>
          <w:color w:val="0000FF"/>
          <w:kern w:val="2"/>
          <w:sz w:val="24"/>
          <w:szCs w:val="24"/>
          <w:highlight w:val="none"/>
          <w:lang w:val="en-US" w:eastAsia="zh-CN"/>
        </w:rPr>
        <w:t>-2012</w:t>
      </w:r>
      <w:r>
        <w:rPr>
          <w:rFonts w:hint="eastAsia" w:ascii="Times New Roman" w:hAnsi="Times New Roman" w:eastAsia="宋体" w:cs="Times New Roman"/>
          <w:color w:val="0000FF"/>
          <w:kern w:val="2"/>
          <w:sz w:val="24"/>
          <w:szCs w:val="24"/>
          <w:highlight w:val="none"/>
        </w:rPr>
        <w:t>）中相关要求，采用密闭车辆进行运输，确保运输过程不产生泄露，同时运输单位须合理规划运输路线，尽量避开人群密集段通行，保证运输安全。危险废物处置过程中坚持无害化、减量化、资源化原则，只要建设单位加强管理，对产生的固体废物进行分类、收集，并由有关环保管理部门对</w:t>
      </w:r>
      <w:r>
        <w:rPr>
          <w:rFonts w:hint="eastAsia" w:ascii="Times New Roman" w:hAnsi="Times New Roman" w:eastAsia="宋体" w:cs="Times New Roman"/>
          <w:color w:val="0000FF"/>
          <w:kern w:val="2"/>
          <w:sz w:val="24"/>
          <w:szCs w:val="24"/>
          <w:highlight w:val="none"/>
          <w:lang w:eastAsia="zh-CN"/>
        </w:rPr>
        <w:t>委托的第三方</w:t>
      </w:r>
      <w:r>
        <w:rPr>
          <w:rFonts w:hint="eastAsia" w:ascii="Times New Roman" w:hAnsi="Times New Roman" w:eastAsia="宋体" w:cs="Times New Roman"/>
          <w:color w:val="0000FF"/>
          <w:kern w:val="2"/>
          <w:sz w:val="24"/>
          <w:szCs w:val="24"/>
          <w:highlight w:val="none"/>
        </w:rPr>
        <w:t>处理单位进行必要的监督，其产生的固体废弃物不会对周围环境造成二次污染。</w:t>
      </w:r>
    </w:p>
    <w:p>
      <w:pPr>
        <w:pStyle w:val="41"/>
        <w:keepNext w:val="0"/>
        <w:keepLines w:val="0"/>
        <w:pageBreakBefore w:val="0"/>
        <w:widowControl w:val="0"/>
        <w:numPr>
          <w:ilvl w:val="3"/>
          <w:numId w:val="24"/>
        </w:numPr>
        <w:tabs>
          <w:tab w:val="left" w:pos="1320"/>
        </w:tabs>
        <w:kinsoku/>
        <w:wordWrap/>
        <w:overflowPunct/>
        <w:topLinePunct w:val="0"/>
        <w:autoSpaceDE w:val="0"/>
        <w:autoSpaceDN w:val="0"/>
        <w:bidi w:val="0"/>
        <w:adjustRightInd w:val="0"/>
        <w:snapToGrid w:val="0"/>
        <w:spacing w:before="0" w:line="360" w:lineRule="auto"/>
        <w:ind w:left="0"/>
        <w:jc w:val="both"/>
        <w:textAlignment w:val="auto"/>
        <w:rPr>
          <w:b/>
          <w:bCs/>
          <w:sz w:val="24"/>
        </w:rPr>
      </w:pPr>
      <w:bookmarkStart w:id="334" w:name="6.2.4.3_医疗废弃物处置措施"/>
      <w:bookmarkEnd w:id="334"/>
      <w:r>
        <w:rPr>
          <w:rFonts w:hint="eastAsia"/>
          <w:b/>
          <w:bCs/>
          <w:color w:val="auto"/>
          <w:highlight w:val="none"/>
          <w:lang w:val="en-US" w:eastAsia="zh-CN"/>
        </w:rPr>
        <w:t>固体废物污染防治技术可行性分析</w:t>
      </w:r>
    </w:p>
    <w:p>
      <w:pPr>
        <w:pStyle w:val="76"/>
        <w:spacing w:line="360" w:lineRule="auto"/>
        <w:ind w:firstLine="480" w:firstLineChars="200"/>
        <w:jc w:val="both"/>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本项目</w:t>
      </w:r>
      <w:r>
        <w:rPr>
          <w:rFonts w:hint="eastAsia" w:ascii="Times New Roman" w:hAnsi="Times New Roman" w:eastAsia="宋体" w:cs="Times New Roman"/>
          <w:color w:val="auto"/>
          <w:kern w:val="2"/>
          <w:sz w:val="24"/>
          <w:szCs w:val="24"/>
          <w:highlight w:val="none"/>
          <w:lang w:eastAsia="zh-CN"/>
        </w:rPr>
        <w:t>产生的固体废物处置技术可行性分析见下表。</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default" w:ascii="Times New Roman" w:hAnsi="Times New Roman" w:cs="Times New Roman"/>
          <w:b/>
          <w:bCs/>
          <w:color w:val="auto"/>
          <w:kern w:val="0"/>
          <w:sz w:val="21"/>
          <w:szCs w:val="18"/>
          <w:highlight w:val="none"/>
        </w:rPr>
      </w:pPr>
      <w:r>
        <w:rPr>
          <w:rFonts w:hint="default" w:ascii="Times New Roman" w:hAnsi="Times New Roman" w:cs="Times New Roman"/>
          <w:b/>
          <w:bCs/>
          <w:color w:val="auto"/>
          <w:kern w:val="0"/>
          <w:sz w:val="21"/>
          <w:szCs w:val="18"/>
          <w:highlight w:val="none"/>
        </w:rPr>
        <w:t>表6.2-</w:t>
      </w:r>
      <w:r>
        <w:rPr>
          <w:rFonts w:hint="eastAsia" w:cs="Times New Roman"/>
          <w:b/>
          <w:bCs/>
          <w:color w:val="auto"/>
          <w:kern w:val="0"/>
          <w:sz w:val="21"/>
          <w:szCs w:val="18"/>
          <w:highlight w:val="none"/>
          <w:lang w:val="en-US" w:eastAsia="zh-CN"/>
        </w:rPr>
        <w:t>8</w:t>
      </w:r>
      <w:r>
        <w:rPr>
          <w:rFonts w:hint="default" w:ascii="Times New Roman" w:hAnsi="Times New Roman" w:cs="Times New Roman"/>
          <w:b/>
          <w:bCs/>
          <w:color w:val="auto"/>
          <w:kern w:val="0"/>
          <w:sz w:val="21"/>
          <w:szCs w:val="18"/>
          <w:highlight w:val="none"/>
        </w:rPr>
        <w:t xml:space="preserve">  </w:t>
      </w:r>
      <w:r>
        <w:rPr>
          <w:rFonts w:hint="eastAsia" w:cs="Times New Roman"/>
          <w:b/>
          <w:bCs/>
          <w:color w:val="auto"/>
          <w:kern w:val="0"/>
          <w:sz w:val="21"/>
          <w:szCs w:val="18"/>
          <w:highlight w:val="none"/>
          <w:lang w:val="en-US" w:eastAsia="zh-CN"/>
        </w:rPr>
        <w:t xml:space="preserve">  </w:t>
      </w:r>
      <w:r>
        <w:rPr>
          <w:rFonts w:hint="default" w:ascii="Times New Roman" w:hAnsi="Times New Roman" w:cs="Times New Roman"/>
          <w:b/>
          <w:bCs/>
          <w:color w:val="auto"/>
          <w:kern w:val="0"/>
          <w:sz w:val="21"/>
          <w:szCs w:val="18"/>
          <w:highlight w:val="none"/>
          <w:lang w:eastAsia="zh-CN"/>
        </w:rPr>
        <w:t>固体废物污染</w:t>
      </w:r>
      <w:r>
        <w:rPr>
          <w:rFonts w:hint="default" w:ascii="Times New Roman" w:hAnsi="Times New Roman" w:cs="Times New Roman"/>
          <w:b/>
          <w:bCs/>
          <w:color w:val="auto"/>
          <w:kern w:val="0"/>
          <w:sz w:val="21"/>
          <w:szCs w:val="18"/>
          <w:highlight w:val="none"/>
        </w:rPr>
        <w:t>防治可行性分析表</w:t>
      </w:r>
    </w:p>
    <w:tbl>
      <w:tblPr>
        <w:tblStyle w:val="31"/>
        <w:tblW w:w="48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3177"/>
        <w:gridCol w:w="3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71" w:type="pct"/>
            <w:vMerge w:val="restar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固废种类</w:t>
            </w:r>
          </w:p>
        </w:tc>
        <w:tc>
          <w:tcPr>
            <w:tcW w:w="1933"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一</w:t>
            </w:r>
            <w:r>
              <w:rPr>
                <w:rFonts w:hint="default" w:ascii="Times New Roman" w:hAnsi="Times New Roman" w:eastAsia="宋体" w:cs="Times New Roman"/>
                <w:b/>
                <w:bCs/>
                <w:color w:val="auto"/>
                <w:sz w:val="21"/>
                <w:szCs w:val="21"/>
                <w:highlight w:val="none"/>
              </w:rPr>
              <w:t>般工业固</w:t>
            </w:r>
            <w:r>
              <w:rPr>
                <w:rFonts w:hint="eastAsia" w:cs="Times New Roman"/>
                <w:b/>
                <w:bCs/>
                <w:color w:val="auto"/>
                <w:sz w:val="21"/>
                <w:szCs w:val="21"/>
                <w:highlight w:val="none"/>
                <w:lang w:eastAsia="zh-CN"/>
              </w:rPr>
              <w:t>废</w:t>
            </w:r>
          </w:p>
        </w:tc>
        <w:tc>
          <w:tcPr>
            <w:tcW w:w="2194"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1" w:type="pct"/>
            <w:vMerge w:val="continue"/>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933"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0000FF"/>
                <w:sz w:val="21"/>
                <w:szCs w:val="21"/>
                <w:highlight w:val="none"/>
              </w:rPr>
              <w:t>飞灰、炉渣、脱硫副产物、废离子交换树脂</w:t>
            </w:r>
            <w:r>
              <w:rPr>
                <w:rFonts w:hint="eastAsia" w:ascii="Times New Roman" w:hAnsi="Times New Roman" w:eastAsia="宋体" w:cs="Times New Roman"/>
                <w:color w:val="0000FF"/>
                <w:sz w:val="21"/>
                <w:szCs w:val="21"/>
                <w:highlight w:val="none"/>
                <w:lang w:eastAsia="zh-CN"/>
              </w:rPr>
              <w:t>、</w:t>
            </w:r>
            <w:r>
              <w:rPr>
                <w:rFonts w:hint="default" w:ascii="Times New Roman" w:hAnsi="Times New Roman" w:eastAsia="宋体" w:cs="Times New Roman"/>
                <w:color w:val="0000FF"/>
                <w:spacing w:val="-5"/>
                <w:sz w:val="21"/>
                <w:szCs w:val="21"/>
                <w:highlight w:val="none"/>
                <w:lang w:val="de-DE"/>
              </w:rPr>
              <w:t>废弃滤袋</w:t>
            </w:r>
            <w:r>
              <w:rPr>
                <w:rFonts w:hint="default" w:ascii="Times New Roman" w:hAnsi="Times New Roman" w:eastAsia="宋体" w:cs="Times New Roman"/>
                <w:color w:val="0000FF"/>
                <w:sz w:val="21"/>
                <w:szCs w:val="21"/>
                <w:highlight w:val="none"/>
              </w:rPr>
              <w:t>等</w:t>
            </w:r>
          </w:p>
        </w:tc>
        <w:tc>
          <w:tcPr>
            <w:tcW w:w="2194"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0000FF"/>
                <w:sz w:val="21"/>
                <w:szCs w:val="21"/>
                <w:highlight w:val="none"/>
                <w:lang w:eastAsia="zh-CN"/>
              </w:rPr>
              <w:t>废润滑油</w:t>
            </w:r>
            <w:r>
              <w:rPr>
                <w:rFonts w:hint="default" w:ascii="Times New Roman" w:hAnsi="Times New Roman" w:eastAsia="宋体" w:cs="Times New Roman"/>
                <w:color w:val="0000FF"/>
                <w:sz w:val="21"/>
                <w:szCs w:val="21"/>
                <w:highlight w:val="none"/>
              </w:rPr>
              <w:t>等</w:t>
            </w:r>
            <w:r>
              <w:rPr>
                <w:rFonts w:hint="default" w:ascii="Times New Roman" w:hAnsi="Times New Roman" w:eastAsia="宋体" w:cs="Times New Roman"/>
                <w:color w:val="auto"/>
                <w:sz w:val="21"/>
                <w:szCs w:val="21"/>
                <w:highlight w:val="none"/>
              </w:rPr>
              <w:t>纳入国家危险废物名录或者根据国家规定的危险废物鉴别标准和鉴别方法认定的具有危险特性的危险废物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871"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可行技术</w:t>
            </w:r>
          </w:p>
        </w:tc>
        <w:tc>
          <w:tcPr>
            <w:tcW w:w="1933"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宜优先资源化利用，不能资源化时应按照GB 18599规定处置</w:t>
            </w:r>
          </w:p>
        </w:tc>
        <w:tc>
          <w:tcPr>
            <w:tcW w:w="2194"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71"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本项目废物产生情况</w:t>
            </w:r>
          </w:p>
        </w:tc>
        <w:tc>
          <w:tcPr>
            <w:tcW w:w="1933"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灰渣（</w:t>
            </w:r>
            <w:r>
              <w:rPr>
                <w:rFonts w:hint="default" w:ascii="Times New Roman" w:hAnsi="Times New Roman" w:eastAsia="宋体" w:cs="Times New Roman"/>
                <w:color w:val="auto"/>
                <w:sz w:val="21"/>
                <w:szCs w:val="21"/>
                <w:highlight w:val="none"/>
                <w:lang w:val="en-US" w:eastAsia="zh-CN"/>
              </w:rPr>
              <w:t>飞灰和炉渣</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脱硫渣</w:t>
            </w:r>
            <w:r>
              <w:rPr>
                <w:rFonts w:hint="default" w:ascii="Times New Roman" w:hAnsi="Times New Roman" w:eastAsia="宋体" w:cs="Times New Roman"/>
                <w:color w:val="auto"/>
                <w:spacing w:val="-5"/>
                <w:sz w:val="21"/>
                <w:szCs w:val="21"/>
                <w:highlight w:val="none"/>
              </w:rPr>
              <w:t>收集后作为建筑材料外售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0000FF"/>
                <w:sz w:val="21"/>
                <w:szCs w:val="21"/>
                <w:highlight w:val="none"/>
                <w:lang w:eastAsia="zh-CN"/>
              </w:rPr>
              <w:t>废离子交换树脂集中收集后由厂家回收；</w:t>
            </w:r>
            <w:r>
              <w:rPr>
                <w:rFonts w:hint="default" w:ascii="Times New Roman" w:hAnsi="Times New Roman" w:eastAsia="宋体" w:cs="Times New Roman"/>
                <w:color w:val="auto"/>
                <w:spacing w:val="-5"/>
                <w:sz w:val="21"/>
                <w:szCs w:val="21"/>
                <w:highlight w:val="none"/>
                <w:lang w:val="de-DE"/>
              </w:rPr>
              <w:t>废弃滤袋</w:t>
            </w:r>
            <w:r>
              <w:rPr>
                <w:rFonts w:hint="default" w:ascii="Times New Roman" w:hAnsi="Times New Roman" w:eastAsia="宋体" w:cs="Times New Roman"/>
                <w:color w:val="auto"/>
                <w:spacing w:val="-5"/>
                <w:sz w:val="21"/>
                <w:szCs w:val="21"/>
                <w:highlight w:val="none"/>
                <w:lang w:val="de-DE" w:eastAsia="zh-CN"/>
              </w:rPr>
              <w:t>集中收集，厂家回收。</w:t>
            </w:r>
          </w:p>
        </w:tc>
        <w:tc>
          <w:tcPr>
            <w:tcW w:w="2194"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废润滑油集中收集暂存于危废暂存间内，定期交资质单位处置。</w:t>
            </w:r>
          </w:p>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危险废物的收集、贮存、运输、利用、处置过程应满足危险废物相关法律法规、标准规范的规定，并通过全国固体废物管理信息系统报送相关信息</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转移过程应执行《</w:t>
            </w:r>
            <w:r>
              <w:rPr>
                <w:rFonts w:hint="eastAsia" w:cs="Times New Roman"/>
                <w:color w:val="auto"/>
                <w:sz w:val="21"/>
                <w:szCs w:val="21"/>
                <w:highlight w:val="none"/>
                <w:lang w:eastAsia="zh-CN"/>
              </w:rPr>
              <w:t>危险废物转移管理办法</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71"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可行性</w:t>
            </w:r>
          </w:p>
        </w:tc>
        <w:tc>
          <w:tcPr>
            <w:tcW w:w="1933" w:type="pct"/>
            <w:noWrap w:val="0"/>
            <w:vAlign w:val="center"/>
          </w:tcPr>
          <w:p>
            <w:pPr>
              <w:pStyle w:val="87"/>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可行</w:t>
            </w:r>
          </w:p>
        </w:tc>
        <w:tc>
          <w:tcPr>
            <w:tcW w:w="2194" w:type="pct"/>
            <w:noWrap w:val="0"/>
            <w:vAlign w:val="center"/>
          </w:tcPr>
          <w:p>
            <w:pPr>
              <w:keepNext w:val="0"/>
              <w:keepLines w:val="0"/>
              <w:pageBreakBefore w:val="0"/>
              <w:widowControl w:val="0"/>
              <w:kinsoku/>
              <w:overflowPunct/>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可行</w:t>
            </w:r>
          </w:p>
        </w:tc>
      </w:tr>
    </w:tbl>
    <w:p>
      <w:pPr>
        <w:pStyle w:val="41"/>
        <w:numPr>
          <w:ilvl w:val="0"/>
          <w:numId w:val="0"/>
        </w:numPr>
        <w:tabs>
          <w:tab w:val="left" w:pos="1320"/>
        </w:tabs>
        <w:adjustRightInd w:val="0"/>
        <w:snapToGrid w:val="0"/>
        <w:spacing w:before="0" w:line="360" w:lineRule="auto"/>
        <w:ind w:leftChars="200"/>
        <w:jc w:val="both"/>
        <w:rPr>
          <w:b/>
          <w:bCs/>
          <w:sz w:val="24"/>
        </w:rPr>
      </w:pPr>
      <w:bookmarkStart w:id="335" w:name="6.2.4.4_固废管理措施"/>
      <w:bookmarkEnd w:id="335"/>
      <w:r>
        <w:rPr>
          <w:rFonts w:hint="eastAsia"/>
          <w:b/>
          <w:bCs/>
          <w:sz w:val="24"/>
          <w:lang w:val="en-US" w:eastAsia="zh-CN"/>
        </w:rPr>
        <w:t>6.2.</w:t>
      </w:r>
      <w:bookmarkStart w:id="336" w:name="_Toc8808"/>
      <w:bookmarkStart w:id="337" w:name="_Toc17120"/>
      <w:bookmarkStart w:id="338" w:name="_Toc21813"/>
      <w:bookmarkStart w:id="339" w:name="_Toc1555"/>
      <w:bookmarkStart w:id="340" w:name="_Toc15506"/>
      <w:bookmarkStart w:id="341" w:name="_Toc14032"/>
      <w:bookmarkStart w:id="342" w:name="_Toc26824"/>
      <w:bookmarkStart w:id="343" w:name="_Toc15695"/>
      <w:bookmarkStart w:id="344" w:name="_Toc3395"/>
      <w:bookmarkStart w:id="345" w:name="_Toc258944049"/>
      <w:bookmarkStart w:id="346" w:name="_Toc17276"/>
      <w:bookmarkStart w:id="347" w:name="_Toc22074"/>
      <w:bookmarkStart w:id="348" w:name="_Toc31165"/>
      <w:bookmarkStart w:id="349" w:name="_Toc5110"/>
      <w:bookmarkStart w:id="350" w:name="_Toc1097"/>
      <w:bookmarkStart w:id="351" w:name="_Toc2887"/>
      <w:bookmarkStart w:id="352" w:name="_Toc20629"/>
      <w:bookmarkStart w:id="353" w:name="_Toc19601"/>
      <w:bookmarkStart w:id="354" w:name="_Toc841"/>
      <w:bookmarkStart w:id="355" w:name="_Toc11982"/>
      <w:bookmarkStart w:id="356" w:name="_Toc21442"/>
      <w:bookmarkStart w:id="357" w:name="_Toc15665"/>
      <w:bookmarkStart w:id="358" w:name="_Toc26631"/>
      <w:r>
        <w:rPr>
          <w:rFonts w:hint="eastAsia"/>
          <w:b/>
          <w:bCs/>
          <w:sz w:val="24"/>
          <w:lang w:val="en-US" w:eastAsia="zh-CN"/>
        </w:rPr>
        <w:t>4.4</w:t>
      </w:r>
      <w:r>
        <w:rPr>
          <w:rFonts w:hint="eastAsia"/>
          <w:b/>
          <w:bCs/>
          <w:color w:val="auto"/>
          <w:highlight w:val="none"/>
        </w:rPr>
        <w:t>煤、灰渣运输过程防治措施</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autoSpaceDE w:val="0"/>
        <w:autoSpaceDN w:val="0"/>
        <w:spacing w:line="360" w:lineRule="auto"/>
        <w:ind w:firstLine="480" w:firstLineChars="200"/>
        <w:rPr>
          <w:color w:val="auto"/>
          <w:sz w:val="24"/>
          <w:szCs w:val="24"/>
          <w:highlight w:val="none"/>
        </w:rPr>
      </w:pPr>
      <w:r>
        <w:rPr>
          <w:color w:val="auto"/>
          <w:sz w:val="24"/>
          <w:szCs w:val="24"/>
          <w:highlight w:val="none"/>
        </w:rPr>
        <w:t>（1）合理选择运输线路，避绕沿途敏感目标。</w:t>
      </w:r>
    </w:p>
    <w:p>
      <w:pPr>
        <w:autoSpaceDE w:val="0"/>
        <w:autoSpaceDN w:val="0"/>
        <w:spacing w:line="360" w:lineRule="auto"/>
        <w:ind w:firstLine="480" w:firstLineChars="200"/>
        <w:rPr>
          <w:color w:val="auto"/>
          <w:sz w:val="24"/>
          <w:szCs w:val="24"/>
          <w:highlight w:val="none"/>
        </w:rPr>
      </w:pPr>
      <w:r>
        <w:rPr>
          <w:color w:val="auto"/>
          <w:sz w:val="24"/>
          <w:szCs w:val="24"/>
          <w:highlight w:val="none"/>
        </w:rPr>
        <w:t>（2）晚24：00至次日8：00</w:t>
      </w:r>
      <w:r>
        <w:rPr>
          <w:rFonts w:hint="eastAsia"/>
          <w:color w:val="auto"/>
          <w:sz w:val="24"/>
          <w:szCs w:val="24"/>
          <w:highlight w:val="none"/>
          <w:lang w:eastAsia="zh-CN"/>
        </w:rPr>
        <w:t>不进行厂外煤、灰渣</w:t>
      </w:r>
      <w:r>
        <w:rPr>
          <w:color w:val="auto"/>
          <w:sz w:val="24"/>
          <w:szCs w:val="24"/>
          <w:highlight w:val="none"/>
        </w:rPr>
        <w:t>运输以防夜间噪声扰民，运煤车辆</w:t>
      </w:r>
      <w:r>
        <w:rPr>
          <w:rFonts w:hint="eastAsia"/>
          <w:color w:val="auto"/>
          <w:sz w:val="24"/>
          <w:szCs w:val="24"/>
          <w:highlight w:val="none"/>
          <w:lang w:eastAsia="zh-CN"/>
        </w:rPr>
        <w:t>经过</w:t>
      </w:r>
      <w:r>
        <w:rPr>
          <w:rFonts w:hint="eastAsia"/>
          <w:color w:val="auto"/>
          <w:sz w:val="24"/>
          <w:szCs w:val="24"/>
          <w:highlight w:val="none"/>
          <w:lang w:val="en-US" w:eastAsia="zh-CN"/>
        </w:rPr>
        <w:t>乡镇道路时，要减速慢行，禁止鸣笛</w:t>
      </w:r>
      <w:r>
        <w:rPr>
          <w:color w:val="auto"/>
          <w:sz w:val="24"/>
          <w:szCs w:val="24"/>
          <w:highlight w:val="none"/>
        </w:rPr>
        <w:t>。</w:t>
      </w:r>
    </w:p>
    <w:p>
      <w:pPr>
        <w:autoSpaceDE w:val="0"/>
        <w:autoSpaceDN w:val="0"/>
        <w:spacing w:line="360" w:lineRule="auto"/>
        <w:ind w:firstLine="480" w:firstLineChars="200"/>
        <w:rPr>
          <w:color w:val="auto"/>
          <w:sz w:val="24"/>
          <w:szCs w:val="24"/>
          <w:highlight w:val="none"/>
        </w:rPr>
      </w:pPr>
      <w:r>
        <w:rPr>
          <w:color w:val="auto"/>
          <w:sz w:val="24"/>
          <w:szCs w:val="24"/>
          <w:highlight w:val="none"/>
        </w:rPr>
        <w:t>（3）运煤车、运灰渣车要采取密闭方式，在车辆运输时，应减少装载量，车斗内留有一定的富余空间，避免沿途洒落、产生扬尘。</w:t>
      </w:r>
    </w:p>
    <w:p>
      <w:pPr>
        <w:pStyle w:val="14"/>
        <w:adjustRightInd w:val="0"/>
        <w:snapToGrid w:val="0"/>
        <w:spacing w:line="360" w:lineRule="auto"/>
        <w:ind w:left="0" w:firstLine="480" w:firstLineChars="200"/>
        <w:jc w:val="both"/>
      </w:pPr>
      <w:r>
        <w:rPr>
          <w:color w:val="auto"/>
          <w:sz w:val="24"/>
          <w:szCs w:val="24"/>
          <w:highlight w:val="none"/>
        </w:rPr>
        <w:t>通过上述措施处理后，本项目煤、灰渣运输过程中对周边环境的影响</w:t>
      </w:r>
      <w:r>
        <w:rPr>
          <w:rFonts w:hint="eastAsia"/>
          <w:color w:val="auto"/>
          <w:sz w:val="24"/>
          <w:szCs w:val="24"/>
          <w:highlight w:val="none"/>
        </w:rPr>
        <w:t>降</w:t>
      </w:r>
      <w:r>
        <w:rPr>
          <w:color w:val="auto"/>
          <w:sz w:val="24"/>
          <w:szCs w:val="24"/>
          <w:highlight w:val="none"/>
        </w:rPr>
        <w:t>至最低。</w:t>
      </w:r>
      <w:bookmarkStart w:id="359" w:name="6.3_环境风险防范措施"/>
      <w:bookmarkEnd w:id="359"/>
      <w:bookmarkStart w:id="360" w:name="_bookmark28"/>
      <w:bookmarkEnd w:id="360"/>
    </w:p>
    <w:p>
      <w:pPr>
        <w:spacing w:line="364" w:lineRule="auto"/>
        <w:sectPr>
          <w:footerReference r:id="rId23" w:type="default"/>
          <w:footerReference r:id="rId24" w:type="even"/>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pStyle w:val="4"/>
        <w:tabs>
          <w:tab w:val="left" w:pos="1444"/>
        </w:tabs>
        <w:adjustRightInd w:val="0"/>
        <w:snapToGrid w:val="0"/>
        <w:spacing w:before="0" w:line="360" w:lineRule="auto"/>
        <w:ind w:right="0" w:firstLine="723" w:firstLineChars="200"/>
      </w:pPr>
      <w:bookmarkStart w:id="361" w:name="第七章__环境经济损益分析"/>
      <w:bookmarkEnd w:id="361"/>
      <w:bookmarkStart w:id="362" w:name="_Toc15224"/>
      <w:bookmarkStart w:id="363" w:name="_Toc12289"/>
      <w:bookmarkStart w:id="364" w:name="_Toc9369"/>
      <w:r>
        <w:t>第七章</w:t>
      </w:r>
      <w:r>
        <w:rPr>
          <w:rFonts w:hint="eastAsia"/>
          <w:lang w:val="en-US"/>
        </w:rPr>
        <w:t xml:space="preserve">  </w:t>
      </w:r>
      <w:r>
        <w:t>环境经济损益分析</w:t>
      </w:r>
      <w:bookmarkEnd w:id="362"/>
      <w:bookmarkEnd w:id="363"/>
      <w:bookmarkEnd w:id="364"/>
    </w:p>
    <w:p>
      <w:pPr>
        <w:pStyle w:val="14"/>
        <w:adjustRightInd w:val="0"/>
        <w:snapToGrid w:val="0"/>
        <w:spacing w:line="360" w:lineRule="auto"/>
        <w:ind w:left="0" w:firstLine="480" w:firstLineChars="200"/>
        <w:jc w:val="both"/>
      </w:pPr>
      <w:r>
        <w:rPr>
          <w:rFonts w:ascii="Times New Roman" w:hAnsi="Times New Roman"/>
          <w:color w:val="auto"/>
          <w:kern w:val="2"/>
          <w:highlight w:val="none"/>
        </w:rPr>
        <w:t>本章将通过对该工程的经济效益、社会效益和环境效益进行分析比较，得出环境保护与经济之间的相互促进，相互制约的关系；分析建设项目的社会、经济和环境损益，评价建设项目环境保护投资的合理性以及环境保护投资的效益，促进项目建设的社会、经济和环境效益的协调统一和可持续发展。</w:t>
      </w:r>
    </w:p>
    <w:p>
      <w:pPr>
        <w:pStyle w:val="5"/>
        <w:keepNext w:val="0"/>
        <w:keepLines w:val="0"/>
        <w:pageBreakBefore w:val="0"/>
        <w:widowControl w:val="0"/>
        <w:numPr>
          <w:ilvl w:val="1"/>
          <w:numId w:val="25"/>
        </w:numPr>
        <w:tabs>
          <w:tab w:val="left" w:pos="1100"/>
        </w:tabs>
        <w:kinsoku/>
        <w:wordWrap/>
        <w:overflowPunct/>
        <w:topLinePunct w:val="0"/>
        <w:autoSpaceDE w:val="0"/>
        <w:autoSpaceDN w:val="0"/>
        <w:bidi w:val="0"/>
        <w:adjustRightInd w:val="0"/>
        <w:snapToGrid w:val="0"/>
        <w:spacing w:line="360" w:lineRule="auto"/>
        <w:ind w:left="0"/>
        <w:jc w:val="both"/>
        <w:textAlignment w:val="auto"/>
      </w:pPr>
      <w:bookmarkStart w:id="365" w:name="_bookmark30"/>
      <w:bookmarkEnd w:id="365"/>
      <w:bookmarkStart w:id="366" w:name="7.1_经济效益分析"/>
      <w:bookmarkEnd w:id="366"/>
      <w:bookmarkStart w:id="367" w:name="_Toc3591"/>
      <w:bookmarkStart w:id="368" w:name="_Toc2060"/>
      <w:bookmarkStart w:id="369" w:name="_Toc28898"/>
      <w:r>
        <w:rPr>
          <w:rFonts w:hint="eastAsia"/>
          <w:w w:val="95"/>
          <w:lang w:eastAsia="zh-CN"/>
        </w:rPr>
        <w:t>社会</w:t>
      </w:r>
      <w:r>
        <w:rPr>
          <w:w w:val="95"/>
        </w:rPr>
        <w:t>效益</w:t>
      </w:r>
      <w:bookmarkEnd w:id="367"/>
      <w:bookmarkEnd w:id="368"/>
      <w:bookmarkEnd w:id="369"/>
    </w:p>
    <w:p>
      <w:pPr>
        <w:pStyle w:val="62"/>
        <w:jc w:val="both"/>
        <w:rPr>
          <w:rFonts w:ascii="Times New Roman" w:hAnsi="Times New Roman"/>
          <w:color w:val="auto"/>
          <w:kern w:val="2"/>
          <w:highlight w:val="none"/>
        </w:rPr>
      </w:pPr>
      <w:bookmarkStart w:id="370" w:name="7.1.1_投资构成"/>
      <w:bookmarkEnd w:id="370"/>
      <w:r>
        <w:rPr>
          <w:rFonts w:hint="eastAsia" w:ascii="Times New Roman" w:hAnsi="Times New Roman"/>
          <w:color w:val="auto"/>
          <w:kern w:val="2"/>
          <w:highlight w:val="none"/>
          <w:lang w:eastAsia="zh-CN"/>
        </w:rPr>
        <w:t>本项目</w:t>
      </w:r>
      <w:r>
        <w:rPr>
          <w:rFonts w:ascii="Times New Roman" w:hAnsi="Times New Roman"/>
          <w:color w:val="auto"/>
          <w:kern w:val="2"/>
          <w:highlight w:val="none"/>
        </w:rPr>
        <w:t>不仅能为</w:t>
      </w:r>
      <w:r>
        <w:rPr>
          <w:rFonts w:hint="eastAsia" w:ascii="Times New Roman" w:hAnsi="Times New Roman"/>
          <w:color w:val="auto"/>
          <w:kern w:val="2"/>
          <w:highlight w:val="none"/>
          <w:lang w:eastAsia="zh-CN"/>
        </w:rPr>
        <w:t>整个厂区</w:t>
      </w:r>
      <w:r>
        <w:rPr>
          <w:rFonts w:ascii="Times New Roman" w:hAnsi="Times New Roman"/>
          <w:color w:val="auto"/>
          <w:kern w:val="2"/>
          <w:highlight w:val="none"/>
        </w:rPr>
        <w:t>提供稳定、可靠的优质热源，而且对于节约能源，改善大气环境，减少城市大气污染，有效利用</w:t>
      </w:r>
      <w:r>
        <w:rPr>
          <w:rFonts w:hint="eastAsia" w:ascii="Times New Roman" w:hAnsi="Times New Roman"/>
          <w:color w:val="auto"/>
          <w:kern w:val="2"/>
          <w:highlight w:val="none"/>
        </w:rPr>
        <w:t>周边</w:t>
      </w:r>
      <w:r>
        <w:rPr>
          <w:rFonts w:ascii="Times New Roman" w:hAnsi="Times New Roman"/>
          <w:color w:val="auto"/>
          <w:kern w:val="2"/>
          <w:highlight w:val="none"/>
        </w:rPr>
        <w:t>空间等方面都具有重要作用</w:t>
      </w:r>
      <w:r>
        <w:rPr>
          <w:rFonts w:hint="eastAsia" w:ascii="Times New Roman" w:hAnsi="Times New Roman"/>
          <w:color w:val="auto"/>
          <w:kern w:val="2"/>
          <w:highlight w:val="none"/>
          <w:lang w:eastAsia="zh-CN"/>
        </w:rPr>
        <w:t>，</w:t>
      </w:r>
      <w:r>
        <w:rPr>
          <w:rFonts w:ascii="Times New Roman" w:hAnsi="Times New Roman"/>
          <w:color w:val="auto"/>
          <w:kern w:val="2"/>
          <w:highlight w:val="none"/>
        </w:rPr>
        <w:t>一次投资，长期受益</w:t>
      </w:r>
      <w:r>
        <w:rPr>
          <w:rFonts w:hint="eastAsia" w:ascii="Times New Roman" w:hAnsi="Times New Roman"/>
          <w:color w:val="auto"/>
          <w:kern w:val="2"/>
          <w:highlight w:val="none"/>
          <w:lang w:eastAsia="zh-CN"/>
        </w:rPr>
        <w:t>，</w:t>
      </w:r>
      <w:r>
        <w:rPr>
          <w:rFonts w:ascii="Times New Roman" w:hAnsi="Times New Roman"/>
          <w:color w:val="auto"/>
          <w:kern w:val="2"/>
          <w:highlight w:val="none"/>
        </w:rPr>
        <w:t>采用</w:t>
      </w:r>
      <w:r>
        <w:rPr>
          <w:rFonts w:hint="eastAsia" w:ascii="Times New Roman" w:hAnsi="Times New Roman"/>
          <w:color w:val="auto"/>
          <w:kern w:val="2"/>
          <w:highlight w:val="none"/>
          <w:lang w:eastAsia="zh-CN"/>
        </w:rPr>
        <w:t>热力的集中供应</w:t>
      </w:r>
      <w:r>
        <w:rPr>
          <w:rFonts w:ascii="Times New Roman" w:hAnsi="Times New Roman"/>
          <w:color w:val="auto"/>
          <w:kern w:val="2"/>
          <w:highlight w:val="none"/>
        </w:rPr>
        <w:t>不仅可节约</w:t>
      </w:r>
      <w:r>
        <w:rPr>
          <w:rFonts w:hint="eastAsia" w:ascii="Times New Roman" w:hAnsi="Times New Roman"/>
          <w:color w:val="auto"/>
          <w:kern w:val="2"/>
          <w:highlight w:val="none"/>
          <w:lang w:eastAsia="zh-CN"/>
        </w:rPr>
        <w:t>厂区</w:t>
      </w:r>
      <w:r>
        <w:rPr>
          <w:rFonts w:ascii="Times New Roman" w:hAnsi="Times New Roman"/>
          <w:color w:val="auto"/>
          <w:kern w:val="2"/>
          <w:highlight w:val="none"/>
        </w:rPr>
        <w:t>内宝贵的土地资源，降低人力、物力资源的消耗，更重要的是，</w:t>
      </w:r>
      <w:r>
        <w:rPr>
          <w:rFonts w:hint="eastAsia" w:ascii="Times New Roman" w:hAnsi="Times New Roman"/>
          <w:color w:val="auto"/>
          <w:kern w:val="2"/>
          <w:highlight w:val="none"/>
          <w:lang w:eastAsia="zh-CN"/>
        </w:rPr>
        <w:t>能够降低能源的消耗，减少污染的产生。</w:t>
      </w:r>
    </w:p>
    <w:p>
      <w:pPr>
        <w:pStyle w:val="5"/>
        <w:keepNext w:val="0"/>
        <w:keepLines w:val="0"/>
        <w:pageBreakBefore w:val="0"/>
        <w:widowControl w:val="0"/>
        <w:numPr>
          <w:ilvl w:val="1"/>
          <w:numId w:val="26"/>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371" w:name="7.3_环境效益分析"/>
      <w:bookmarkEnd w:id="371"/>
      <w:bookmarkStart w:id="372" w:name="7.1.2.3_效益分析"/>
      <w:bookmarkEnd w:id="372"/>
      <w:bookmarkStart w:id="373" w:name="_bookmark31"/>
      <w:bookmarkEnd w:id="373"/>
      <w:bookmarkStart w:id="374" w:name="_bookmark32"/>
      <w:bookmarkEnd w:id="374"/>
      <w:bookmarkStart w:id="375" w:name="7.1.2.3_壮大村集体情况"/>
      <w:bookmarkEnd w:id="375"/>
      <w:bookmarkStart w:id="376" w:name="7.2_社会效益分析"/>
      <w:bookmarkEnd w:id="376"/>
      <w:bookmarkStart w:id="377" w:name="_Toc20919"/>
      <w:bookmarkStart w:id="378" w:name="_Toc7894"/>
      <w:bookmarkStart w:id="379" w:name="_Toc83"/>
      <w:r>
        <w:t>环境效益分析</w:t>
      </w:r>
      <w:bookmarkEnd w:id="377"/>
      <w:bookmarkEnd w:id="378"/>
      <w:bookmarkEnd w:id="379"/>
    </w:p>
    <w:p>
      <w:pPr>
        <w:pStyle w:val="6"/>
        <w:numPr>
          <w:ilvl w:val="2"/>
          <w:numId w:val="27"/>
        </w:numPr>
        <w:tabs>
          <w:tab w:val="left" w:pos="1241"/>
        </w:tabs>
        <w:adjustRightInd w:val="0"/>
        <w:snapToGrid w:val="0"/>
        <w:spacing w:line="360" w:lineRule="auto"/>
        <w:jc w:val="both"/>
      </w:pPr>
      <w:bookmarkStart w:id="380" w:name="7.3.1_环保投资估算"/>
      <w:bookmarkEnd w:id="380"/>
      <w:r>
        <w:t>环保投资估算</w:t>
      </w:r>
    </w:p>
    <w:p>
      <w:pPr>
        <w:pStyle w:val="62"/>
        <w:jc w:val="both"/>
        <w:rPr>
          <w:rFonts w:hint="default" w:ascii="Times New Roman" w:hAnsi="Times New Roman" w:eastAsia="宋体" w:cs="Times New Roman"/>
          <w:color w:val="auto"/>
          <w:kern w:val="2"/>
          <w:highlight w:val="none"/>
        </w:rPr>
      </w:pPr>
      <w:bookmarkStart w:id="381" w:name="7.3.2_环境效益分析"/>
      <w:bookmarkEnd w:id="381"/>
      <w:r>
        <w:rPr>
          <w:rFonts w:ascii="Times New Roman" w:hAnsi="Times New Roman" w:cs="Times New Roman"/>
          <w:color w:val="auto"/>
          <w:sz w:val="24"/>
          <w:szCs w:val="24"/>
          <w:highlight w:val="none"/>
        </w:rPr>
        <w:t>为了确保企业排放的污染物符合国家有关排放标准的要求，在厂界内外创造良好的生活环境及工作环境，减轻生产过程中所带来的环境污染。</w:t>
      </w:r>
      <w:r>
        <w:rPr>
          <w:rFonts w:ascii="Times New Roman" w:hAnsi="Times New Roman"/>
          <w:color w:val="auto"/>
          <w:kern w:val="2"/>
          <w:highlight w:val="none"/>
        </w:rPr>
        <w:t>项目环保治理措施内容及投</w:t>
      </w:r>
      <w:r>
        <w:rPr>
          <w:rFonts w:hint="default" w:ascii="Times New Roman" w:hAnsi="Times New Roman" w:eastAsia="宋体" w:cs="Times New Roman"/>
          <w:color w:val="auto"/>
          <w:kern w:val="2"/>
          <w:highlight w:val="none"/>
        </w:rPr>
        <w:t>资见表7.1-1。</w:t>
      </w:r>
    </w:p>
    <w:p>
      <w:pPr>
        <w:pStyle w:val="62"/>
        <w:jc w:val="both"/>
        <w:rPr>
          <w:rFonts w:ascii="Times New Roman" w:hAnsi="Times New Roman"/>
          <w:color w:val="auto"/>
          <w:kern w:val="2"/>
          <w:highlight w:val="none"/>
        </w:rPr>
      </w:pPr>
      <w:r>
        <w:rPr>
          <w:rFonts w:hint="default" w:ascii="Times New Roman" w:hAnsi="Times New Roman" w:eastAsia="宋体" w:cs="Times New Roman"/>
          <w:color w:val="auto"/>
          <w:kern w:val="2"/>
          <w:highlight w:val="none"/>
        </w:rPr>
        <w:t>项目</w:t>
      </w:r>
      <w:r>
        <w:rPr>
          <w:rFonts w:hint="eastAsia" w:ascii="Times New Roman" w:hAnsi="Times New Roman" w:eastAsia="宋体" w:cs="Times New Roman"/>
          <w:color w:val="auto"/>
          <w:kern w:val="2"/>
          <w:highlight w:val="none"/>
          <w:lang w:eastAsia="zh-CN"/>
        </w:rPr>
        <w:t>总投资</w:t>
      </w:r>
      <w:r>
        <w:rPr>
          <w:rFonts w:hint="eastAsia" w:ascii="Times New Roman" w:hAnsi="Times New Roman" w:cs="Times New Roman"/>
          <w:color w:val="auto"/>
          <w:kern w:val="2"/>
          <w:highlight w:val="none"/>
          <w:lang w:val="en-US" w:eastAsia="zh-CN"/>
        </w:rPr>
        <w:t>3800</w:t>
      </w:r>
      <w:r>
        <w:rPr>
          <w:rFonts w:hint="eastAsia" w:ascii="Times New Roman" w:hAnsi="Times New Roman" w:eastAsia="宋体" w:cs="Times New Roman"/>
          <w:color w:val="auto"/>
          <w:kern w:val="2"/>
          <w:highlight w:val="none"/>
          <w:lang w:val="en-US" w:eastAsia="zh-CN"/>
        </w:rPr>
        <w:t>万元，</w:t>
      </w:r>
      <w:r>
        <w:rPr>
          <w:rFonts w:hint="default" w:ascii="Times New Roman" w:hAnsi="Times New Roman" w:eastAsia="宋体" w:cs="Times New Roman"/>
          <w:color w:val="auto"/>
          <w:kern w:val="2"/>
          <w:highlight w:val="none"/>
        </w:rPr>
        <w:t>环保投资预计为</w:t>
      </w:r>
      <w:r>
        <w:rPr>
          <w:rFonts w:hint="eastAsia" w:ascii="Times New Roman" w:hAnsi="Times New Roman" w:eastAsia="宋体" w:cs="Times New Roman"/>
          <w:color w:val="auto"/>
          <w:kern w:val="2"/>
          <w:highlight w:val="none"/>
          <w:lang w:val="en-US" w:eastAsia="zh-CN"/>
        </w:rPr>
        <w:t>500</w:t>
      </w:r>
      <w:r>
        <w:rPr>
          <w:rFonts w:hint="default" w:ascii="Times New Roman" w:hAnsi="Times New Roman" w:eastAsia="宋体" w:cs="Times New Roman"/>
          <w:color w:val="auto"/>
          <w:kern w:val="2"/>
          <w:highlight w:val="none"/>
        </w:rPr>
        <w:t>万元，约占投资总额的</w:t>
      </w:r>
      <w:r>
        <w:rPr>
          <w:rFonts w:hint="eastAsia" w:ascii="Times New Roman" w:hAnsi="Times New Roman" w:cs="Times New Roman"/>
          <w:color w:val="auto"/>
          <w:kern w:val="2"/>
          <w:highlight w:val="none"/>
          <w:lang w:val="en-US" w:eastAsia="zh-CN"/>
        </w:rPr>
        <w:t>13.16</w:t>
      </w:r>
      <w:r>
        <w:rPr>
          <w:rFonts w:hint="default" w:ascii="Times New Roman" w:hAnsi="Times New Roman" w:eastAsia="宋体" w:cs="Times New Roman"/>
          <w:color w:val="auto"/>
          <w:kern w:val="2"/>
          <w:highlight w:val="none"/>
        </w:rPr>
        <w:t>%，在经济上是可行的。</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eastAsia" w:eastAsia="宋体"/>
          <w:b/>
          <w:color w:val="auto"/>
          <w:sz w:val="21"/>
          <w:szCs w:val="18"/>
          <w:highlight w:val="none"/>
          <w:lang w:val="en-US" w:eastAsia="zh-CN"/>
        </w:rPr>
      </w:pPr>
      <w:r>
        <w:rPr>
          <w:b/>
          <w:color w:val="auto"/>
          <w:sz w:val="21"/>
          <w:szCs w:val="18"/>
          <w:highlight w:val="none"/>
        </w:rPr>
        <w:t xml:space="preserve">表7.1-1  </w:t>
      </w:r>
      <w:r>
        <w:rPr>
          <w:rFonts w:hint="eastAsia"/>
          <w:b/>
          <w:color w:val="auto"/>
          <w:sz w:val="21"/>
          <w:szCs w:val="18"/>
          <w:highlight w:val="none"/>
        </w:rPr>
        <w:t xml:space="preserve">  </w:t>
      </w:r>
      <w:r>
        <w:rPr>
          <w:b/>
          <w:color w:val="auto"/>
          <w:sz w:val="21"/>
          <w:szCs w:val="18"/>
          <w:highlight w:val="none"/>
        </w:rPr>
        <w:t xml:space="preserve"> 环保</w:t>
      </w:r>
      <w:r>
        <w:rPr>
          <w:rFonts w:hint="eastAsia"/>
          <w:b/>
          <w:color w:val="auto"/>
          <w:sz w:val="21"/>
          <w:szCs w:val="18"/>
          <w:highlight w:val="none"/>
          <w:lang w:val="en-US" w:eastAsia="zh-CN"/>
        </w:rPr>
        <w:t>措施一览表</w:t>
      </w:r>
    </w:p>
    <w:tbl>
      <w:tblPr>
        <w:tblStyle w:val="31"/>
        <w:tblW w:w="8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587"/>
        <w:gridCol w:w="4047"/>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blHeader/>
          <w:jc w:val="center"/>
        </w:trPr>
        <w:tc>
          <w:tcPr>
            <w:tcW w:w="2218" w:type="dxa"/>
            <w:gridSpan w:val="2"/>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类别</w:t>
            </w: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环保措施</w:t>
            </w:r>
          </w:p>
        </w:tc>
        <w:tc>
          <w:tcPr>
            <w:tcW w:w="1890"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1" w:type="dxa"/>
            <w:vMerge w:val="restart"/>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废气</w:t>
            </w:r>
          </w:p>
        </w:tc>
        <w:tc>
          <w:tcPr>
            <w:tcW w:w="1587" w:type="dxa"/>
            <w:vMerge w:val="restart"/>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锅炉烟气</w:t>
            </w: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0000FF"/>
                <w:sz w:val="21"/>
                <w:szCs w:val="21"/>
                <w:highlight w:val="none"/>
              </w:rPr>
            </w:pPr>
            <w:r>
              <w:rPr>
                <w:rFonts w:hint="eastAsia" w:ascii="宋体" w:hAnsi="宋体" w:eastAsia="宋体" w:cs="宋体"/>
                <w:color w:val="0000FF"/>
                <w:spacing w:val="1"/>
                <w:w w:val="100"/>
                <w:kern w:val="2"/>
                <w:sz w:val="21"/>
                <w:szCs w:val="21"/>
                <w:highlight w:val="none"/>
                <w:lang w:eastAsia="zh-CN"/>
              </w:rPr>
              <w:t>一套</w:t>
            </w:r>
            <w:r>
              <w:rPr>
                <w:rFonts w:hint="eastAsia" w:cs="宋体"/>
                <w:color w:val="00B050"/>
                <w:spacing w:val="1"/>
                <w:w w:val="100"/>
                <w:kern w:val="2"/>
                <w:sz w:val="21"/>
                <w:szCs w:val="21"/>
                <w:highlight w:val="none"/>
                <w:lang w:eastAsia="zh-CN"/>
              </w:rPr>
              <w:t>石灰石膏法</w:t>
            </w:r>
            <w:r>
              <w:rPr>
                <w:rFonts w:ascii="宋体" w:hAnsi="宋体" w:eastAsia="宋体" w:cs="宋体"/>
                <w:color w:val="0000FF"/>
                <w:spacing w:val="1"/>
                <w:w w:val="100"/>
                <w:kern w:val="2"/>
                <w:sz w:val="21"/>
                <w:szCs w:val="21"/>
                <w:highlight w:val="none"/>
              </w:rPr>
              <w:t>脱硫设备及配套设施</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color w:val="auto"/>
                <w:sz w:val="21"/>
                <w:szCs w:val="21"/>
                <w:highlight w:val="none"/>
              </w:rPr>
            </w:pPr>
            <w:r>
              <w:rPr>
                <w:color w:val="auto"/>
                <w:kern w:val="0"/>
                <w:sz w:val="21"/>
                <w:szCs w:val="21"/>
                <w:highlight w:val="none"/>
                <w:lang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1" w:type="dxa"/>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p>
        </w:tc>
        <w:tc>
          <w:tcPr>
            <w:tcW w:w="1587" w:type="dxa"/>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0000FF"/>
                <w:sz w:val="21"/>
                <w:szCs w:val="21"/>
                <w:highlight w:val="none"/>
              </w:rPr>
            </w:pPr>
            <w:r>
              <w:rPr>
                <w:rFonts w:hint="eastAsia" w:ascii="Times New Roman" w:hAnsi="Times New Roman" w:cs="Times New Roman"/>
                <w:color w:val="0000FF"/>
                <w:sz w:val="21"/>
                <w:szCs w:val="21"/>
                <w:highlight w:val="none"/>
                <w:lang w:eastAsia="zh-CN"/>
              </w:rPr>
              <w:t>一套</w:t>
            </w:r>
            <w:r>
              <w:rPr>
                <w:rFonts w:hint="eastAsia" w:ascii="Times New Roman" w:hAnsi="Times New Roman" w:cs="Times New Roman"/>
                <w:color w:val="0000FF"/>
                <w:sz w:val="21"/>
                <w:szCs w:val="21"/>
                <w:highlight w:val="none"/>
              </w:rPr>
              <w:t>布袋</w:t>
            </w:r>
            <w:r>
              <w:rPr>
                <w:rFonts w:ascii="Times New Roman" w:hAnsi="Times New Roman" w:cs="Times New Roman"/>
                <w:color w:val="0000FF"/>
                <w:sz w:val="21"/>
                <w:szCs w:val="21"/>
                <w:highlight w:val="none"/>
              </w:rPr>
              <w:t>除尘</w:t>
            </w:r>
            <w:r>
              <w:rPr>
                <w:rFonts w:hint="eastAsia" w:ascii="Times New Roman" w:hAnsi="Times New Roman" w:cs="Times New Roman"/>
                <w:color w:val="0000FF"/>
                <w:sz w:val="21"/>
                <w:szCs w:val="21"/>
                <w:highlight w:val="none"/>
              </w:rPr>
              <w:t>系统</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color w:val="auto"/>
                <w:sz w:val="21"/>
                <w:szCs w:val="21"/>
                <w:highlight w:val="none"/>
              </w:rPr>
            </w:pPr>
            <w:r>
              <w:rPr>
                <w:rFonts w:hint="eastAsia"/>
                <w:color w:val="auto"/>
                <w:kern w:val="0"/>
                <w:sz w:val="21"/>
                <w:szCs w:val="21"/>
                <w:highlight w:val="none"/>
                <w:lang w:bidi="ar"/>
              </w:rPr>
              <w:t>6</w:t>
            </w:r>
            <w:r>
              <w:rPr>
                <w:color w:val="auto"/>
                <w:kern w:val="0"/>
                <w:sz w:val="21"/>
                <w:szCs w:val="21"/>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31" w:type="dxa"/>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p>
        </w:tc>
        <w:tc>
          <w:tcPr>
            <w:tcW w:w="1587" w:type="dxa"/>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0000FF"/>
                <w:sz w:val="21"/>
                <w:szCs w:val="21"/>
                <w:highlight w:val="none"/>
              </w:rPr>
            </w:pPr>
            <w:r>
              <w:rPr>
                <w:rFonts w:hint="eastAsia" w:ascii="Times New Roman" w:hAnsi="Times New Roman" w:cs="Times New Roman"/>
                <w:color w:val="0000FF"/>
                <w:sz w:val="21"/>
                <w:szCs w:val="21"/>
                <w:highlight w:val="none"/>
                <w:lang w:eastAsia="zh-CN"/>
              </w:rPr>
              <w:t>一套</w:t>
            </w:r>
            <w:r>
              <w:rPr>
                <w:rFonts w:ascii="Times New Roman" w:hAnsi="Times New Roman" w:cs="Times New Roman"/>
                <w:color w:val="0000FF"/>
                <w:sz w:val="21"/>
                <w:szCs w:val="21"/>
                <w:highlight w:val="none"/>
              </w:rPr>
              <w:t>SNCR脱硝装置</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color w:val="auto"/>
                <w:sz w:val="21"/>
                <w:szCs w:val="21"/>
                <w:highlight w:val="none"/>
              </w:rPr>
            </w:pPr>
            <w:r>
              <w:rPr>
                <w:rFonts w:hint="eastAsia"/>
                <w:color w:val="auto"/>
                <w:kern w:val="0"/>
                <w:sz w:val="21"/>
                <w:szCs w:val="21"/>
                <w:highlight w:val="none"/>
                <w:lang w:val="en-US" w:eastAsia="zh-CN" w:bidi="ar"/>
              </w:rPr>
              <w:t>9</w:t>
            </w:r>
            <w:r>
              <w:rPr>
                <w:color w:val="auto"/>
                <w:kern w:val="0"/>
                <w:sz w:val="21"/>
                <w:szCs w:val="21"/>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31" w:type="dxa"/>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p>
        </w:tc>
        <w:tc>
          <w:tcPr>
            <w:tcW w:w="158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无组织废气</w:t>
            </w:r>
          </w:p>
        </w:tc>
        <w:tc>
          <w:tcPr>
            <w:tcW w:w="4047" w:type="dxa"/>
            <w:noWrap w:val="0"/>
            <w:vAlign w:val="center"/>
          </w:tcPr>
          <w:p>
            <w:pPr>
              <w:pStyle w:val="88"/>
              <w:keepNext w:val="0"/>
              <w:keepLines w:val="0"/>
              <w:pageBreakBefore w:val="0"/>
              <w:numPr>
                <w:ilvl w:val="0"/>
                <w:numId w:val="28"/>
              </w:numPr>
              <w:kinsoku/>
              <w:wordWrap/>
              <w:overflowPunct/>
              <w:topLinePunct w:val="0"/>
              <w:autoSpaceDE/>
              <w:autoSpaceDN/>
              <w:bidi w:val="0"/>
              <w:adjustRightInd w:val="0"/>
              <w:snapToGrid w:val="0"/>
              <w:spacing w:line="320" w:lineRule="exact"/>
              <w:ind w:firstLine="0" w:firstLineChars="0"/>
              <w:jc w:val="left"/>
              <w:rPr>
                <w:rFonts w:ascii="Times New Roman" w:hAnsi="Times New Roman" w:cs="Times New Roman"/>
                <w:color w:val="0000FF"/>
                <w:sz w:val="21"/>
                <w:szCs w:val="21"/>
                <w:highlight w:val="none"/>
              </w:rPr>
            </w:pPr>
            <w:r>
              <w:rPr>
                <w:rFonts w:ascii="Times New Roman" w:hAnsi="Times New Roman" w:cs="Times New Roman"/>
                <w:color w:val="0000FF"/>
                <w:sz w:val="21"/>
                <w:szCs w:val="21"/>
                <w:highlight w:val="none"/>
              </w:rPr>
              <w:t>煤场</w:t>
            </w:r>
            <w:r>
              <w:rPr>
                <w:rFonts w:hint="eastAsia" w:ascii="Times New Roman" w:hAnsi="Times New Roman" w:cs="Times New Roman"/>
                <w:color w:val="0000FF"/>
                <w:sz w:val="21"/>
                <w:szCs w:val="21"/>
                <w:highlight w:val="none"/>
                <w:lang w:eastAsia="zh-CN"/>
              </w:rPr>
              <w:t>喷淋设施（</w:t>
            </w:r>
            <w:r>
              <w:rPr>
                <w:rFonts w:ascii="Times New Roman" w:hAnsi="Times New Roman" w:cs="Times New Roman"/>
                <w:color w:val="0000FF"/>
                <w:sz w:val="21"/>
                <w:szCs w:val="21"/>
                <w:highlight w:val="none"/>
              </w:rPr>
              <w:t>封闭式</w:t>
            </w:r>
            <w:r>
              <w:rPr>
                <w:rFonts w:hint="eastAsia" w:ascii="Times New Roman" w:hAnsi="Times New Roman" w:cs="Times New Roman"/>
                <w:color w:val="0000FF"/>
                <w:sz w:val="21"/>
                <w:szCs w:val="21"/>
                <w:highlight w:val="none"/>
                <w:lang w:eastAsia="zh-CN"/>
              </w:rPr>
              <w:t>储煤场的投资不包含在本项目中）；</w:t>
            </w:r>
          </w:p>
          <w:p>
            <w:pPr>
              <w:pStyle w:val="88"/>
              <w:keepNext w:val="0"/>
              <w:keepLines w:val="0"/>
              <w:pageBreakBefore w:val="0"/>
              <w:numPr>
                <w:ilvl w:val="0"/>
                <w:numId w:val="28"/>
              </w:numPr>
              <w:kinsoku/>
              <w:wordWrap/>
              <w:overflowPunct/>
              <w:topLinePunct w:val="0"/>
              <w:autoSpaceDE/>
              <w:autoSpaceDN/>
              <w:bidi w:val="0"/>
              <w:adjustRightInd w:val="0"/>
              <w:snapToGrid w:val="0"/>
              <w:spacing w:line="320" w:lineRule="exact"/>
              <w:ind w:firstLine="0" w:firstLineChars="0"/>
              <w:jc w:val="left"/>
              <w:rPr>
                <w:rFonts w:hint="eastAsia" w:ascii="Times New Roman" w:hAnsi="Times New Roman" w:cs="Times New Roman"/>
                <w:color w:val="0000FF"/>
                <w:sz w:val="21"/>
                <w:szCs w:val="21"/>
                <w:highlight w:val="none"/>
              </w:rPr>
            </w:pPr>
            <w:r>
              <w:rPr>
                <w:rFonts w:hint="eastAsia" w:ascii="Times New Roman" w:hAnsi="Times New Roman" w:cs="Times New Roman"/>
                <w:color w:val="0000FF"/>
                <w:sz w:val="21"/>
                <w:szCs w:val="21"/>
                <w:highlight w:val="none"/>
              </w:rPr>
              <w:t>输煤系统</w:t>
            </w:r>
            <w:r>
              <w:rPr>
                <w:rFonts w:hint="eastAsia" w:ascii="Times New Roman" w:hAnsi="Times New Roman" w:cs="Times New Roman"/>
                <w:color w:val="0000FF"/>
                <w:sz w:val="21"/>
                <w:szCs w:val="21"/>
                <w:highlight w:val="none"/>
                <w:lang w:eastAsia="zh-CN"/>
              </w:rPr>
              <w:t>密闭</w:t>
            </w:r>
            <w:r>
              <w:rPr>
                <w:rFonts w:hint="eastAsia" w:ascii="Times New Roman" w:hAnsi="Times New Roman" w:cs="Times New Roman"/>
                <w:color w:val="0000FF"/>
                <w:sz w:val="21"/>
                <w:szCs w:val="21"/>
                <w:highlight w:val="none"/>
              </w:rPr>
              <w:t>。</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rFonts w:hint="eastAsia"/>
                <w:color w:val="auto"/>
                <w:kern w:val="0"/>
                <w:sz w:val="21"/>
                <w:szCs w:val="21"/>
                <w:highlight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1" w:type="dxa"/>
            <w:vMerge w:val="restart"/>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废水</w:t>
            </w:r>
          </w:p>
        </w:tc>
        <w:tc>
          <w:tcPr>
            <w:tcW w:w="1587" w:type="dxa"/>
            <w:vMerge w:val="restart"/>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color w:val="auto"/>
                <w:spacing w:val="-1"/>
                <w:sz w:val="21"/>
                <w:szCs w:val="21"/>
                <w:highlight w:val="none"/>
              </w:rPr>
              <w:t>生产废水</w:t>
            </w:r>
          </w:p>
        </w:tc>
        <w:tc>
          <w:tcPr>
            <w:tcW w:w="4047" w:type="dxa"/>
            <w:noWrap w:val="0"/>
            <w:vAlign w:val="top"/>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ascii="宋体" w:hAnsi="宋体" w:cs="宋体"/>
                <w:color w:val="auto"/>
                <w:sz w:val="21"/>
                <w:szCs w:val="21"/>
                <w:highlight w:val="none"/>
              </w:rPr>
            </w:pPr>
            <w:r>
              <w:rPr>
                <w:rFonts w:ascii="宋体" w:hAnsi="宋体" w:cs="宋体"/>
                <w:color w:val="auto"/>
                <w:spacing w:val="1"/>
                <w:sz w:val="21"/>
                <w:szCs w:val="21"/>
                <w:highlight w:val="none"/>
              </w:rPr>
              <w:t>脱硫废水</w:t>
            </w:r>
            <w:r>
              <w:rPr>
                <w:rFonts w:hint="eastAsia" w:ascii="宋体" w:hAnsi="宋体" w:cs="宋体"/>
                <w:color w:val="auto"/>
                <w:spacing w:val="1"/>
                <w:sz w:val="21"/>
                <w:szCs w:val="21"/>
                <w:highlight w:val="none"/>
                <w:lang w:eastAsia="zh-CN"/>
              </w:rPr>
              <w:t>处理系统</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color w:val="auto"/>
                <w:kern w:val="0"/>
                <w:sz w:val="21"/>
                <w:szCs w:val="21"/>
                <w:highlight w:val="none"/>
                <w:lang w:bidi="ar"/>
              </w:rPr>
            </w:pPr>
            <w:r>
              <w:rPr>
                <w:rFonts w:hint="eastAsia"/>
                <w:color w:val="auto"/>
                <w:kern w:val="0"/>
                <w:sz w:val="21"/>
                <w:szCs w:val="21"/>
                <w:highlight w:val="none"/>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31" w:type="dxa"/>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hint="eastAsia" w:ascii="Times New Roman" w:hAnsi="Times New Roman" w:cs="Times New Roman"/>
                <w:color w:val="auto"/>
                <w:sz w:val="21"/>
                <w:szCs w:val="21"/>
                <w:highlight w:val="none"/>
              </w:rPr>
            </w:pPr>
          </w:p>
        </w:tc>
        <w:tc>
          <w:tcPr>
            <w:tcW w:w="1587" w:type="dxa"/>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p>
        </w:tc>
        <w:tc>
          <w:tcPr>
            <w:tcW w:w="4047" w:type="dxa"/>
            <w:noWrap w:val="0"/>
            <w:vAlign w:val="top"/>
          </w:tcPr>
          <w:p>
            <w:pPr>
              <w:keepNext w:val="0"/>
              <w:keepLines w:val="0"/>
              <w:pageBreakBefore w:val="0"/>
              <w:kinsoku/>
              <w:wordWrap/>
              <w:overflowPunct/>
              <w:topLinePunct w:val="0"/>
              <w:autoSpaceDE/>
              <w:autoSpaceDN/>
              <w:bidi w:val="0"/>
              <w:adjustRightInd w:val="0"/>
              <w:snapToGrid w:val="0"/>
              <w:spacing w:line="320" w:lineRule="exact"/>
              <w:ind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建设循环水池、沉淀池</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color w:val="auto"/>
                <w:kern w:val="0"/>
                <w:sz w:val="21"/>
                <w:szCs w:val="21"/>
                <w:highlight w:val="none"/>
                <w:lang w:bidi="ar"/>
              </w:rPr>
            </w:pPr>
            <w:r>
              <w:rPr>
                <w:rFonts w:hint="eastAsia"/>
                <w:color w:val="auto"/>
                <w:kern w:val="0"/>
                <w:sz w:val="21"/>
                <w:szCs w:val="21"/>
                <w:highlight w:val="none"/>
                <w:lang w:val="en-US" w:eastAsia="zh-CN" w:bidi="ar"/>
              </w:rPr>
              <w:t>2</w:t>
            </w:r>
            <w:r>
              <w:rPr>
                <w:rFonts w:hint="eastAsia"/>
                <w:color w:val="auto"/>
                <w:kern w:val="0"/>
                <w:sz w:val="21"/>
                <w:szCs w:val="21"/>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31"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固废</w:t>
            </w:r>
          </w:p>
        </w:tc>
        <w:tc>
          <w:tcPr>
            <w:tcW w:w="158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灰渣、脱硫渣</w:t>
            </w: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封闭灰渣场及</w:t>
            </w:r>
            <w:r>
              <w:rPr>
                <w:rFonts w:hint="eastAsia" w:ascii="Times New Roman" w:hAnsi="Times New Roman" w:cs="Times New Roman"/>
                <w:color w:val="auto"/>
                <w:sz w:val="21"/>
                <w:szCs w:val="21"/>
                <w:highlight w:val="none"/>
              </w:rPr>
              <w:t>喷淋设施</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31"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噪声</w:t>
            </w:r>
          </w:p>
        </w:tc>
        <w:tc>
          <w:tcPr>
            <w:tcW w:w="158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bCs/>
                <w:color w:val="auto"/>
                <w:sz w:val="21"/>
                <w:szCs w:val="21"/>
                <w:highlight w:val="none"/>
              </w:rPr>
              <w:t>风机、水泵等</w:t>
            </w: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选择低噪声设备，减震降噪、隔声消声措施等</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eastAsia" w:eastAsia="宋体"/>
                <w:color w:val="auto"/>
                <w:sz w:val="21"/>
                <w:szCs w:val="21"/>
                <w:highlight w:val="none"/>
                <w:lang w:eastAsia="zh-CN"/>
              </w:rPr>
            </w:pPr>
            <w:r>
              <w:rPr>
                <w:rFonts w:hint="eastAsia"/>
                <w:color w:val="auto"/>
                <w:kern w:val="0"/>
                <w:sz w:val="21"/>
                <w:szCs w:val="21"/>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218" w:type="dxa"/>
            <w:gridSpan w:val="2"/>
            <w:vMerge w:val="restart"/>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其他</w:t>
            </w: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厂区</w:t>
            </w:r>
            <w:r>
              <w:rPr>
                <w:rFonts w:ascii="Times New Roman" w:hAnsi="Times New Roman" w:cs="Times New Roman"/>
                <w:color w:val="auto"/>
                <w:sz w:val="21"/>
                <w:szCs w:val="21"/>
                <w:highlight w:val="none"/>
              </w:rPr>
              <w:t>硬化</w:t>
            </w:r>
            <w:r>
              <w:rPr>
                <w:rFonts w:hint="eastAsia" w:ascii="Times New Roman" w:hAnsi="Times New Roman" w:cs="Times New Roman"/>
                <w:color w:val="auto"/>
                <w:sz w:val="21"/>
                <w:szCs w:val="21"/>
                <w:highlight w:val="none"/>
              </w:rPr>
              <w:t>和分区防渗</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color w:val="auto"/>
                <w:sz w:val="21"/>
                <w:szCs w:val="21"/>
                <w:highlight w:val="none"/>
              </w:rPr>
            </w:pPr>
            <w:r>
              <w:rPr>
                <w:rFonts w:hint="eastAsia"/>
                <w:color w:val="auto"/>
                <w:kern w:val="0"/>
                <w:sz w:val="21"/>
                <w:szCs w:val="21"/>
                <w:highlight w:val="none"/>
                <w:lang w:bidi="ar"/>
              </w:rPr>
              <w:t>4</w:t>
            </w:r>
            <w:r>
              <w:rPr>
                <w:color w:val="auto"/>
                <w:kern w:val="0"/>
                <w:sz w:val="21"/>
                <w:szCs w:val="21"/>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218" w:type="dxa"/>
            <w:gridSpan w:val="2"/>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厂区及周边绿化</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218" w:type="dxa"/>
            <w:gridSpan w:val="2"/>
            <w:vMerge w:val="continue"/>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运行期环境管理与监控、排污口规范化、烟囱安装在线监测</w:t>
            </w:r>
            <w:r>
              <w:rPr>
                <w:rFonts w:hint="eastAsia" w:ascii="Times New Roman" w:hAnsi="Times New Roman" w:cs="Times New Roman"/>
                <w:color w:val="auto"/>
                <w:sz w:val="21"/>
                <w:szCs w:val="21"/>
                <w:highlight w:val="none"/>
              </w:rPr>
              <w:t>及监测平台</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color w:val="auto"/>
                <w:sz w:val="21"/>
                <w:szCs w:val="21"/>
                <w:highlight w:val="none"/>
              </w:rPr>
            </w:pPr>
            <w:r>
              <w:rPr>
                <w:rFonts w:hint="eastAsia"/>
                <w:color w:val="auto"/>
                <w:sz w:val="21"/>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218" w:type="dxa"/>
            <w:gridSpan w:val="2"/>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合计</w:t>
            </w:r>
          </w:p>
        </w:tc>
        <w:tc>
          <w:tcPr>
            <w:tcW w:w="4047" w:type="dxa"/>
            <w:noWrap w:val="0"/>
            <w:vAlign w:val="center"/>
          </w:tcPr>
          <w:p>
            <w:pPr>
              <w:pStyle w:val="88"/>
              <w:keepNext w:val="0"/>
              <w:keepLines w:val="0"/>
              <w:pageBreakBefore w:val="0"/>
              <w:kinsoku/>
              <w:wordWrap/>
              <w:overflowPunct/>
              <w:topLinePunct w:val="0"/>
              <w:autoSpaceDE/>
              <w:autoSpaceDN/>
              <w:bidi w:val="0"/>
              <w:adjustRightInd w:val="0"/>
              <w:snapToGrid w:val="0"/>
              <w:spacing w:line="320" w:lineRule="exact"/>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500</w:t>
            </w:r>
          </w:p>
        </w:tc>
      </w:tr>
    </w:tbl>
    <w:p>
      <w:pPr>
        <w:pStyle w:val="41"/>
        <w:numPr>
          <w:ilvl w:val="2"/>
          <w:numId w:val="27"/>
        </w:numPr>
        <w:tabs>
          <w:tab w:val="left" w:pos="1241"/>
        </w:tabs>
        <w:spacing w:before="0" w:line="360" w:lineRule="auto"/>
        <w:ind w:left="0" w:firstLine="562" w:firstLineChars="200"/>
        <w:jc w:val="both"/>
        <w:outlineLvl w:val="2"/>
        <w:rPr>
          <w:b/>
          <w:sz w:val="28"/>
        </w:rPr>
      </w:pPr>
      <w:r>
        <w:rPr>
          <w:b/>
          <w:sz w:val="28"/>
        </w:rPr>
        <w:t>环境效益分析</w:t>
      </w:r>
    </w:p>
    <w:p>
      <w:pPr>
        <w:pStyle w:val="62"/>
        <w:jc w:val="both"/>
        <w:rPr>
          <w:rFonts w:ascii="Times New Roman" w:hAnsi="Times New Roman"/>
          <w:color w:val="auto"/>
          <w:kern w:val="2"/>
          <w:highlight w:val="none"/>
        </w:rPr>
      </w:pPr>
      <w:r>
        <w:rPr>
          <w:rFonts w:ascii="Times New Roman" w:hAnsi="Times New Roman"/>
          <w:color w:val="auto"/>
          <w:kern w:val="2"/>
          <w:highlight w:val="none"/>
        </w:rPr>
        <w:t>根据污染治理措施评价，项目采取的废水、废气、噪声等污染治理设施，可以达到有效控制污染和保护环境的目的。本项目污染治理设施的环境效益表现在以下方面：</w:t>
      </w:r>
    </w:p>
    <w:p>
      <w:pPr>
        <w:pStyle w:val="62"/>
        <w:numPr>
          <w:ilvl w:val="0"/>
          <w:numId w:val="29"/>
        </w:numPr>
        <w:jc w:val="both"/>
        <w:rPr>
          <w:rFonts w:hint="eastAsia"/>
          <w:snapToGrid w:val="0"/>
          <w:color w:val="auto"/>
          <w:szCs w:val="20"/>
          <w:highlight w:val="none"/>
        </w:rPr>
      </w:pPr>
      <w:r>
        <w:rPr>
          <w:rFonts w:ascii="Times New Roman" w:hAnsi="Times New Roman"/>
          <w:color w:val="auto"/>
          <w:kern w:val="2"/>
          <w:highlight w:val="none"/>
        </w:rPr>
        <w:t>废水治理环境效益：本项目</w:t>
      </w:r>
      <w:r>
        <w:rPr>
          <w:rFonts w:hint="eastAsia"/>
          <w:snapToGrid w:val="0"/>
          <w:color w:val="auto"/>
          <w:szCs w:val="20"/>
          <w:highlight w:val="none"/>
        </w:rPr>
        <w:t>水处理系统排污水、</w:t>
      </w:r>
      <w:r>
        <w:rPr>
          <w:rFonts w:ascii="Times New Roman" w:hAnsi="Times New Roman"/>
          <w:snapToGrid w:val="0"/>
          <w:color w:val="auto"/>
          <w:szCs w:val="20"/>
          <w:highlight w:val="none"/>
        </w:rPr>
        <w:t>锅炉排污废水、</w:t>
      </w:r>
      <w:r>
        <w:rPr>
          <w:rFonts w:hint="eastAsia"/>
          <w:snapToGrid w:val="0"/>
          <w:color w:val="auto"/>
          <w:szCs w:val="20"/>
          <w:highlight w:val="none"/>
        </w:rPr>
        <w:t>循环冷却排水等</w:t>
      </w:r>
      <w:r>
        <w:rPr>
          <w:rFonts w:ascii="Times New Roman" w:hAnsi="Times New Roman"/>
          <w:snapToGrid w:val="0"/>
          <w:color w:val="auto"/>
          <w:szCs w:val="20"/>
          <w:highlight w:val="none"/>
        </w:rPr>
        <w:t>生产废水</w:t>
      </w:r>
      <w:r>
        <w:rPr>
          <w:rFonts w:ascii="Times New Roman" w:hAnsi="Times New Roman"/>
          <w:color w:val="auto"/>
          <w:highlight w:val="none"/>
        </w:rPr>
        <w:t>经处理后回用于锅炉房内各系统</w:t>
      </w:r>
      <w:r>
        <w:rPr>
          <w:rFonts w:hint="eastAsia" w:ascii="Times New Roman" w:hAnsi="Times New Roman"/>
          <w:color w:val="auto"/>
          <w:highlight w:val="none"/>
        </w:rPr>
        <w:t>（</w:t>
      </w:r>
      <w:r>
        <w:rPr>
          <w:rFonts w:ascii="Times New Roman" w:hAnsi="Times New Roman"/>
          <w:color w:val="auto"/>
          <w:highlight w:val="none"/>
        </w:rPr>
        <w:t>如用于冲灰渣用水</w:t>
      </w:r>
      <w:r>
        <w:rPr>
          <w:rFonts w:hint="eastAsia" w:ascii="Times New Roman" w:hAnsi="Times New Roman"/>
          <w:color w:val="auto"/>
          <w:highlight w:val="none"/>
        </w:rPr>
        <w:t>）</w:t>
      </w:r>
      <w:r>
        <w:rPr>
          <w:rFonts w:ascii="Times New Roman" w:hAnsi="Times New Roman"/>
          <w:color w:val="auto"/>
          <w:highlight w:val="none"/>
        </w:rPr>
        <w:t>，不外排</w:t>
      </w:r>
      <w:r>
        <w:rPr>
          <w:rFonts w:hint="eastAsia"/>
          <w:snapToGrid w:val="0"/>
          <w:color w:val="auto"/>
          <w:szCs w:val="20"/>
          <w:highlight w:val="none"/>
        </w:rPr>
        <w:t>。</w:t>
      </w:r>
    </w:p>
    <w:p>
      <w:pPr>
        <w:pStyle w:val="62"/>
        <w:ind w:firstLine="240" w:firstLineChars="100"/>
        <w:jc w:val="both"/>
        <w:rPr>
          <w:rFonts w:ascii="Times New Roman" w:hAnsi="Times New Roman"/>
          <w:color w:val="auto"/>
          <w:kern w:val="2"/>
          <w:highlight w:val="none"/>
        </w:rPr>
      </w:pPr>
      <w:r>
        <w:rPr>
          <w:rFonts w:ascii="Times New Roman" w:hAnsi="Times New Roman"/>
          <w:color w:val="auto"/>
          <w:kern w:val="2"/>
          <w:highlight w:val="none"/>
        </w:rPr>
        <w:t>（2）废气治理的环境效益分析：</w:t>
      </w:r>
      <w:r>
        <w:rPr>
          <w:rFonts w:ascii="Times New Roman" w:hAnsi="Times New Roman"/>
          <w:color w:val="auto"/>
          <w:highlight w:val="none"/>
        </w:rPr>
        <w:t>燃煤锅炉废气经净化处理达标后排放至大气中</w:t>
      </w:r>
      <w:r>
        <w:rPr>
          <w:rFonts w:hint="eastAsia" w:ascii="Times New Roman" w:hAnsi="Times New Roman"/>
          <w:color w:val="auto"/>
          <w:highlight w:val="none"/>
          <w:lang w:eastAsia="zh-CN"/>
        </w:rPr>
        <w:t>，</w:t>
      </w:r>
      <w:r>
        <w:rPr>
          <w:rFonts w:ascii="Times New Roman" w:hAnsi="Times New Roman"/>
          <w:color w:val="auto"/>
          <w:highlight w:val="none"/>
        </w:rPr>
        <w:t>对封闭煤堆场、封闭渣场等无组织排尘点洒水保湿等控制措施，通过这些措施降低了废气污染物的排放浓度和排放量，减轻了对区域大气环境的污染</w:t>
      </w:r>
      <w:r>
        <w:rPr>
          <w:rFonts w:ascii="Times New Roman" w:hAnsi="Times New Roman"/>
          <w:color w:val="auto"/>
          <w:kern w:val="2"/>
          <w:highlight w:val="none"/>
        </w:rPr>
        <w:t>可有效降低污染物对周围环境影响</w:t>
      </w:r>
      <w:r>
        <w:rPr>
          <w:rFonts w:hint="eastAsia" w:ascii="Times New Roman" w:hAnsi="Times New Roman"/>
          <w:color w:val="auto"/>
          <w:kern w:val="2"/>
          <w:highlight w:val="none"/>
        </w:rPr>
        <w:t>，</w:t>
      </w:r>
      <w:r>
        <w:rPr>
          <w:rFonts w:ascii="Times New Roman" w:hAnsi="Times New Roman"/>
          <w:color w:val="auto"/>
          <w:kern w:val="2"/>
          <w:highlight w:val="none"/>
        </w:rPr>
        <w:t>改善所在区域的生态环境。</w:t>
      </w:r>
    </w:p>
    <w:p>
      <w:pPr>
        <w:pStyle w:val="62"/>
        <w:jc w:val="both"/>
        <w:rPr>
          <w:rFonts w:ascii="Times New Roman" w:hAnsi="Times New Roman"/>
          <w:color w:val="auto"/>
          <w:kern w:val="2"/>
          <w:highlight w:val="none"/>
        </w:rPr>
      </w:pPr>
      <w:r>
        <w:rPr>
          <w:rFonts w:ascii="Times New Roman" w:hAnsi="Times New Roman"/>
          <w:color w:val="auto"/>
          <w:kern w:val="2"/>
          <w:highlight w:val="none"/>
        </w:rPr>
        <w:t>（3）噪声治理的环境效益分析：本项目对各类噪声源采取相应措施解决噪声污染问题。主要措施为对强声源设备采取建筑隔声、设置隔音室等措施，并对主要噪声源进行重点治理，采取一系列针对性较强的噪声污染防治措施，如采取隔声吸声棚、安装消声器等治理措施，这些措施的落实将大大减轻了噪声污染，对周围环境的影响较小，可以收到良好的环境效益。</w:t>
      </w:r>
    </w:p>
    <w:p>
      <w:pPr>
        <w:pStyle w:val="14"/>
        <w:spacing w:line="360" w:lineRule="auto"/>
        <w:ind w:left="0" w:firstLine="480" w:firstLineChars="200"/>
        <w:jc w:val="both"/>
      </w:pPr>
      <w:r>
        <w:rPr>
          <w:rFonts w:ascii="Times New Roman" w:hAnsi="Times New Roman"/>
          <w:color w:val="auto"/>
          <w:kern w:val="2"/>
          <w:highlight w:val="none"/>
        </w:rPr>
        <w:t>（4）固体废弃物环境效益分析：本项目产生的固体废弃物分别进行综合利用、处置，可有效处置所产生的各类固体废弃物，达到资源化、减量化、无害化的目的。</w:t>
      </w:r>
    </w:p>
    <w:p>
      <w:pPr>
        <w:pStyle w:val="5"/>
        <w:keepNext w:val="0"/>
        <w:keepLines w:val="0"/>
        <w:pageBreakBefore w:val="0"/>
        <w:widowControl w:val="0"/>
        <w:numPr>
          <w:ilvl w:val="1"/>
          <w:numId w:val="26"/>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382" w:name="_bookmark33"/>
      <w:bookmarkEnd w:id="382"/>
      <w:bookmarkStart w:id="383" w:name="7.4_环境经济损益分析结论"/>
      <w:bookmarkEnd w:id="383"/>
      <w:bookmarkStart w:id="384" w:name="_Toc20417"/>
      <w:bookmarkStart w:id="385" w:name="_Toc21555"/>
      <w:bookmarkStart w:id="386" w:name="_Toc3264"/>
      <w:r>
        <w:t>环境经济损益分析结论</w:t>
      </w:r>
      <w:bookmarkEnd w:id="384"/>
      <w:bookmarkEnd w:id="385"/>
      <w:bookmarkEnd w:id="386"/>
    </w:p>
    <w:p>
      <w:pPr>
        <w:pStyle w:val="14"/>
        <w:spacing w:line="360" w:lineRule="auto"/>
        <w:ind w:left="0" w:firstLine="480" w:firstLineChars="200"/>
        <w:jc w:val="both"/>
      </w:pPr>
      <w:r>
        <w:rPr>
          <w:color w:val="auto"/>
          <w:kern w:val="0"/>
          <w:sz w:val="24"/>
          <w:szCs w:val="24"/>
          <w:highlight w:val="none"/>
        </w:rPr>
        <w:t>综上所述，建设项目的环保投资不仅产生可以量化的经济效益，同时也具有较好的环境效益和社会效益，做到了污染物达标排放，减轻了对环境的污染，保护了人群健康，因此，本评价认为建设项目环保投资可行、合理，项目的社会效益环境效益显著。</w:t>
      </w:r>
    </w:p>
    <w:p>
      <w:pPr>
        <w:spacing w:line="364" w:lineRule="auto"/>
        <w:jc w:val="both"/>
        <w:sectPr>
          <w:footerReference r:id="rId25" w:type="default"/>
          <w:footerReference r:id="rId26" w:type="even"/>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pStyle w:val="4"/>
        <w:tabs>
          <w:tab w:val="left" w:pos="1444"/>
        </w:tabs>
        <w:spacing w:before="0" w:line="360" w:lineRule="auto"/>
        <w:ind w:right="0" w:firstLine="723" w:firstLineChars="200"/>
      </w:pPr>
      <w:bookmarkStart w:id="387" w:name="第八章__环境管理及监测计划"/>
      <w:bookmarkEnd w:id="387"/>
      <w:bookmarkStart w:id="388" w:name="_Toc2850"/>
      <w:bookmarkStart w:id="389" w:name="_Toc32226"/>
      <w:bookmarkStart w:id="390" w:name="_Toc29146"/>
      <w:r>
        <w:t>第八章</w:t>
      </w:r>
      <w:r>
        <w:rPr>
          <w:rFonts w:hint="eastAsia"/>
          <w:lang w:val="en-US"/>
        </w:rPr>
        <w:t xml:space="preserve">  </w:t>
      </w:r>
      <w:r>
        <w:t>环境管理及监测计划</w:t>
      </w:r>
      <w:bookmarkEnd w:id="388"/>
      <w:bookmarkEnd w:id="389"/>
      <w:bookmarkEnd w:id="390"/>
    </w:p>
    <w:p>
      <w:pPr>
        <w:pStyle w:val="5"/>
        <w:keepNext w:val="0"/>
        <w:keepLines w:val="0"/>
        <w:pageBreakBefore w:val="0"/>
        <w:widowControl w:val="0"/>
        <w:numPr>
          <w:ilvl w:val="1"/>
          <w:numId w:val="30"/>
        </w:numPr>
        <w:tabs>
          <w:tab w:val="left" w:pos="110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391" w:name="_bookmark35"/>
      <w:bookmarkEnd w:id="391"/>
      <w:bookmarkStart w:id="392" w:name="8.1_环境管理"/>
      <w:bookmarkEnd w:id="392"/>
      <w:bookmarkStart w:id="393" w:name="_Toc12717"/>
      <w:bookmarkStart w:id="394" w:name="_Toc26955"/>
      <w:bookmarkStart w:id="395" w:name="_Toc15227"/>
      <w:r>
        <w:t>环境管理</w:t>
      </w:r>
      <w:bookmarkEnd w:id="393"/>
      <w:bookmarkEnd w:id="394"/>
      <w:bookmarkEnd w:id="395"/>
    </w:p>
    <w:p>
      <w:pPr>
        <w:pStyle w:val="14"/>
        <w:spacing w:line="360" w:lineRule="auto"/>
        <w:ind w:left="0" w:firstLine="480" w:firstLineChars="200"/>
        <w:jc w:val="both"/>
      </w:pPr>
      <w:bookmarkStart w:id="396" w:name="8.1.1_环境管理的必要性"/>
      <w:bookmarkEnd w:id="396"/>
      <w:r>
        <w:rPr>
          <w:snapToGrid w:val="0"/>
          <w:color w:val="auto"/>
          <w:kern w:val="0"/>
          <w:sz w:val="24"/>
          <w:szCs w:val="28"/>
          <w:highlight w:val="none"/>
        </w:rPr>
        <w:t>环境管理是以环境科学理论为基础，运用经济、法律、技术、行政、教育等手段对经济、社会发展过程中施加给环境的污染和破坏影响进行调节控制，实现经济、社会和环境效益的和谐统一。随着我国环保法规的完善及严格执法，环境污染问题将</w:t>
      </w:r>
      <w:r>
        <w:rPr>
          <w:rFonts w:hint="eastAsia"/>
          <w:snapToGrid w:val="0"/>
          <w:color w:val="auto"/>
          <w:kern w:val="0"/>
          <w:sz w:val="24"/>
          <w:szCs w:val="28"/>
          <w:highlight w:val="none"/>
        </w:rPr>
        <w:t>极大地影响</w:t>
      </w:r>
      <w:r>
        <w:rPr>
          <w:snapToGrid w:val="0"/>
          <w:color w:val="auto"/>
          <w:kern w:val="0"/>
          <w:sz w:val="24"/>
          <w:szCs w:val="28"/>
          <w:highlight w:val="none"/>
        </w:rPr>
        <w:t>着企业的生存和发展，因此，环境管理应作为企业管理工作中的重要组成部分，企业应积极并主动地预防和治理污染，提高全体员工的环境意识，避免管理不善而可能发生的环境风险。</w:t>
      </w:r>
    </w:p>
    <w:p>
      <w:pPr>
        <w:pStyle w:val="6"/>
        <w:numPr>
          <w:ilvl w:val="2"/>
          <w:numId w:val="30"/>
        </w:numPr>
        <w:tabs>
          <w:tab w:val="left" w:pos="1241"/>
        </w:tabs>
        <w:spacing w:line="360" w:lineRule="auto"/>
        <w:ind w:left="0" w:firstLine="562" w:firstLineChars="200"/>
        <w:jc w:val="both"/>
      </w:pPr>
      <w:bookmarkStart w:id="397" w:name="8.1.2_环境管理机构的设置"/>
      <w:bookmarkEnd w:id="397"/>
      <w:r>
        <w:t>环境管理</w:t>
      </w:r>
      <w:r>
        <w:rPr>
          <w:rFonts w:hint="eastAsia"/>
          <w:lang w:eastAsia="zh-CN"/>
        </w:rPr>
        <w:t>基本原则</w:t>
      </w:r>
    </w:p>
    <w:p>
      <w:pPr>
        <w:bidi w:val="0"/>
        <w:rPr>
          <w:color w:val="auto"/>
          <w:highlight w:val="none"/>
        </w:rPr>
      </w:pPr>
      <w:r>
        <w:rPr>
          <w:color w:val="auto"/>
          <w:highlight w:val="none"/>
        </w:rPr>
        <w:t>项目建成后，应遵照环境保护法等有关法规以及ISO14001环境管理体系，针对项目建设的特点，遵守以下基本原则：</w:t>
      </w:r>
    </w:p>
    <w:p>
      <w:pPr>
        <w:bidi w:val="0"/>
        <w:rPr>
          <w:color w:val="auto"/>
          <w:highlight w:val="none"/>
        </w:rPr>
      </w:pPr>
      <w:r>
        <w:rPr>
          <w:color w:val="auto"/>
          <w:highlight w:val="none"/>
        </w:rPr>
        <w:t>（1）正确处理企业发展和保护环境的关系，既要保护环境，又要促进经济的发展，把环境效益和经济效益统一起来；</w:t>
      </w:r>
    </w:p>
    <w:p>
      <w:pPr>
        <w:bidi w:val="0"/>
        <w:rPr>
          <w:color w:val="auto"/>
          <w:highlight w:val="none"/>
        </w:rPr>
      </w:pPr>
      <w:r>
        <w:rPr>
          <w:color w:val="auto"/>
          <w:highlight w:val="none"/>
        </w:rPr>
        <w:t>（2）环境管理要贯穿到项目建设的各项工作中；环境管理指标纳入企业管理计划指标中，同时下达，同时进行考核；</w:t>
      </w:r>
    </w:p>
    <w:p>
      <w:pPr>
        <w:pStyle w:val="14"/>
        <w:spacing w:line="360" w:lineRule="auto"/>
        <w:ind w:left="0" w:firstLine="480" w:firstLineChars="200"/>
        <w:jc w:val="both"/>
      </w:pPr>
      <w:r>
        <w:rPr>
          <w:color w:val="auto"/>
          <w:highlight w:val="none"/>
        </w:rPr>
        <w:t>（3）控制污染要以预防为主，管治结合，综合治理，以取得最佳的环境效益。</w:t>
      </w:r>
    </w:p>
    <w:p>
      <w:pPr>
        <w:pStyle w:val="6"/>
        <w:numPr>
          <w:ilvl w:val="2"/>
          <w:numId w:val="30"/>
        </w:numPr>
        <w:tabs>
          <w:tab w:val="left" w:pos="1241"/>
        </w:tabs>
        <w:spacing w:line="360" w:lineRule="auto"/>
        <w:ind w:left="0" w:firstLine="562" w:firstLineChars="200"/>
        <w:jc w:val="both"/>
      </w:pPr>
      <w:bookmarkStart w:id="398" w:name="8.1.3_环境管理机构主要职责"/>
      <w:bookmarkEnd w:id="398"/>
      <w:r>
        <w:t>环境管理机构</w:t>
      </w:r>
    </w:p>
    <w:p>
      <w:pPr>
        <w:adjustRightInd w:val="0"/>
        <w:snapToGrid w:val="0"/>
        <w:spacing w:line="360" w:lineRule="auto"/>
        <w:ind w:left="12" w:right="80" w:firstLine="480"/>
        <w:rPr>
          <w:rFonts w:ascii="宋体" w:hAnsi="宋体" w:cs="宋体"/>
          <w:color w:val="auto"/>
          <w:spacing w:val="-3"/>
          <w:sz w:val="24"/>
          <w:szCs w:val="24"/>
          <w:highlight w:val="none"/>
        </w:rPr>
      </w:pPr>
      <w:r>
        <w:rPr>
          <w:rFonts w:ascii="宋体" w:hAnsi="宋体" w:cs="宋体"/>
          <w:color w:val="auto"/>
          <w:spacing w:val="2"/>
          <w:sz w:val="24"/>
          <w:szCs w:val="24"/>
          <w:highlight w:val="none"/>
        </w:rPr>
        <w:t>建设单位应设置由企业领导、各科室领导组成的环保管理</w:t>
      </w:r>
      <w:r>
        <w:rPr>
          <w:rFonts w:ascii="宋体" w:hAnsi="宋体" w:cs="宋体"/>
          <w:color w:val="auto"/>
          <w:spacing w:val="-3"/>
          <w:sz w:val="24"/>
          <w:szCs w:val="24"/>
          <w:highlight w:val="none"/>
        </w:rPr>
        <w:t>组织机构，负责中心环保工作日常事务。</w:t>
      </w:r>
    </w:p>
    <w:p>
      <w:pPr>
        <w:adjustRightInd w:val="0"/>
        <w:snapToGrid w:val="0"/>
        <w:spacing w:line="360" w:lineRule="auto"/>
        <w:ind w:left="12" w:right="80" w:firstLine="480"/>
        <w:rPr>
          <w:sz w:val="24"/>
        </w:rPr>
      </w:pPr>
      <w:r>
        <w:rPr>
          <w:rFonts w:ascii="宋体" w:hAnsi="宋体" w:cs="宋体"/>
          <w:color w:val="auto"/>
          <w:spacing w:val="2"/>
          <w:sz w:val="24"/>
          <w:szCs w:val="24"/>
          <w:highlight w:val="none"/>
        </w:rPr>
        <w:t>环保管理机构应做到有职、有权、有责，确实担负起企业的环境保护管理及</w:t>
      </w:r>
      <w:r>
        <w:rPr>
          <w:rFonts w:ascii="宋体" w:hAnsi="宋体" w:cs="宋体"/>
          <w:color w:val="auto"/>
          <w:spacing w:val="-8"/>
          <w:sz w:val="24"/>
          <w:szCs w:val="24"/>
          <w:highlight w:val="none"/>
        </w:rPr>
        <w:t>监督责任。该机构除对建设单位负责外，也应与地方环境保护管理部门加强联系，</w:t>
      </w:r>
      <w:r>
        <w:rPr>
          <w:rFonts w:ascii="宋体" w:hAnsi="宋体" w:cs="宋体"/>
          <w:color w:val="auto"/>
          <w:spacing w:val="-2"/>
          <w:sz w:val="24"/>
          <w:szCs w:val="24"/>
          <w:highlight w:val="none"/>
        </w:rPr>
        <w:t>使企业环保工作纳入地方环保管理工作系统，在业务上接受检查和监督。</w:t>
      </w:r>
    </w:p>
    <w:p>
      <w:pPr>
        <w:pStyle w:val="6"/>
        <w:numPr>
          <w:ilvl w:val="2"/>
          <w:numId w:val="30"/>
        </w:numPr>
        <w:tabs>
          <w:tab w:val="left" w:pos="1241"/>
        </w:tabs>
        <w:spacing w:line="360" w:lineRule="auto"/>
        <w:ind w:left="0" w:firstLine="562" w:firstLineChars="200"/>
        <w:jc w:val="both"/>
      </w:pPr>
      <w:bookmarkStart w:id="399" w:name="8.1.4_环境管理制度的建立"/>
      <w:bookmarkEnd w:id="399"/>
      <w:r>
        <w:t>环境管理</w:t>
      </w:r>
      <w:r>
        <w:rPr>
          <w:rFonts w:hint="eastAsia"/>
          <w:lang w:eastAsia="zh-CN"/>
        </w:rPr>
        <w:t>机构职责</w:t>
      </w:r>
    </w:p>
    <w:p>
      <w:pPr>
        <w:spacing w:line="360" w:lineRule="auto"/>
        <w:ind w:firstLine="480" w:firstLineChars="200"/>
        <w:rPr>
          <w:snapToGrid w:val="0"/>
          <w:color w:val="auto"/>
          <w:kern w:val="0"/>
          <w:sz w:val="24"/>
          <w:highlight w:val="none"/>
        </w:rPr>
      </w:pPr>
      <w:r>
        <w:rPr>
          <w:snapToGrid w:val="0"/>
          <w:color w:val="auto"/>
          <w:kern w:val="0"/>
          <w:sz w:val="24"/>
          <w:highlight w:val="none"/>
        </w:rPr>
        <w:t>（1）中心主任负责环境管理总体工作，并负有法律责任；</w:t>
      </w:r>
    </w:p>
    <w:p>
      <w:pPr>
        <w:spacing w:line="360" w:lineRule="auto"/>
        <w:ind w:firstLine="480" w:firstLineChars="200"/>
        <w:rPr>
          <w:snapToGrid w:val="0"/>
          <w:color w:val="auto"/>
          <w:sz w:val="24"/>
          <w:highlight w:val="none"/>
        </w:rPr>
      </w:pPr>
      <w:r>
        <w:rPr>
          <w:snapToGrid w:val="0"/>
          <w:color w:val="auto"/>
          <w:kern w:val="0"/>
          <w:sz w:val="24"/>
          <w:highlight w:val="none"/>
        </w:rPr>
        <w:t>（2）分管科长领导和指挥制定环保方案，同时在环保行动的实施中担任协调、维持、评审和深化的工作；</w:t>
      </w:r>
    </w:p>
    <w:p>
      <w:pPr>
        <w:spacing w:line="360" w:lineRule="auto"/>
        <w:ind w:firstLine="480" w:firstLineChars="200"/>
        <w:rPr>
          <w:color w:val="auto"/>
          <w:highlight w:val="none"/>
        </w:rPr>
      </w:pPr>
      <w:r>
        <w:rPr>
          <w:snapToGrid w:val="0"/>
          <w:color w:val="auto"/>
          <w:kern w:val="0"/>
          <w:sz w:val="24"/>
          <w:highlight w:val="none"/>
        </w:rPr>
        <w:t>（3）环保人员具体执行内部环境管理，在业务上接受当地环保机构的指导和监督，其主要职责是：</w:t>
      </w:r>
    </w:p>
    <w:p>
      <w:pPr>
        <w:spacing w:line="360" w:lineRule="auto"/>
        <w:ind w:firstLine="480" w:firstLineChars="200"/>
        <w:rPr>
          <w:snapToGrid w:val="0"/>
          <w:color w:val="auto"/>
          <w:kern w:val="0"/>
          <w:sz w:val="24"/>
          <w:highlight w:val="none"/>
        </w:rPr>
      </w:pPr>
      <w:r>
        <w:rPr>
          <w:snapToGrid w:val="0"/>
          <w:color w:val="auto"/>
          <w:kern w:val="0"/>
          <w:sz w:val="24"/>
          <w:highlight w:val="none"/>
        </w:rPr>
        <w:t>①建设期</w:t>
      </w:r>
    </w:p>
    <w:p>
      <w:pPr>
        <w:spacing w:line="360" w:lineRule="auto"/>
        <w:ind w:firstLine="480" w:firstLineChars="200"/>
        <w:rPr>
          <w:snapToGrid w:val="0"/>
          <w:color w:val="auto"/>
          <w:kern w:val="0"/>
          <w:sz w:val="24"/>
          <w:highlight w:val="none"/>
        </w:rPr>
      </w:pPr>
      <w:r>
        <w:rPr>
          <w:snapToGrid w:val="0"/>
          <w:color w:val="auto"/>
          <w:kern w:val="0"/>
          <w:sz w:val="24"/>
          <w:highlight w:val="none"/>
        </w:rPr>
        <w:t>制定行之有效的环保措施，减少建设期间固体废物、废水、噪声和废气等对环境的污染；</w:t>
      </w:r>
    </w:p>
    <w:p>
      <w:pPr>
        <w:spacing w:line="360" w:lineRule="auto"/>
        <w:ind w:firstLine="480" w:firstLineChars="200"/>
        <w:rPr>
          <w:snapToGrid w:val="0"/>
          <w:color w:val="auto"/>
          <w:kern w:val="0"/>
          <w:sz w:val="24"/>
          <w:highlight w:val="none"/>
        </w:rPr>
      </w:pPr>
      <w:r>
        <w:rPr>
          <w:snapToGrid w:val="0"/>
          <w:color w:val="auto"/>
          <w:kern w:val="0"/>
          <w:sz w:val="24"/>
          <w:highlight w:val="none"/>
        </w:rPr>
        <w:t>针对建设期间排放的“三废”，对施工单位提出严格要求，并监督实施；</w:t>
      </w:r>
    </w:p>
    <w:p>
      <w:pPr>
        <w:spacing w:line="360" w:lineRule="auto"/>
        <w:ind w:firstLine="480" w:firstLineChars="200"/>
        <w:rPr>
          <w:snapToGrid w:val="0"/>
          <w:color w:val="auto"/>
          <w:kern w:val="0"/>
          <w:sz w:val="24"/>
          <w:highlight w:val="none"/>
        </w:rPr>
      </w:pPr>
      <w:r>
        <w:rPr>
          <w:snapToGrid w:val="0"/>
          <w:color w:val="auto"/>
          <w:kern w:val="0"/>
          <w:sz w:val="24"/>
          <w:highlight w:val="none"/>
        </w:rPr>
        <w:t>负责监督检查各污染治理设施的安装和试运行，确保“三同时”的实现。</w:t>
      </w:r>
    </w:p>
    <w:p>
      <w:pPr>
        <w:spacing w:line="360" w:lineRule="auto"/>
        <w:ind w:firstLine="480" w:firstLineChars="200"/>
        <w:rPr>
          <w:snapToGrid w:val="0"/>
          <w:color w:val="auto"/>
          <w:kern w:val="0"/>
          <w:sz w:val="24"/>
          <w:highlight w:val="none"/>
        </w:rPr>
      </w:pPr>
      <w:r>
        <w:rPr>
          <w:snapToGrid w:val="0"/>
          <w:color w:val="auto"/>
          <w:kern w:val="0"/>
          <w:sz w:val="24"/>
          <w:highlight w:val="none"/>
        </w:rPr>
        <w:t>②营运期</w:t>
      </w:r>
    </w:p>
    <w:p>
      <w:pPr>
        <w:spacing w:line="360" w:lineRule="auto"/>
        <w:ind w:firstLine="480" w:firstLineChars="200"/>
        <w:rPr>
          <w:snapToGrid w:val="0"/>
          <w:color w:val="auto"/>
          <w:kern w:val="0"/>
          <w:sz w:val="24"/>
          <w:highlight w:val="none"/>
        </w:rPr>
      </w:pPr>
      <w:r>
        <w:rPr>
          <w:snapToGrid w:val="0"/>
          <w:color w:val="auto"/>
          <w:kern w:val="0"/>
          <w:sz w:val="24"/>
          <w:highlight w:val="none"/>
        </w:rPr>
        <w:t>贯彻执行国家和地方环境法律、法规；</w:t>
      </w:r>
    </w:p>
    <w:p>
      <w:pPr>
        <w:spacing w:line="360" w:lineRule="auto"/>
        <w:ind w:firstLine="480" w:firstLineChars="200"/>
        <w:rPr>
          <w:snapToGrid w:val="0"/>
          <w:color w:val="auto"/>
          <w:kern w:val="0"/>
          <w:sz w:val="24"/>
          <w:highlight w:val="none"/>
        </w:rPr>
      </w:pPr>
      <w:r>
        <w:rPr>
          <w:snapToGrid w:val="0"/>
          <w:color w:val="auto"/>
          <w:kern w:val="0"/>
          <w:sz w:val="24"/>
          <w:highlight w:val="none"/>
        </w:rPr>
        <w:t>负责监督和执行各项环境管理规章制度；</w:t>
      </w:r>
    </w:p>
    <w:p>
      <w:pPr>
        <w:spacing w:line="360" w:lineRule="auto"/>
        <w:ind w:firstLine="480" w:firstLineChars="200"/>
        <w:rPr>
          <w:snapToGrid w:val="0"/>
          <w:color w:val="auto"/>
          <w:kern w:val="0"/>
          <w:sz w:val="24"/>
          <w:highlight w:val="none"/>
        </w:rPr>
      </w:pPr>
      <w:r>
        <w:rPr>
          <w:snapToGrid w:val="0"/>
          <w:color w:val="auto"/>
          <w:kern w:val="0"/>
          <w:sz w:val="24"/>
          <w:highlight w:val="none"/>
        </w:rPr>
        <w:t>负责环境管理日常工作；</w:t>
      </w:r>
    </w:p>
    <w:p>
      <w:pPr>
        <w:spacing w:line="360" w:lineRule="auto"/>
        <w:ind w:firstLine="480" w:firstLineChars="200"/>
        <w:rPr>
          <w:snapToGrid w:val="0"/>
          <w:color w:val="auto"/>
          <w:kern w:val="0"/>
          <w:sz w:val="24"/>
          <w:highlight w:val="none"/>
        </w:rPr>
      </w:pPr>
      <w:r>
        <w:rPr>
          <w:snapToGrid w:val="0"/>
          <w:color w:val="auto"/>
          <w:kern w:val="0"/>
          <w:sz w:val="24"/>
          <w:highlight w:val="none"/>
        </w:rPr>
        <w:t>负责环境监控计划的具体执行；</w:t>
      </w:r>
    </w:p>
    <w:p>
      <w:pPr>
        <w:spacing w:line="360" w:lineRule="auto"/>
        <w:ind w:firstLine="480" w:firstLineChars="200"/>
        <w:rPr>
          <w:snapToGrid w:val="0"/>
          <w:color w:val="auto"/>
          <w:kern w:val="0"/>
          <w:sz w:val="24"/>
          <w:highlight w:val="none"/>
        </w:rPr>
      </w:pPr>
      <w:r>
        <w:rPr>
          <w:snapToGrid w:val="0"/>
          <w:color w:val="auto"/>
          <w:kern w:val="0"/>
          <w:sz w:val="24"/>
          <w:highlight w:val="none"/>
        </w:rPr>
        <w:t>组织环保宣传、培训和教育工作。</w:t>
      </w:r>
    </w:p>
    <w:p>
      <w:pPr>
        <w:spacing w:line="360" w:lineRule="auto"/>
        <w:ind w:firstLine="480" w:firstLineChars="200"/>
        <w:rPr>
          <w:snapToGrid w:val="0"/>
          <w:color w:val="auto"/>
          <w:kern w:val="0"/>
          <w:sz w:val="24"/>
          <w:highlight w:val="none"/>
        </w:rPr>
      </w:pPr>
      <w:r>
        <w:rPr>
          <w:snapToGrid w:val="0"/>
          <w:color w:val="auto"/>
          <w:kern w:val="0"/>
          <w:sz w:val="24"/>
          <w:highlight w:val="none"/>
        </w:rPr>
        <w:t>严格按照设备操作规程进行，防止意外事故发生；</w:t>
      </w:r>
    </w:p>
    <w:p>
      <w:pPr>
        <w:spacing w:line="360" w:lineRule="auto"/>
        <w:ind w:firstLine="480" w:firstLineChars="200"/>
        <w:rPr>
          <w:snapToGrid w:val="0"/>
          <w:color w:val="auto"/>
          <w:kern w:val="0"/>
          <w:sz w:val="24"/>
          <w:highlight w:val="none"/>
        </w:rPr>
      </w:pPr>
      <w:r>
        <w:rPr>
          <w:snapToGrid w:val="0"/>
          <w:color w:val="auto"/>
          <w:kern w:val="0"/>
          <w:sz w:val="24"/>
          <w:highlight w:val="none"/>
        </w:rPr>
        <w:t>保证环保设施正常、高效运行，按规定进行日常的维护；</w:t>
      </w:r>
    </w:p>
    <w:p>
      <w:pPr>
        <w:spacing w:line="360" w:lineRule="auto"/>
        <w:ind w:firstLine="480" w:firstLineChars="200"/>
        <w:rPr>
          <w:snapToGrid w:val="0"/>
          <w:color w:val="auto"/>
          <w:kern w:val="0"/>
          <w:sz w:val="24"/>
          <w:highlight w:val="none"/>
        </w:rPr>
      </w:pPr>
      <w:r>
        <w:rPr>
          <w:snapToGrid w:val="0"/>
          <w:color w:val="auto"/>
          <w:kern w:val="0"/>
          <w:sz w:val="24"/>
          <w:highlight w:val="none"/>
        </w:rPr>
        <w:t>积极执行上级领导和环保管理部门提出的相关规定；</w:t>
      </w:r>
    </w:p>
    <w:p>
      <w:pPr>
        <w:pStyle w:val="14"/>
        <w:spacing w:line="360" w:lineRule="auto"/>
        <w:ind w:left="0" w:firstLine="480" w:firstLineChars="200"/>
        <w:jc w:val="both"/>
      </w:pPr>
      <w:r>
        <w:rPr>
          <w:snapToGrid w:val="0"/>
          <w:color w:val="auto"/>
          <w:kern w:val="0"/>
          <w:sz w:val="24"/>
          <w:highlight w:val="none"/>
        </w:rPr>
        <w:t>特殊情况、特殊问题要及时汇报，并及时进行解决。</w:t>
      </w:r>
    </w:p>
    <w:p>
      <w:pPr>
        <w:pStyle w:val="6"/>
        <w:numPr>
          <w:ilvl w:val="2"/>
          <w:numId w:val="30"/>
        </w:numPr>
        <w:tabs>
          <w:tab w:val="left" w:pos="1241"/>
        </w:tabs>
        <w:spacing w:line="360" w:lineRule="auto"/>
        <w:ind w:left="0" w:firstLine="562" w:firstLineChars="200"/>
        <w:jc w:val="both"/>
      </w:pPr>
      <w:bookmarkStart w:id="400" w:name="8.1.5_环境管理计划"/>
      <w:bookmarkEnd w:id="400"/>
      <w:r>
        <w:t>环境管理</w:t>
      </w:r>
      <w:r>
        <w:rPr>
          <w:rFonts w:hint="eastAsia"/>
          <w:lang w:eastAsia="zh-CN"/>
        </w:rPr>
        <w:t>内容</w:t>
      </w:r>
    </w:p>
    <w:p>
      <w:pPr>
        <w:pStyle w:val="7"/>
        <w:bidi w:val="0"/>
        <w:jc w:val="both"/>
        <w:rPr>
          <w:color w:val="auto"/>
          <w:highlight w:val="none"/>
        </w:rPr>
      </w:pPr>
      <w:r>
        <w:rPr>
          <w:rFonts w:hint="eastAsia"/>
          <w:color w:val="auto"/>
          <w:highlight w:val="none"/>
          <w:lang w:val="en-US" w:eastAsia="zh-CN"/>
        </w:rPr>
        <w:t>8.1.4.1</w:t>
      </w:r>
      <w:r>
        <w:rPr>
          <w:rFonts w:hint="eastAsia"/>
          <w:color w:val="auto"/>
          <w:highlight w:val="none"/>
        </w:rPr>
        <w:t>施工期</w:t>
      </w:r>
    </w:p>
    <w:p>
      <w:pPr>
        <w:spacing w:line="360" w:lineRule="auto"/>
        <w:ind w:firstLine="480" w:firstLineChars="200"/>
        <w:rPr>
          <w:snapToGrid w:val="0"/>
          <w:color w:val="auto"/>
          <w:kern w:val="0"/>
          <w:sz w:val="24"/>
          <w:highlight w:val="none"/>
        </w:rPr>
      </w:pPr>
      <w:r>
        <w:rPr>
          <w:snapToGrid w:val="0"/>
          <w:color w:val="auto"/>
          <w:kern w:val="0"/>
          <w:sz w:val="24"/>
          <w:highlight w:val="none"/>
        </w:rPr>
        <w:t>针对本工程</w:t>
      </w:r>
      <w:r>
        <w:rPr>
          <w:rFonts w:hint="eastAsia"/>
          <w:snapToGrid w:val="0"/>
          <w:color w:val="auto"/>
          <w:kern w:val="0"/>
          <w:sz w:val="24"/>
          <w:highlight w:val="none"/>
        </w:rPr>
        <w:t>施工</w:t>
      </w:r>
      <w:r>
        <w:rPr>
          <w:snapToGrid w:val="0"/>
          <w:color w:val="auto"/>
          <w:kern w:val="0"/>
          <w:sz w:val="24"/>
          <w:highlight w:val="none"/>
        </w:rPr>
        <w:t>阶段环境管理</w:t>
      </w:r>
      <w:r>
        <w:rPr>
          <w:rFonts w:hint="eastAsia"/>
          <w:snapToGrid w:val="0"/>
          <w:color w:val="auto"/>
          <w:kern w:val="0"/>
          <w:sz w:val="24"/>
          <w:highlight w:val="none"/>
        </w:rPr>
        <w:t>内容</w:t>
      </w:r>
      <w:r>
        <w:rPr>
          <w:snapToGrid w:val="0"/>
          <w:color w:val="auto"/>
          <w:kern w:val="0"/>
          <w:sz w:val="24"/>
          <w:highlight w:val="none"/>
        </w:rPr>
        <w:t>见表8.1-1。</w:t>
      </w:r>
    </w:p>
    <w:p>
      <w:pPr>
        <w:pStyle w:val="41"/>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eastAsia"/>
          <w:b/>
          <w:bCs/>
          <w:color w:val="auto"/>
          <w:kern w:val="11"/>
          <w:sz w:val="21"/>
          <w:szCs w:val="18"/>
          <w:highlight w:val="none"/>
        </w:rPr>
      </w:pPr>
      <w:r>
        <w:rPr>
          <w:b/>
          <w:bCs/>
          <w:color w:val="auto"/>
          <w:kern w:val="11"/>
          <w:sz w:val="21"/>
          <w:szCs w:val="18"/>
          <w:highlight w:val="none"/>
        </w:rPr>
        <w:t xml:space="preserve">表8.1-1  </w:t>
      </w:r>
      <w:r>
        <w:rPr>
          <w:rFonts w:hint="eastAsia"/>
          <w:b/>
          <w:bCs/>
          <w:color w:val="auto"/>
          <w:kern w:val="11"/>
          <w:sz w:val="21"/>
          <w:szCs w:val="18"/>
          <w:highlight w:val="none"/>
        </w:rPr>
        <w:t xml:space="preserve">   </w:t>
      </w:r>
      <w:r>
        <w:rPr>
          <w:b/>
          <w:bCs/>
          <w:color w:val="auto"/>
          <w:kern w:val="11"/>
          <w:sz w:val="21"/>
          <w:szCs w:val="18"/>
          <w:highlight w:val="none"/>
        </w:rPr>
        <w:t>环境管理</w:t>
      </w:r>
      <w:r>
        <w:rPr>
          <w:rFonts w:hint="eastAsia"/>
          <w:b/>
          <w:bCs/>
          <w:color w:val="auto"/>
          <w:kern w:val="11"/>
          <w:sz w:val="21"/>
          <w:szCs w:val="18"/>
          <w:highlight w:val="none"/>
        </w:rPr>
        <w:t>内容</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0"/>
        <w:gridCol w:w="702"/>
        <w:gridCol w:w="7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9" w:type="pct"/>
            <w:gridSpan w:val="2"/>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各阶段</w:t>
            </w:r>
          </w:p>
        </w:tc>
        <w:tc>
          <w:tcPr>
            <w:tcW w:w="4331"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环境管理工作计划的具体内容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9" w:type="pct"/>
            <w:gridSpan w:val="2"/>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工程环境管理总要求</w:t>
            </w:r>
          </w:p>
        </w:tc>
        <w:tc>
          <w:tcPr>
            <w:tcW w:w="4331"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①可研阶段，委托评价单位进行环境影响评价；</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②按照建设项目“三同时”要求进行建设；</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③建成3个月内，进行环保设施竣工验收；</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④运行期请当地环保部门监督、检查，协助做好环境管理工作；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9" w:type="pct"/>
            <w:gridSpan w:val="2"/>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施工阶段</w:t>
            </w:r>
          </w:p>
        </w:tc>
        <w:tc>
          <w:tcPr>
            <w:tcW w:w="4331"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①督促施工单位按审查批准的设计文件要求落实环保工程的施工计划与进度；</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②与施工单位签订有关环保合同，监督施工单位的施工活动是否按有关要求进行，防止其对环境造成污染和破坏；</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③施工活动总平面布置要合理，严格按有关规定执行，不得干扰周围群众正常生活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7" w:type="pct"/>
            <w:vMerge w:val="restar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竣工验收阶段</w:t>
            </w:r>
          </w:p>
        </w:tc>
        <w:tc>
          <w:tcPr>
            <w:tcW w:w="422"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自检准备阶段</w:t>
            </w:r>
          </w:p>
        </w:tc>
        <w:tc>
          <w:tcPr>
            <w:tcW w:w="4331"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①检查施工项目是否按设计规定全部完工；</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②检查操作技术文件和管理制度是否健全；</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③整理技术文件资料档案；</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④建立环保档案。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p>
        </w:tc>
        <w:tc>
          <w:tcPr>
            <w:tcW w:w="422"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预验收阶段</w:t>
            </w:r>
          </w:p>
        </w:tc>
        <w:tc>
          <w:tcPr>
            <w:tcW w:w="4331"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①检查</w:t>
            </w:r>
            <w:r>
              <w:rPr>
                <w:rFonts w:hint="eastAsia"/>
                <w:color w:val="auto"/>
                <w:kern w:val="0"/>
                <w:sz w:val="21"/>
                <w:szCs w:val="21"/>
                <w:highlight w:val="none"/>
                <w:lang w:eastAsia="zh-CN"/>
              </w:rPr>
              <w:t>烟气净化系统</w:t>
            </w:r>
            <w:r>
              <w:rPr>
                <w:color w:val="auto"/>
                <w:kern w:val="0"/>
                <w:sz w:val="21"/>
                <w:szCs w:val="21"/>
                <w:highlight w:val="none"/>
              </w:rPr>
              <w:t>、危险废物暂存间、防噪设施等污染治理设施的建设运行情况；</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②对检查出来的问题，要提出解决或补救措施，落实投资，确保完成期限；</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snapToGrid w:val="0"/>
                <w:color w:val="auto"/>
                <w:kern w:val="0"/>
                <w:sz w:val="21"/>
                <w:szCs w:val="21"/>
                <w:highlight w:val="none"/>
              </w:rPr>
            </w:pPr>
            <w:r>
              <w:rPr>
                <w:color w:val="auto"/>
                <w:kern w:val="0"/>
                <w:sz w:val="21"/>
                <w:szCs w:val="21"/>
                <w:highlight w:val="none"/>
              </w:rPr>
              <w:t>③</w:t>
            </w:r>
            <w:r>
              <w:rPr>
                <w:snapToGrid w:val="0"/>
                <w:color w:val="auto"/>
                <w:kern w:val="0"/>
                <w:sz w:val="21"/>
                <w:szCs w:val="21"/>
                <w:highlight w:val="none"/>
              </w:rPr>
              <w:t>总结试运转的经验，健全前期的各项管理制度；</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④转入日常环境保护监督管理。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p>
        </w:tc>
        <w:tc>
          <w:tcPr>
            <w:tcW w:w="422"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正式验收阶段</w:t>
            </w:r>
          </w:p>
        </w:tc>
        <w:tc>
          <w:tcPr>
            <w:tcW w:w="4331"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①建设单位</w:t>
            </w:r>
            <w:r>
              <w:rPr>
                <w:rFonts w:hint="eastAsia"/>
                <w:color w:val="auto"/>
                <w:kern w:val="0"/>
                <w:sz w:val="21"/>
                <w:szCs w:val="21"/>
                <w:highlight w:val="none"/>
                <w:lang w:eastAsia="zh-CN"/>
              </w:rPr>
              <w:t>自主组织开展项目竣工环境保护验收工作</w:t>
            </w:r>
            <w:r>
              <w:rPr>
                <w:color w:val="auto"/>
                <w:kern w:val="0"/>
                <w:sz w:val="21"/>
                <w:szCs w:val="21"/>
                <w:highlight w:val="none"/>
              </w:rPr>
              <w:t>；</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②</w:t>
            </w:r>
            <w:r>
              <w:rPr>
                <w:snapToGrid w:val="0"/>
                <w:color w:val="auto"/>
                <w:kern w:val="0"/>
                <w:sz w:val="21"/>
                <w:szCs w:val="21"/>
                <w:highlight w:val="none"/>
              </w:rPr>
              <w:t>记录各项环保设施的试运转状况，针对出现问题提出完善修改意见。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9" w:type="pct"/>
            <w:gridSpan w:val="2"/>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kern w:val="0"/>
                <w:sz w:val="21"/>
                <w:szCs w:val="21"/>
                <w:highlight w:val="none"/>
              </w:rPr>
              <w:t>运行阶段</w:t>
            </w:r>
          </w:p>
        </w:tc>
        <w:tc>
          <w:tcPr>
            <w:tcW w:w="4331" w:type="pct"/>
            <w:noWrap w:val="0"/>
            <w:vAlign w:val="center"/>
          </w:tcPr>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①把环境管理纳入日常管理，并要落实到位；</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t>②项目管理部门负责实行环保责任制，指标逐级分解，做到奖罚分明；</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③建立环境保护信息反馈和群众监督制度；</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④建立健全配套环保设施的运行操作规则，并监督实施，严防跑、冒、滴、漏；</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t>设立环保设施运行卡，对环保设施定期进行检查、维护，做到勤查、勤记、勤养护，按照监测计划定期组织进行厂内的污染源监测，对不达标环保设施立即进行寻找原因、及时处理；</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5 \* GB3 </w:instrText>
            </w:r>
            <w:r>
              <w:rPr>
                <w:color w:val="auto"/>
                <w:kern w:val="0"/>
                <w:sz w:val="21"/>
                <w:szCs w:val="21"/>
                <w:highlight w:val="none"/>
              </w:rPr>
              <w:fldChar w:fldCharType="separate"/>
            </w:r>
            <w:r>
              <w:rPr>
                <w:color w:val="auto"/>
                <w:kern w:val="0"/>
                <w:sz w:val="21"/>
                <w:szCs w:val="21"/>
                <w:highlight w:val="none"/>
              </w:rPr>
              <w:t>⑤</w:t>
            </w:r>
            <w:r>
              <w:rPr>
                <w:color w:val="auto"/>
                <w:kern w:val="0"/>
                <w:sz w:val="21"/>
                <w:szCs w:val="21"/>
                <w:highlight w:val="none"/>
              </w:rPr>
              <w:fldChar w:fldCharType="end"/>
            </w:r>
            <w:r>
              <w:rPr>
                <w:color w:val="auto"/>
                <w:kern w:val="0"/>
                <w:sz w:val="21"/>
                <w:szCs w:val="21"/>
                <w:highlight w:val="none"/>
              </w:rPr>
              <w:t>不断加强技术培训，组织企业内部之间技术交流，提高业务水平，保持企业内部职工素质稳定；</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6 \* GB3 </w:instrText>
            </w:r>
            <w:r>
              <w:rPr>
                <w:color w:val="auto"/>
                <w:kern w:val="0"/>
                <w:sz w:val="21"/>
                <w:szCs w:val="21"/>
                <w:highlight w:val="none"/>
              </w:rPr>
              <w:fldChar w:fldCharType="separate"/>
            </w:r>
            <w:r>
              <w:rPr>
                <w:color w:val="auto"/>
                <w:kern w:val="0"/>
                <w:sz w:val="21"/>
                <w:szCs w:val="21"/>
                <w:highlight w:val="none"/>
              </w:rPr>
              <w:t>⑥</w:t>
            </w:r>
            <w:r>
              <w:rPr>
                <w:color w:val="auto"/>
                <w:kern w:val="0"/>
                <w:sz w:val="21"/>
                <w:szCs w:val="21"/>
                <w:highlight w:val="none"/>
              </w:rPr>
              <w:fldChar w:fldCharType="end"/>
            </w:r>
            <w:r>
              <w:rPr>
                <w:color w:val="auto"/>
                <w:kern w:val="0"/>
                <w:sz w:val="21"/>
                <w:szCs w:val="21"/>
                <w:highlight w:val="none"/>
              </w:rPr>
              <w:t>重视群众监督作用，提高企业职工环境意识，鼓励职工及外部人员对生产状况提出意见，并通过积极吸收宝贵意见，提高企业环境管理水平；</w:t>
            </w:r>
          </w:p>
          <w:p>
            <w:pPr>
              <w:keepNext w:val="0"/>
              <w:keepLines w:val="0"/>
              <w:pageBreakBefore w:val="0"/>
              <w:tabs>
                <w:tab w:val="left" w:pos="2340"/>
                <w:tab w:val="left" w:pos="3240"/>
              </w:tabs>
              <w:kinsoku/>
              <w:wordWrap/>
              <w:overflowPunct/>
              <w:topLinePunct w:val="0"/>
              <w:autoSpaceDE/>
              <w:autoSpaceDN/>
              <w:bidi w:val="0"/>
              <w:adjustRightInd w:val="0"/>
              <w:snapToGrid w:val="0"/>
              <w:spacing w:line="320" w:lineRule="exact"/>
              <w:ind w:firstLine="0" w:firstLineChars="0"/>
              <w:jc w:val="left"/>
              <w:textAlignment w:val="auto"/>
              <w:rPr>
                <w:color w:val="auto"/>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7 \* GB3 </w:instrText>
            </w:r>
            <w:r>
              <w:rPr>
                <w:color w:val="auto"/>
                <w:kern w:val="0"/>
                <w:sz w:val="21"/>
                <w:szCs w:val="21"/>
                <w:highlight w:val="none"/>
              </w:rPr>
              <w:fldChar w:fldCharType="separate"/>
            </w:r>
            <w:r>
              <w:rPr>
                <w:color w:val="auto"/>
                <w:kern w:val="0"/>
                <w:sz w:val="21"/>
                <w:szCs w:val="21"/>
                <w:highlight w:val="none"/>
              </w:rPr>
              <w:t>⑦</w:t>
            </w:r>
            <w:r>
              <w:rPr>
                <w:color w:val="auto"/>
                <w:kern w:val="0"/>
                <w:sz w:val="21"/>
                <w:szCs w:val="21"/>
                <w:highlight w:val="none"/>
              </w:rPr>
              <w:fldChar w:fldCharType="end"/>
            </w:r>
            <w:r>
              <w:rPr>
                <w:color w:val="auto"/>
                <w:kern w:val="0"/>
                <w:sz w:val="21"/>
                <w:szCs w:val="21"/>
                <w:highlight w:val="none"/>
              </w:rPr>
              <w:t>积极配合环保部门的检查、验收。</w:t>
            </w:r>
          </w:p>
        </w:tc>
      </w:tr>
    </w:tbl>
    <w:p>
      <w:pPr>
        <w:pStyle w:val="7"/>
        <w:keepNext/>
        <w:keepLines/>
        <w:pageBreakBefore w:val="0"/>
        <w:widowControl w:val="0"/>
        <w:kinsoku/>
        <w:wordWrap/>
        <w:overflowPunct/>
        <w:topLinePunct w:val="0"/>
        <w:autoSpaceDE/>
        <w:autoSpaceDN/>
        <w:bidi w:val="0"/>
        <w:adjustRightInd w:val="0"/>
        <w:snapToGrid w:val="0"/>
        <w:spacing w:before="157" w:beforeLines="50"/>
        <w:jc w:val="both"/>
        <w:textAlignment w:val="auto"/>
        <w:rPr>
          <w:rFonts w:hint="eastAsia"/>
          <w:color w:val="auto"/>
          <w:highlight w:val="none"/>
        </w:rPr>
      </w:pPr>
      <w:r>
        <w:rPr>
          <w:rFonts w:hint="eastAsia"/>
          <w:color w:val="auto"/>
          <w:highlight w:val="none"/>
          <w:lang w:val="en-US" w:eastAsia="zh-CN"/>
        </w:rPr>
        <w:t>8.1.4.2</w:t>
      </w:r>
      <w:r>
        <w:rPr>
          <w:rFonts w:hint="eastAsia"/>
          <w:color w:val="auto"/>
          <w:highlight w:val="none"/>
        </w:rPr>
        <w:t>运营期</w:t>
      </w:r>
    </w:p>
    <w:p>
      <w:pPr>
        <w:bidi w:val="0"/>
        <w:rPr>
          <w:color w:val="auto"/>
          <w:highlight w:val="none"/>
        </w:rPr>
      </w:pPr>
      <w:r>
        <w:rPr>
          <w:rFonts w:hint="eastAsia"/>
          <w:color w:val="auto"/>
          <w:highlight w:val="none"/>
        </w:rPr>
        <w:t>本项目运营期间，</w:t>
      </w:r>
      <w:r>
        <w:rPr>
          <w:rFonts w:hint="eastAsia"/>
          <w:color w:val="auto"/>
          <w:highlight w:val="none"/>
          <w:lang w:val="en-US" w:eastAsia="zh-CN"/>
        </w:rPr>
        <w:t>建设单位运行</w:t>
      </w:r>
      <w:r>
        <w:rPr>
          <w:rFonts w:hint="eastAsia"/>
          <w:color w:val="auto"/>
          <w:highlight w:val="none"/>
        </w:rPr>
        <w:t>管理内容包括：</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锅炉排污单位应当按照相关法律法规、标准和技术规范等的要求运行大气污染防治设施，并进行维护和管理，保证设施正常运行，使排放的大气污染物符合相关国家或地方污染物排放标准的规定。</w:t>
      </w:r>
    </w:p>
    <w:p>
      <w:pPr>
        <w:bidi w:val="0"/>
        <w:rPr>
          <w:rFonts w:hint="eastAsia"/>
          <w:color w:val="auto"/>
          <w:highlight w:val="none"/>
        </w:rPr>
      </w:pPr>
      <w:r>
        <w:rPr>
          <w:rFonts w:hint="eastAsia"/>
          <w:color w:val="auto"/>
          <w:highlight w:val="none"/>
          <w:lang w:eastAsia="zh-CN"/>
        </w:rPr>
        <w:t>①</w:t>
      </w:r>
      <w:r>
        <w:rPr>
          <w:rFonts w:hint="eastAsia"/>
          <w:color w:val="auto"/>
          <w:highlight w:val="none"/>
        </w:rPr>
        <w:t>环保设施应与锅炉同步运行，并保证在锅炉负荷波动情况下仍能正常运行，实现达标排放。由于事故或设备维修等原因造成治理设施停止运行时，应立即报告当地生态环境主管部门。</w:t>
      </w:r>
    </w:p>
    <w:p>
      <w:pPr>
        <w:bidi w:val="0"/>
        <w:rPr>
          <w:rFonts w:hint="eastAsia"/>
          <w:color w:val="auto"/>
          <w:highlight w:val="none"/>
        </w:rPr>
      </w:pPr>
      <w:r>
        <w:rPr>
          <w:rFonts w:hint="eastAsia"/>
          <w:color w:val="auto"/>
          <w:highlight w:val="none"/>
          <w:lang w:eastAsia="zh-CN"/>
        </w:rPr>
        <w:t>②</w:t>
      </w:r>
      <w:r>
        <w:rPr>
          <w:rFonts w:hint="eastAsia"/>
          <w:color w:val="auto"/>
          <w:highlight w:val="none"/>
        </w:rPr>
        <w:t>脱硫脱硝除尘治理设施运行应尽可能在满足设计工况的条件下进行，并根据工艺要求，定期对设备、电气、自控仪表及锅炉间进行检查维护，确保可靠稳定运行。</w:t>
      </w:r>
    </w:p>
    <w:p>
      <w:pPr>
        <w:bidi w:val="0"/>
        <w:rPr>
          <w:rFonts w:hint="eastAsia"/>
          <w:color w:val="auto"/>
          <w:highlight w:val="none"/>
        </w:rPr>
      </w:pPr>
      <w:r>
        <w:rPr>
          <w:rFonts w:hint="eastAsia"/>
          <w:color w:val="auto"/>
          <w:highlight w:val="none"/>
          <w:lang w:eastAsia="zh-CN"/>
        </w:rPr>
        <w:t>③</w:t>
      </w:r>
      <w:r>
        <w:rPr>
          <w:rFonts w:hint="eastAsia"/>
          <w:color w:val="auto"/>
          <w:highlight w:val="none"/>
        </w:rPr>
        <w:t>加强脱硫脱硝除尘治理设施巡检，消除设施隐患，保证设施正常稳定运行。</w:t>
      </w:r>
    </w:p>
    <w:p>
      <w:pPr>
        <w:bidi w:val="0"/>
        <w:rPr>
          <w:rFonts w:hint="eastAsia"/>
          <w:color w:val="auto"/>
          <w:highlight w:val="none"/>
        </w:rPr>
      </w:pPr>
      <w:r>
        <w:rPr>
          <w:rFonts w:hint="eastAsia"/>
          <w:color w:val="auto"/>
          <w:highlight w:val="none"/>
          <w:lang w:eastAsia="zh-CN"/>
        </w:rPr>
        <w:t>④</w:t>
      </w:r>
      <w:r>
        <w:rPr>
          <w:rFonts w:hint="eastAsia"/>
          <w:color w:val="auto"/>
          <w:highlight w:val="none"/>
        </w:rPr>
        <w:t>规范治理设施开停机记录、维修巡检记录、原辅料及燃料使用记录、设备部件更换记录、脱硫副产物质量及处置去向记录、治理前后烟气监测记录等，要求记录规范，内容完整。</w:t>
      </w:r>
    </w:p>
    <w:p>
      <w:pPr>
        <w:bidi w:val="0"/>
        <w:rPr>
          <w:rFonts w:hint="eastAsia"/>
          <w:color w:val="auto"/>
          <w:highlight w:val="none"/>
        </w:rPr>
      </w:pPr>
      <w:r>
        <w:rPr>
          <w:rFonts w:hint="eastAsia"/>
          <w:color w:val="auto"/>
          <w:highlight w:val="none"/>
          <w:lang w:eastAsia="zh-CN"/>
        </w:rPr>
        <w:t>⑤</w:t>
      </w:r>
      <w:r>
        <w:rPr>
          <w:rFonts w:hint="eastAsia"/>
          <w:color w:val="auto"/>
          <w:highlight w:val="none"/>
        </w:rPr>
        <w:t>不应设置烟气旁路通道，已设置的烟气旁路通道应予以拆除或实行旁路挡板铅封。</w:t>
      </w:r>
    </w:p>
    <w:p>
      <w:pPr>
        <w:bidi w:val="0"/>
        <w:rPr>
          <w:color w:val="auto"/>
          <w:highlight w:val="none"/>
        </w:rPr>
      </w:pPr>
      <w:r>
        <w:rPr>
          <w:color w:val="auto"/>
          <w:highlight w:val="none"/>
        </w:rPr>
        <w:t>监督和强化用水管理工作，减少事故性排水或随意放水等事件的发生；不定期检查污水排放口的水质、水量情况，保证水质的合格排放。</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废气</w:t>
      </w:r>
      <w:r>
        <w:rPr>
          <w:rFonts w:hint="eastAsia"/>
          <w:color w:val="auto"/>
          <w:highlight w:val="none"/>
        </w:rPr>
        <w:t>无组织排放控制要求</w:t>
      </w:r>
      <w:r>
        <w:rPr>
          <w:rFonts w:hint="eastAsia"/>
          <w:color w:val="auto"/>
          <w:highlight w:val="none"/>
          <w:lang w:eastAsia="zh-CN"/>
        </w:rPr>
        <w:t>，废气收集系统、污染治理设施应与生产设施同步运行。废气收集系统或污染治理设施发生故障或检修时，对应的生产设施应停止运转，待检修完毕后同步投入使用。</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废水管理要求：</w:t>
      </w:r>
      <w:r>
        <w:rPr>
          <w:rFonts w:hint="eastAsia"/>
          <w:color w:val="auto"/>
          <w:highlight w:val="none"/>
        </w:rPr>
        <w:t>锅炉排污单位水污染防治应遵循分类处理、一水多用的原则。鼓励锅炉排污单位实现废水的循环使用。</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固体废物管理要求</w:t>
      </w:r>
    </w:p>
    <w:p>
      <w:pPr>
        <w:bidi w:val="0"/>
        <w:rPr>
          <w:color w:val="auto"/>
          <w:highlight w:val="none"/>
        </w:rPr>
      </w:pPr>
      <w:r>
        <w:rPr>
          <w:color w:val="auto"/>
          <w:highlight w:val="none"/>
        </w:rPr>
        <w:t>固体废物堆</w:t>
      </w:r>
      <w:r>
        <w:rPr>
          <w:rFonts w:hint="eastAsia"/>
          <w:color w:val="auto"/>
          <w:highlight w:val="none"/>
        </w:rPr>
        <w:t>放场地</w:t>
      </w:r>
      <w:r>
        <w:rPr>
          <w:color w:val="auto"/>
          <w:highlight w:val="none"/>
        </w:rPr>
        <w:t>应设置环境保护图形标志牌，一般固废、危险废物应按固废性质分别存放、分质处置。</w:t>
      </w:r>
    </w:p>
    <w:p>
      <w:pPr>
        <w:bidi w:val="0"/>
        <w:rPr>
          <w:color w:val="auto"/>
          <w:highlight w:val="none"/>
        </w:rPr>
      </w:pPr>
      <w:r>
        <w:rPr>
          <w:rFonts w:hint="eastAsia"/>
          <w:color w:val="auto"/>
          <w:highlight w:val="none"/>
          <w:lang w:val="en-US" w:eastAsia="zh-CN"/>
        </w:rPr>
        <w:t>1</w:t>
      </w:r>
      <w:r>
        <w:rPr>
          <w:color w:val="auto"/>
          <w:highlight w:val="none"/>
        </w:rPr>
        <w:t>)根据《一般工业固体废物管理台账制定指南 (试行)》</w:t>
      </w:r>
      <w:r>
        <w:rPr>
          <w:rFonts w:hint="eastAsia"/>
          <w:color w:val="auto"/>
          <w:highlight w:val="none"/>
        </w:rPr>
        <w:t>,</w:t>
      </w:r>
      <w:r>
        <w:rPr>
          <w:color w:val="auto"/>
          <w:highlight w:val="none"/>
        </w:rPr>
        <w:t>提出一般</w:t>
      </w:r>
      <w:r>
        <w:rPr>
          <w:rFonts w:hint="eastAsia"/>
          <w:color w:val="auto"/>
          <w:highlight w:val="none"/>
        </w:rPr>
        <w:t>工业</w:t>
      </w:r>
      <w:r>
        <w:rPr>
          <w:color w:val="auto"/>
          <w:highlight w:val="none"/>
        </w:rPr>
        <w:t>固废管理要求如下：</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1 \* GB3</w:instrText>
      </w:r>
      <w:r>
        <w:rPr>
          <w:color w:val="auto"/>
          <w:highlight w:val="none"/>
        </w:rPr>
        <w:instrText xml:space="preserve"> </w:instrText>
      </w:r>
      <w:r>
        <w:rPr>
          <w:color w:val="auto"/>
          <w:highlight w:val="none"/>
        </w:rPr>
        <w:fldChar w:fldCharType="separate"/>
      </w:r>
      <w:r>
        <w:rPr>
          <w:rFonts w:hint="eastAsia"/>
          <w:color w:val="auto"/>
          <w:highlight w:val="none"/>
        </w:rPr>
        <w:t>①</w:t>
      </w:r>
      <w:r>
        <w:rPr>
          <w:color w:val="auto"/>
          <w:highlight w:val="none"/>
        </w:rPr>
        <w:fldChar w:fldCharType="end"/>
      </w:r>
      <w:r>
        <w:rPr>
          <w:color w:val="auto"/>
          <w:highlight w:val="none"/>
        </w:rPr>
        <w:t>制定一般工业固废管理制度，明确</w:t>
      </w:r>
      <w:r>
        <w:rPr>
          <w:rFonts w:hint="eastAsia"/>
          <w:color w:val="auto"/>
          <w:highlight w:val="none"/>
        </w:rPr>
        <w:t>固废管理</w:t>
      </w:r>
      <w:r>
        <w:rPr>
          <w:color w:val="auto"/>
          <w:highlight w:val="none"/>
        </w:rPr>
        <w:t>负责人。</w:t>
      </w:r>
      <w:r>
        <w:rPr>
          <w:rFonts w:hint="eastAsia"/>
          <w:color w:val="auto"/>
          <w:highlight w:val="none"/>
        </w:rPr>
        <w:t>确定固体废物的种类，了解并熟悉所产生固体废物的基本特性，并为固体废物产生设施、贮存设施编码。</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2 \* GB3</w:instrText>
      </w:r>
      <w:r>
        <w:rPr>
          <w:color w:val="auto"/>
          <w:highlight w:val="none"/>
        </w:rPr>
        <w:instrText xml:space="preserve">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建立工业固体废物管理台账，如实记录工业固体废物的种类、数量、流向、贮存、利用、处置等信息，可以实现工业固体废物可追溯、可查询的目的，推动企业提升固体废物管理水平。</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3 \* GB3</w:instrText>
      </w:r>
      <w:r>
        <w:rPr>
          <w:color w:val="auto"/>
          <w:highlight w:val="none"/>
        </w:rPr>
        <w:instrText xml:space="preserve"> </w:instrText>
      </w:r>
      <w:r>
        <w:rPr>
          <w:color w:val="auto"/>
          <w:highlight w:val="none"/>
        </w:rPr>
        <w:fldChar w:fldCharType="separate"/>
      </w:r>
      <w:r>
        <w:rPr>
          <w:rFonts w:hint="eastAsia"/>
          <w:color w:val="auto"/>
          <w:highlight w:val="none"/>
        </w:rPr>
        <w:t>③</w:t>
      </w:r>
      <w:r>
        <w:rPr>
          <w:color w:val="auto"/>
          <w:highlight w:val="none"/>
        </w:rPr>
        <w:fldChar w:fldCharType="end"/>
      </w:r>
      <w:r>
        <w:rPr>
          <w:rFonts w:hint="eastAsia"/>
          <w:color w:val="auto"/>
          <w:highlight w:val="none"/>
        </w:rPr>
        <w:t>一般工业固体废物管理台账实施分级管理。按年记录固体废物的产生信息及流向信息；按月填埋固体废物的产生、贮存、利用、处置数量和利用、处置方式等信息；按批次填写，每一批次固体废物的出厂以及转移信息均应当如实记录。根据固体废物产生周期，也可按日或按班次填写。</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4 \* GB3</w:instrText>
      </w:r>
      <w:r>
        <w:rPr>
          <w:color w:val="auto"/>
          <w:highlight w:val="none"/>
        </w:rPr>
        <w:instrText xml:space="preserve"> </w:instrText>
      </w:r>
      <w:r>
        <w:rPr>
          <w:color w:val="auto"/>
          <w:highlight w:val="none"/>
        </w:rPr>
        <w:fldChar w:fldCharType="separate"/>
      </w:r>
      <w:r>
        <w:rPr>
          <w:rFonts w:hint="eastAsia"/>
          <w:color w:val="auto"/>
          <w:highlight w:val="none"/>
        </w:rPr>
        <w:t>④</w:t>
      </w:r>
      <w:r>
        <w:rPr>
          <w:color w:val="auto"/>
          <w:highlight w:val="none"/>
        </w:rPr>
        <w:fldChar w:fldCharType="end"/>
      </w:r>
      <w:r>
        <w:rPr>
          <w:rFonts w:hint="eastAsia"/>
          <w:color w:val="auto"/>
          <w:highlight w:val="none"/>
        </w:rPr>
        <w:t>鼓励采用国家建立的一般工业固体废物管理电子台账，简化数据填写、台账管理等工作。建立电子台账的可不再记录纸质台账。</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5 \* GB3</w:instrText>
      </w:r>
      <w:r>
        <w:rPr>
          <w:color w:val="auto"/>
          <w:highlight w:val="none"/>
        </w:rPr>
        <w:instrText xml:space="preserve"> </w:instrText>
      </w:r>
      <w:r>
        <w:rPr>
          <w:color w:val="auto"/>
          <w:highlight w:val="none"/>
        </w:rPr>
        <w:fldChar w:fldCharType="separate"/>
      </w:r>
      <w:r>
        <w:rPr>
          <w:rFonts w:hint="eastAsia"/>
          <w:color w:val="auto"/>
          <w:highlight w:val="none"/>
        </w:rPr>
        <w:t>⑤</w:t>
      </w:r>
      <w:r>
        <w:rPr>
          <w:color w:val="auto"/>
          <w:highlight w:val="none"/>
        </w:rPr>
        <w:fldChar w:fldCharType="end"/>
      </w:r>
      <w:r>
        <w:rPr>
          <w:rFonts w:hint="eastAsia"/>
          <w:color w:val="auto"/>
          <w:highlight w:val="none"/>
        </w:rPr>
        <w:t>应当设立专人负责台账的管理与归档，台账记录负责人对记录信息的真实性、完整性和规范性负责。一般工业固体废物管理台账保存期限不少于5年。</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6 \* GB3</w:instrText>
      </w:r>
      <w:r>
        <w:rPr>
          <w:color w:val="auto"/>
          <w:highlight w:val="none"/>
        </w:rPr>
        <w:instrText xml:space="preserve"> </w:instrText>
      </w:r>
      <w:r>
        <w:rPr>
          <w:color w:val="auto"/>
          <w:highlight w:val="none"/>
        </w:rPr>
        <w:fldChar w:fldCharType="separate"/>
      </w:r>
      <w:r>
        <w:rPr>
          <w:rFonts w:hint="eastAsia"/>
          <w:color w:val="auto"/>
          <w:highlight w:val="none"/>
        </w:rPr>
        <w:t>⑥</w:t>
      </w:r>
      <w:r>
        <w:rPr>
          <w:color w:val="auto"/>
          <w:highlight w:val="none"/>
        </w:rPr>
        <w:fldChar w:fldCharType="end"/>
      </w:r>
      <w:r>
        <w:rPr>
          <w:rFonts w:hint="eastAsia"/>
          <w:color w:val="auto"/>
          <w:highlight w:val="none"/>
        </w:rPr>
        <w:t>建议在固体废物产生场所、贮存场所及磅秤位置等关键点设置视频监控，提高台账记录信息的准确性。</w:t>
      </w:r>
    </w:p>
    <w:p>
      <w:pPr>
        <w:bidi w:val="0"/>
        <w:rPr>
          <w:color w:val="auto"/>
          <w:highlight w:val="none"/>
        </w:rPr>
      </w:pPr>
      <w:r>
        <w:rPr>
          <w:rFonts w:hint="eastAsia"/>
          <w:color w:val="auto"/>
          <w:highlight w:val="none"/>
          <w:lang w:val="en-US" w:eastAsia="zh-CN"/>
        </w:rPr>
        <w:t>2</w:t>
      </w:r>
      <w:r>
        <w:rPr>
          <w:color w:val="auto"/>
          <w:highlight w:val="none"/>
        </w:rPr>
        <w:t>）根据</w:t>
      </w:r>
      <w:r>
        <w:rPr>
          <w:rFonts w:hint="eastAsia"/>
          <w:color w:val="auto"/>
          <w:highlight w:val="none"/>
        </w:rPr>
        <w:t>《危险废物管理计划和管理台账制定技术导则》(HJ1259-2022)、《危险废物转移管理办法》(部令第 23 号)</w:t>
      </w:r>
      <w:r>
        <w:rPr>
          <w:color w:val="auto"/>
          <w:highlight w:val="none"/>
        </w:rPr>
        <w:t>，提出危险固废管理要求如下：</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1 \* GB3</w:instrText>
      </w:r>
      <w:r>
        <w:rPr>
          <w:color w:val="auto"/>
          <w:highlight w:val="none"/>
        </w:rPr>
        <w:instrText xml:space="preserve"> </w:instrText>
      </w:r>
      <w:r>
        <w:rPr>
          <w:color w:val="auto"/>
          <w:highlight w:val="none"/>
        </w:rPr>
        <w:fldChar w:fldCharType="separate"/>
      </w:r>
      <w:r>
        <w:rPr>
          <w:rFonts w:hint="eastAsia"/>
          <w:color w:val="auto"/>
          <w:highlight w:val="none"/>
        </w:rPr>
        <w:t>①</w:t>
      </w:r>
      <w:r>
        <w:rPr>
          <w:color w:val="auto"/>
          <w:highlight w:val="none"/>
        </w:rPr>
        <w:fldChar w:fldCharType="end"/>
      </w:r>
      <w:r>
        <w:rPr>
          <w:color w:val="auto"/>
          <w:highlight w:val="none"/>
        </w:rPr>
        <w:t>按照危险废物分类管理要求，制定危险废物管理计划，</w:t>
      </w:r>
      <w:r>
        <w:rPr>
          <w:rFonts w:hint="eastAsia"/>
          <w:color w:val="auto"/>
          <w:highlight w:val="none"/>
        </w:rPr>
        <w:t>内容包括减少危险废物产生量和降低危险废物危害性的措施以及危险废物贮存、利用、处置措施；于每年3月31日前通过国家危险废物信息管理系统在线填写并提交当年度的危险废物管理计划。</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2 \* GB3</w:instrText>
      </w:r>
      <w:r>
        <w:rPr>
          <w:color w:val="auto"/>
          <w:highlight w:val="none"/>
        </w:rPr>
        <w:instrText xml:space="preserve">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建立危险废物管理台账，落实危险废物管理台账记录的责任人，明确工作职责，如实记录危险废物的种类、产生量、流向、贮存、利用、处置等有关信息，并对内容的真实性、准确性和完整性负责。</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3 \* GB3</w:instrText>
      </w:r>
      <w:r>
        <w:rPr>
          <w:color w:val="auto"/>
          <w:highlight w:val="none"/>
        </w:rPr>
        <w:instrText xml:space="preserve"> </w:instrText>
      </w:r>
      <w:r>
        <w:rPr>
          <w:color w:val="auto"/>
          <w:highlight w:val="none"/>
        </w:rPr>
        <w:fldChar w:fldCharType="separate"/>
      </w:r>
      <w:r>
        <w:rPr>
          <w:rFonts w:hint="eastAsia"/>
          <w:color w:val="auto"/>
          <w:highlight w:val="none"/>
        </w:rPr>
        <w:t>③</w:t>
      </w:r>
      <w:r>
        <w:rPr>
          <w:color w:val="auto"/>
          <w:highlight w:val="none"/>
        </w:rPr>
        <w:fldChar w:fldCharType="end"/>
      </w:r>
      <w:r>
        <w:rPr>
          <w:rFonts w:hint="eastAsia"/>
          <w:color w:val="auto"/>
          <w:highlight w:val="none"/>
        </w:rPr>
        <w:t>危险废物管理台账分为电子管理台账和纸质管理台账两种形式。</w:t>
      </w:r>
      <w:r>
        <w:rPr>
          <w:color w:val="auto"/>
          <w:highlight w:val="none"/>
        </w:rPr>
        <w:t>产生危险废物的单位可通过国家危险废物信息管理系统、企业自建信息管理系统或第三方平台等方式记录电子管理台账。</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4 \* GB3</w:instrText>
      </w:r>
      <w:r>
        <w:rPr>
          <w:color w:val="auto"/>
          <w:highlight w:val="none"/>
        </w:rPr>
        <w:instrText xml:space="preserve"> </w:instrText>
      </w:r>
      <w:r>
        <w:rPr>
          <w:color w:val="auto"/>
          <w:highlight w:val="none"/>
        </w:rPr>
        <w:fldChar w:fldCharType="separate"/>
      </w:r>
      <w:r>
        <w:rPr>
          <w:rFonts w:hint="eastAsia"/>
          <w:color w:val="auto"/>
          <w:highlight w:val="none"/>
        </w:rPr>
        <w:t>④</w:t>
      </w:r>
      <w:r>
        <w:rPr>
          <w:color w:val="auto"/>
          <w:highlight w:val="none"/>
        </w:rPr>
        <w:fldChar w:fldCharType="end"/>
      </w:r>
      <w:r>
        <w:rPr>
          <w:rFonts w:hint="eastAsia"/>
          <w:color w:val="auto"/>
          <w:highlight w:val="none"/>
        </w:rPr>
        <w:t>产生后盛放至容器和包装物的，应按每个容器和包装物进行记录；产生后采用管道等方式输送至贮存场所的，按日记录；其他特殊情形的，根据危险废物产生规律确定记录频次。保存时间原则上应存档 5 年以上。</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5 \* GB3</w:instrText>
      </w:r>
      <w:r>
        <w:rPr>
          <w:color w:val="auto"/>
          <w:highlight w:val="none"/>
        </w:rPr>
        <w:instrText xml:space="preserve"> </w:instrText>
      </w:r>
      <w:r>
        <w:rPr>
          <w:color w:val="auto"/>
          <w:highlight w:val="none"/>
        </w:rPr>
        <w:fldChar w:fldCharType="separate"/>
      </w:r>
      <w:r>
        <w:rPr>
          <w:rFonts w:hint="eastAsia"/>
          <w:color w:val="auto"/>
          <w:highlight w:val="none"/>
        </w:rPr>
        <w:t>⑤</w:t>
      </w:r>
      <w:r>
        <w:rPr>
          <w:color w:val="auto"/>
          <w:highlight w:val="none"/>
        </w:rPr>
        <w:fldChar w:fldCharType="end"/>
      </w:r>
      <w:r>
        <w:rPr>
          <w:rFonts w:hint="eastAsia"/>
          <w:color w:val="auto"/>
          <w:highlight w:val="none"/>
        </w:rPr>
        <w:t>转移危险废物的，应当通过国家危险废物信息管理系统填写、运行危险废物电子转移联单，并依照国家有关规定公开危险废物转移相关污染环境防治信息。</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6 \* GB3</w:instrText>
      </w:r>
      <w:r>
        <w:rPr>
          <w:color w:val="auto"/>
          <w:highlight w:val="none"/>
        </w:rPr>
        <w:instrText xml:space="preserve"> </w:instrText>
      </w:r>
      <w:r>
        <w:rPr>
          <w:color w:val="auto"/>
          <w:highlight w:val="none"/>
        </w:rPr>
        <w:fldChar w:fldCharType="separate"/>
      </w:r>
      <w:r>
        <w:rPr>
          <w:rFonts w:hint="eastAsia"/>
          <w:color w:val="auto"/>
          <w:highlight w:val="none"/>
        </w:rPr>
        <w:t>⑥</w:t>
      </w:r>
      <w:r>
        <w:rPr>
          <w:color w:val="auto"/>
          <w:highlight w:val="none"/>
        </w:rPr>
        <w:fldChar w:fldCharType="end"/>
      </w:r>
      <w:r>
        <w:rPr>
          <w:rFonts w:hint="eastAsia"/>
          <w:color w:val="auto"/>
          <w:highlight w:val="none"/>
        </w:rPr>
        <w:t>危险废物移出人、承运人、接受人在危险废物转移过程中应当采取防扬散、防流失、防渗漏或者其他防止污染环境的措施，不得擅自倾倒、堆放、丢弃、遗撒危险废物，并对所造成的环境污染及生态破坏依法承担责任。</w:t>
      </w:r>
    </w:p>
    <w:p>
      <w:pPr>
        <w:bidi w:val="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rFonts w:hint="eastAsia"/>
          <w:color w:val="auto"/>
          <w:highlight w:val="none"/>
        </w:rPr>
        <w:t>危险废物电子转移联单数据应当在信息系统中至少保存十年。因特殊原因无法运行危险废物电子转移联单的，可以先使用纸质转移联单，并于转移活动完成后十个工作日内在信息系统中补录电子转移联单。</w:t>
      </w:r>
    </w:p>
    <w:p>
      <w:pPr>
        <w:bidi w:val="0"/>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其他管理要求</w:t>
      </w:r>
    </w:p>
    <w:p>
      <w:pPr>
        <w:bidi w:val="0"/>
        <w:rPr>
          <w:rFonts w:hint="default"/>
          <w:color w:val="auto"/>
          <w:highlight w:val="none"/>
          <w:lang w:val="en-US" w:eastAsia="zh-CN"/>
        </w:rPr>
      </w:pPr>
      <w:r>
        <w:rPr>
          <w:rFonts w:hint="eastAsia"/>
          <w:color w:val="auto"/>
          <w:highlight w:val="none"/>
          <w:lang w:val="en-US" w:eastAsia="zh-CN"/>
        </w:rPr>
        <w:t>①</w:t>
      </w:r>
      <w:r>
        <w:rPr>
          <w:rFonts w:hint="default"/>
          <w:color w:val="auto"/>
          <w:highlight w:val="none"/>
          <w:lang w:val="en-US" w:eastAsia="zh-CN"/>
        </w:rPr>
        <w:t>锅炉排污单位燃用的燃料应符合国家或地方相关质量标准规定。位于高污染燃料禁燃区内的锅炉排污单位，不得使用列入《高污染燃料目录》中的高污染燃料。</w:t>
      </w:r>
    </w:p>
    <w:p>
      <w:pPr>
        <w:pStyle w:val="14"/>
        <w:spacing w:line="360" w:lineRule="auto"/>
        <w:ind w:left="0" w:firstLine="480" w:firstLineChars="200"/>
        <w:jc w:val="both"/>
      </w:pPr>
      <w:r>
        <w:rPr>
          <w:rFonts w:hint="eastAsia"/>
          <w:color w:val="auto"/>
          <w:highlight w:val="none"/>
          <w:lang w:val="en-US" w:eastAsia="zh-CN"/>
        </w:rPr>
        <w:t>②</w:t>
      </w:r>
      <w:r>
        <w:rPr>
          <w:rFonts w:hint="default"/>
          <w:color w:val="auto"/>
          <w:highlight w:val="none"/>
        </w:rPr>
        <w:t>烟气污染治理设施检修期间，锅炉应停止运行，并向生态环境主管部门提交污染治理设施检维修计划，检维修计划应至少包括检维修的起始时间、情形描述、预计结束时间、拟采取应对措施等内容。</w:t>
      </w:r>
    </w:p>
    <w:p>
      <w:pPr>
        <w:pStyle w:val="6"/>
        <w:keepNext/>
        <w:keepLines/>
        <w:pageBreakBefore w:val="0"/>
        <w:widowControl w:val="0"/>
        <w:kinsoku/>
        <w:wordWrap/>
        <w:overflowPunct/>
        <w:topLinePunct w:val="0"/>
        <w:autoSpaceDE/>
        <w:autoSpaceDN/>
        <w:bidi w:val="0"/>
        <w:adjustRightInd w:val="0"/>
        <w:snapToGrid w:val="0"/>
        <w:ind w:left="0" w:right="0" w:firstLine="562" w:firstLineChars="200"/>
        <w:jc w:val="both"/>
        <w:textAlignment w:val="auto"/>
        <w:rPr>
          <w:rFonts w:hint="default" w:ascii="Times New Roman" w:hAnsi="Times New Roman" w:eastAsia="宋体" w:cs="Times New Roman"/>
          <w:color w:val="auto"/>
          <w:highlight w:val="none"/>
          <w:lang w:val="en-US" w:eastAsia="zh-CN"/>
        </w:rPr>
      </w:pPr>
      <w:bookmarkStart w:id="401" w:name="8.1.6_污染物排放管理要求"/>
      <w:bookmarkEnd w:id="401"/>
      <w:r>
        <w:rPr>
          <w:rFonts w:hint="eastAsia" w:ascii="Times New Roman" w:hAnsi="Times New Roman" w:eastAsia="宋体" w:cs="Times New Roman"/>
          <w:color w:val="auto"/>
          <w:highlight w:val="none"/>
          <w:lang w:val="en-US" w:eastAsia="zh-CN"/>
        </w:rPr>
        <w:t>8.1.5排污口规范化管理</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根据《排污单位污染物排放口二维码标识技术规范》（HJ1297</w:t>
      </w:r>
      <w:r>
        <w:rPr>
          <w:rFonts w:hint="eastAsia"/>
          <w:color w:val="0000FF"/>
          <w:sz w:val="24"/>
          <w:highlight w:val="none"/>
          <w:lang w:val="en-US" w:eastAsia="zh-CN"/>
        </w:rPr>
        <w:t>-</w:t>
      </w:r>
      <w:r>
        <w:rPr>
          <w:rFonts w:hint="eastAsia"/>
          <w:color w:val="0000FF"/>
          <w:sz w:val="24"/>
          <w:highlight w:val="none"/>
          <w:lang w:eastAsia="zh-CN"/>
        </w:rPr>
        <w:t>2023），污染物排放口管理要求如下：</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w:t>
      </w:r>
      <w:r>
        <w:rPr>
          <w:rFonts w:hint="eastAsia"/>
          <w:color w:val="0000FF"/>
          <w:sz w:val="24"/>
          <w:highlight w:val="none"/>
          <w:lang w:val="en-US" w:eastAsia="zh-CN"/>
        </w:rPr>
        <w:t>1</w:t>
      </w:r>
      <w:r>
        <w:rPr>
          <w:rFonts w:hint="eastAsia"/>
          <w:color w:val="0000FF"/>
          <w:sz w:val="24"/>
          <w:highlight w:val="none"/>
          <w:lang w:eastAsia="zh-CN"/>
        </w:rPr>
        <w:t>）大气污染物排放口基本数据服务内容包括：</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a） 大气污染物排放口基本信息，包括排放口编号、排放口名称、排放口类型。</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b） 大气污染物排放口许可管理要求，包括污染物排放种类、污染物排放标准名称、许可排放浓度、许可排放速率、许可排放量、监测技术、监测频次等。</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c） 特殊时段禁止或者限制大气污染物排放的要求。</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w:t>
      </w:r>
      <w:r>
        <w:rPr>
          <w:rFonts w:hint="eastAsia"/>
          <w:color w:val="0000FF"/>
          <w:sz w:val="24"/>
          <w:highlight w:val="none"/>
          <w:lang w:val="en-US" w:eastAsia="zh-CN"/>
        </w:rPr>
        <w:t>2</w:t>
      </w:r>
      <w:r>
        <w:rPr>
          <w:rFonts w:hint="eastAsia"/>
          <w:color w:val="0000FF"/>
          <w:sz w:val="24"/>
          <w:highlight w:val="none"/>
          <w:lang w:eastAsia="zh-CN"/>
        </w:rPr>
        <w:t>）大气污染物排放口自定义扩展数据服务包括但不限于以下内容：</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a） 大气污染物排放口基本信息，包括排放口位置、排气筒高度、排气筒出口内径、烟气温度等。</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b） 与大气污染物排放口关联的生产环节信息，包括生产线名称、产生和排放污染物环节名称、主要生产设施编号及名称等信息。</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c） 与大气污染物排放口关联的治理环节信息，包括污染防治设施编号及名称、污染防治设施工艺、污染物排放种类等信息。</w:t>
      </w:r>
    </w:p>
    <w:p>
      <w:pPr>
        <w:topLinePunct/>
        <w:spacing w:line="360" w:lineRule="auto"/>
        <w:ind w:firstLine="480" w:firstLineChars="200"/>
        <w:rPr>
          <w:rFonts w:hint="eastAsia"/>
          <w:color w:val="0000FF"/>
          <w:sz w:val="24"/>
          <w:highlight w:val="none"/>
          <w:lang w:eastAsia="zh-CN"/>
        </w:rPr>
      </w:pPr>
      <w:r>
        <w:rPr>
          <w:rFonts w:hint="eastAsia"/>
          <w:color w:val="0000FF"/>
          <w:sz w:val="24"/>
          <w:highlight w:val="none"/>
          <w:lang w:eastAsia="zh-CN"/>
        </w:rPr>
        <w:t>d） 补充说明信息，包括承诺更加严格排放浓度、自动监测设施故障时的手工监测要求以及其他信息等。</w:t>
      </w:r>
    </w:p>
    <w:p>
      <w:pPr>
        <w:topLinePunct/>
        <w:spacing w:line="360" w:lineRule="auto"/>
        <w:ind w:firstLine="480" w:firstLineChars="200"/>
        <w:rPr>
          <w:color w:val="auto"/>
          <w:sz w:val="24"/>
          <w:highlight w:val="none"/>
        </w:rPr>
      </w:pPr>
      <w:r>
        <w:rPr>
          <w:rFonts w:hint="eastAsia"/>
          <w:color w:val="auto"/>
          <w:sz w:val="24"/>
          <w:highlight w:val="none"/>
          <w:lang w:eastAsia="zh-CN"/>
        </w:rPr>
        <w:t>按</w:t>
      </w:r>
      <w:r>
        <w:rPr>
          <w:color w:val="auto"/>
          <w:sz w:val="24"/>
          <w:highlight w:val="none"/>
        </w:rPr>
        <w:t>照国家环保总局《排污口规范化整治技术要求（试行）》</w:t>
      </w:r>
      <w:r>
        <w:rPr>
          <w:rFonts w:hint="eastAsia"/>
          <w:color w:val="auto"/>
          <w:sz w:val="24"/>
          <w:highlight w:val="none"/>
          <w:lang w:eastAsia="zh-CN"/>
        </w:rPr>
        <w:t>（</w:t>
      </w:r>
      <w:r>
        <w:rPr>
          <w:color w:val="auto"/>
          <w:sz w:val="24"/>
          <w:highlight w:val="none"/>
        </w:rPr>
        <w:t>环监</w:t>
      </w:r>
      <w:r>
        <w:rPr>
          <w:rFonts w:hint="eastAsia"/>
          <w:color w:val="auto"/>
          <w:highlight w:val="none"/>
        </w:rPr>
        <w:t>〔</w:t>
      </w:r>
      <w:r>
        <w:rPr>
          <w:rFonts w:hint="eastAsia"/>
          <w:color w:val="auto"/>
          <w:highlight w:val="none"/>
          <w:lang w:val="en-US" w:eastAsia="zh-CN"/>
        </w:rPr>
        <w:t>1996</w:t>
      </w:r>
      <w:r>
        <w:rPr>
          <w:rFonts w:hint="eastAsia"/>
          <w:color w:val="auto"/>
          <w:highlight w:val="none"/>
        </w:rPr>
        <w:t>〕</w:t>
      </w:r>
      <w:r>
        <w:rPr>
          <w:color w:val="auto"/>
          <w:sz w:val="24"/>
          <w:highlight w:val="none"/>
        </w:rPr>
        <w:t>470号</w:t>
      </w:r>
      <w:r>
        <w:rPr>
          <w:rFonts w:hint="eastAsia"/>
          <w:color w:val="auto"/>
          <w:sz w:val="24"/>
          <w:highlight w:val="none"/>
          <w:lang w:eastAsia="zh-CN"/>
        </w:rPr>
        <w:t>）</w:t>
      </w:r>
      <w:r>
        <w:rPr>
          <w:color w:val="auto"/>
          <w:sz w:val="24"/>
          <w:highlight w:val="none"/>
        </w:rPr>
        <w:t>，本项目排污口规范化管理要求见表8.1-</w:t>
      </w:r>
      <w:r>
        <w:rPr>
          <w:rFonts w:hint="eastAsia"/>
          <w:color w:val="auto"/>
          <w:sz w:val="24"/>
          <w:highlight w:val="none"/>
        </w:rPr>
        <w:t>2</w:t>
      </w:r>
      <w:r>
        <w:rPr>
          <w:color w:val="auto"/>
          <w:sz w:val="24"/>
          <w:highlight w:val="none"/>
        </w:rPr>
        <w:t>。</w:t>
      </w:r>
    </w:p>
    <w:p>
      <w:pPr>
        <w:keepNext w:val="0"/>
        <w:keepLines w:val="0"/>
        <w:pageBreakBefore w:val="0"/>
        <w:widowControl w:val="0"/>
        <w:tabs>
          <w:tab w:val="left" w:pos="2340"/>
          <w:tab w:val="left" w:pos="3240"/>
        </w:tabs>
        <w:kinsoku/>
        <w:wordWrap/>
        <w:overflowPunct/>
        <w:topLinePunct w:val="0"/>
        <w:autoSpaceDE/>
        <w:autoSpaceDN/>
        <w:bidi w:val="0"/>
        <w:adjustRightInd w:val="0"/>
        <w:snapToGrid w:val="0"/>
        <w:spacing w:before="157" w:beforeLines="50" w:line="240" w:lineRule="auto"/>
        <w:ind w:firstLine="0" w:firstLineChars="0"/>
        <w:jc w:val="center"/>
        <w:textAlignment w:val="auto"/>
        <w:rPr>
          <w:b/>
          <w:bCs/>
          <w:color w:val="auto"/>
          <w:kern w:val="0"/>
          <w:sz w:val="21"/>
          <w:szCs w:val="18"/>
          <w:highlight w:val="none"/>
        </w:rPr>
      </w:pPr>
      <w:r>
        <w:rPr>
          <w:b/>
          <w:bCs/>
          <w:color w:val="auto"/>
          <w:kern w:val="0"/>
          <w:sz w:val="21"/>
          <w:szCs w:val="18"/>
          <w:highlight w:val="none"/>
        </w:rPr>
        <w:t>表</w:t>
      </w:r>
      <w:r>
        <w:rPr>
          <w:rFonts w:hint="eastAsia"/>
          <w:b/>
          <w:bCs/>
          <w:color w:val="auto"/>
          <w:kern w:val="0"/>
          <w:sz w:val="21"/>
          <w:szCs w:val="18"/>
          <w:highlight w:val="none"/>
        </w:rPr>
        <w:t>8.1</w:t>
      </w:r>
      <w:r>
        <w:rPr>
          <w:b/>
          <w:bCs/>
          <w:color w:val="auto"/>
          <w:kern w:val="0"/>
          <w:sz w:val="21"/>
          <w:szCs w:val="18"/>
          <w:highlight w:val="none"/>
        </w:rPr>
        <w:t>-</w:t>
      </w:r>
      <w:r>
        <w:rPr>
          <w:rFonts w:hint="eastAsia"/>
          <w:b/>
          <w:bCs/>
          <w:color w:val="auto"/>
          <w:kern w:val="0"/>
          <w:sz w:val="21"/>
          <w:szCs w:val="18"/>
          <w:highlight w:val="none"/>
        </w:rPr>
        <w:t>2</w:t>
      </w:r>
      <w:r>
        <w:rPr>
          <w:b/>
          <w:bCs/>
          <w:color w:val="auto"/>
          <w:kern w:val="0"/>
          <w:sz w:val="21"/>
          <w:szCs w:val="18"/>
          <w:highlight w:val="none"/>
        </w:rPr>
        <w:t xml:space="preserve">    本项目排污口规范化管理要求表</w:t>
      </w:r>
    </w:p>
    <w:tbl>
      <w:tblPr>
        <w:tblStyle w:val="31"/>
        <w:tblW w:w="49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noWrap w:val="0"/>
            <w:vAlign w:val="center"/>
          </w:tcPr>
          <w:p>
            <w:pPr>
              <w:pStyle w:val="89"/>
              <w:topLinePunct/>
              <w:adjustRightInd w:val="0"/>
              <w:snapToGrid w:val="0"/>
              <w:spacing w:line="320" w:lineRule="exact"/>
              <w:rPr>
                <w:color w:val="auto"/>
                <w:sz w:val="21"/>
                <w:szCs w:val="21"/>
                <w:highlight w:val="none"/>
              </w:rPr>
            </w:pPr>
            <w:r>
              <w:rPr>
                <w:color w:val="auto"/>
                <w:sz w:val="21"/>
                <w:szCs w:val="21"/>
                <w:highlight w:val="none"/>
              </w:rPr>
              <w:t>项目</w:t>
            </w:r>
          </w:p>
        </w:tc>
        <w:tc>
          <w:tcPr>
            <w:tcW w:w="4613" w:type="pct"/>
            <w:noWrap w:val="0"/>
            <w:vAlign w:val="center"/>
          </w:tcPr>
          <w:p>
            <w:pPr>
              <w:pStyle w:val="89"/>
              <w:topLinePunct/>
              <w:adjustRightInd w:val="0"/>
              <w:snapToGrid w:val="0"/>
              <w:spacing w:line="320" w:lineRule="exact"/>
              <w:rPr>
                <w:color w:val="auto"/>
                <w:sz w:val="21"/>
                <w:szCs w:val="21"/>
                <w:highlight w:val="none"/>
              </w:rPr>
            </w:pPr>
            <w:r>
              <w:rPr>
                <w:color w:val="auto"/>
                <w:sz w:val="21"/>
                <w:szCs w:val="21"/>
                <w:highlight w:val="none"/>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386" w:type="pct"/>
            <w:noWrap w:val="0"/>
            <w:vAlign w:val="center"/>
          </w:tcPr>
          <w:p>
            <w:pPr>
              <w:pStyle w:val="89"/>
              <w:topLinePunct/>
              <w:adjustRightInd w:val="0"/>
              <w:snapToGrid w:val="0"/>
              <w:spacing w:line="320" w:lineRule="exact"/>
              <w:rPr>
                <w:color w:val="auto"/>
                <w:sz w:val="21"/>
                <w:szCs w:val="21"/>
                <w:highlight w:val="none"/>
              </w:rPr>
            </w:pPr>
            <w:r>
              <w:rPr>
                <w:color w:val="auto"/>
                <w:sz w:val="21"/>
                <w:szCs w:val="21"/>
                <w:highlight w:val="none"/>
              </w:rPr>
              <w:t>基本原则</w:t>
            </w:r>
          </w:p>
        </w:tc>
        <w:tc>
          <w:tcPr>
            <w:tcW w:w="4613" w:type="pct"/>
            <w:noWrap w:val="0"/>
            <w:vAlign w:val="center"/>
          </w:tcPr>
          <w:p>
            <w:pPr>
              <w:pStyle w:val="89"/>
              <w:topLinePunct/>
              <w:adjustRightInd w:val="0"/>
              <w:snapToGrid w:val="0"/>
              <w:spacing w:line="320" w:lineRule="exact"/>
              <w:jc w:val="left"/>
              <w:rPr>
                <w:color w:val="auto"/>
                <w:sz w:val="21"/>
                <w:szCs w:val="21"/>
                <w:highlight w:val="none"/>
              </w:rPr>
            </w:pPr>
            <w:r>
              <w:rPr>
                <w:color w:val="auto"/>
                <w:sz w:val="21"/>
                <w:szCs w:val="21"/>
                <w:highlight w:val="none"/>
              </w:rPr>
              <w:t>1、凡向环境排放污染物的一切排污口必须进行规范化管理；</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2、将总量控制的污染物排污口及行业特征污染物排放口列为管理的重点；</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3、排污口设置应便于采样和计量监测，便于日常现场监督和检查；</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4、如实向环保行政主管部门申报排污口位置，排污种类、数量、浓度与排放去向等。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386" w:type="pct"/>
            <w:noWrap w:val="0"/>
            <w:vAlign w:val="center"/>
          </w:tcPr>
          <w:p>
            <w:pPr>
              <w:pStyle w:val="89"/>
              <w:topLinePunct/>
              <w:adjustRightInd w:val="0"/>
              <w:snapToGrid w:val="0"/>
              <w:spacing w:line="320" w:lineRule="exact"/>
              <w:rPr>
                <w:color w:val="auto"/>
                <w:sz w:val="21"/>
                <w:szCs w:val="21"/>
                <w:highlight w:val="none"/>
              </w:rPr>
            </w:pPr>
            <w:r>
              <w:rPr>
                <w:color w:val="auto"/>
                <w:sz w:val="21"/>
                <w:szCs w:val="21"/>
                <w:highlight w:val="none"/>
              </w:rPr>
              <w:t>技术要求</w:t>
            </w:r>
          </w:p>
        </w:tc>
        <w:tc>
          <w:tcPr>
            <w:tcW w:w="4613" w:type="pct"/>
            <w:noWrap w:val="0"/>
            <w:vAlign w:val="center"/>
          </w:tcPr>
          <w:p>
            <w:pPr>
              <w:pStyle w:val="89"/>
              <w:topLinePunct/>
              <w:adjustRightInd w:val="0"/>
              <w:snapToGrid w:val="0"/>
              <w:spacing w:line="320" w:lineRule="exact"/>
              <w:jc w:val="left"/>
              <w:rPr>
                <w:color w:val="auto"/>
                <w:sz w:val="21"/>
                <w:szCs w:val="21"/>
                <w:highlight w:val="none"/>
              </w:rPr>
            </w:pPr>
            <w:r>
              <w:rPr>
                <w:color w:val="auto"/>
                <w:sz w:val="21"/>
                <w:szCs w:val="21"/>
                <w:highlight w:val="none"/>
              </w:rPr>
              <w:t>1、按照《排污口规范化整治技术要求》[环监（1996）470号]要求，排污口位置必须合理确定，实行规范化管理；</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2、所有排污口应设置便于采样、监测的采样口，采样口的设置应符合《污染源监测技术规范》要求。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1" w:hRule="atLeast"/>
          <w:jc w:val="center"/>
        </w:trPr>
        <w:tc>
          <w:tcPr>
            <w:tcW w:w="386" w:type="pct"/>
            <w:noWrap w:val="0"/>
            <w:vAlign w:val="center"/>
          </w:tcPr>
          <w:p>
            <w:pPr>
              <w:pStyle w:val="89"/>
              <w:topLinePunct/>
              <w:adjustRightInd w:val="0"/>
              <w:snapToGrid w:val="0"/>
              <w:spacing w:line="320" w:lineRule="exact"/>
              <w:rPr>
                <w:color w:val="auto"/>
                <w:sz w:val="21"/>
                <w:szCs w:val="21"/>
                <w:highlight w:val="none"/>
              </w:rPr>
            </w:pPr>
            <w:r>
              <w:rPr>
                <w:color w:val="auto"/>
                <w:sz w:val="21"/>
                <w:szCs w:val="21"/>
                <w:highlight w:val="none"/>
              </w:rPr>
              <w:t>立标管理</w:t>
            </w:r>
          </w:p>
        </w:tc>
        <w:tc>
          <w:tcPr>
            <w:tcW w:w="4613" w:type="pct"/>
            <w:noWrap w:val="0"/>
            <w:vAlign w:val="center"/>
          </w:tcPr>
          <w:p>
            <w:pPr>
              <w:pStyle w:val="89"/>
              <w:topLinePunct/>
              <w:adjustRightInd w:val="0"/>
              <w:snapToGrid w:val="0"/>
              <w:spacing w:line="320" w:lineRule="exact"/>
              <w:jc w:val="both"/>
              <w:rPr>
                <w:color w:val="auto"/>
                <w:sz w:val="21"/>
                <w:szCs w:val="21"/>
                <w:highlight w:val="none"/>
              </w:rPr>
            </w:pPr>
            <w:r>
              <w:rPr>
                <w:color w:val="auto"/>
                <w:sz w:val="21"/>
                <w:szCs w:val="21"/>
                <w:highlight w:val="none"/>
              </w:rPr>
              <w:t>1、污染物排放口必须实行规范化整治，应按照国家《环境保护图形标志》（GB15562.1-1995）与（GB15562.2-1995）</w:t>
            </w:r>
            <w:r>
              <w:rPr>
                <w:rFonts w:hint="eastAsia"/>
                <w:color w:val="auto"/>
                <w:sz w:val="21"/>
                <w:szCs w:val="21"/>
                <w:highlight w:val="none"/>
                <w:lang w:eastAsia="zh-CN"/>
              </w:rPr>
              <w:t>及</w:t>
            </w:r>
            <w:r>
              <w:rPr>
                <w:rFonts w:hint="eastAsia"/>
                <w:color w:val="auto"/>
                <w:sz w:val="21"/>
                <w:szCs w:val="21"/>
                <w:highlight w:val="none"/>
                <w:lang w:val="en-US" w:eastAsia="zh-CN"/>
              </w:rPr>
              <w:t>2023</w:t>
            </w:r>
            <w:r>
              <w:rPr>
                <w:rFonts w:hint="eastAsia"/>
                <w:color w:val="auto"/>
                <w:sz w:val="21"/>
                <w:szCs w:val="21"/>
                <w:highlight w:val="none"/>
                <w:lang w:eastAsia="zh-CN"/>
              </w:rPr>
              <w:t>修改单</w:t>
            </w:r>
            <w:r>
              <w:rPr>
                <w:color w:val="auto"/>
                <w:sz w:val="21"/>
                <w:szCs w:val="21"/>
                <w:highlight w:val="none"/>
              </w:rPr>
              <w:t>的相关规定，设置由国家环保部统一定点制作和监制的环保图形标志牌；</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2、环保图形标志牌设置位置应距污染物排放口及固体废物贮存</w:t>
            </w:r>
            <w:r>
              <w:rPr>
                <w:rFonts w:hint="eastAsia"/>
                <w:color w:val="auto"/>
                <w:sz w:val="21"/>
                <w:szCs w:val="21"/>
                <w:highlight w:val="none"/>
              </w:rPr>
              <w:t>（</w:t>
            </w:r>
            <w:r>
              <w:rPr>
                <w:color w:val="auto"/>
                <w:sz w:val="21"/>
                <w:szCs w:val="21"/>
                <w:highlight w:val="none"/>
              </w:rPr>
              <w:t>处置</w:t>
            </w:r>
            <w:r>
              <w:rPr>
                <w:rFonts w:hint="eastAsia"/>
                <w:color w:val="auto"/>
                <w:sz w:val="21"/>
                <w:szCs w:val="21"/>
                <w:highlight w:val="none"/>
              </w:rPr>
              <w:t>）</w:t>
            </w:r>
            <w:r>
              <w:rPr>
                <w:color w:val="auto"/>
                <w:sz w:val="21"/>
                <w:szCs w:val="21"/>
                <w:highlight w:val="none"/>
              </w:rPr>
              <w:t>场或采样点较近且醒目处，设置高度一般为标志牌上缘距离地面约2m；</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3、重点排污单位的污染物排放口以设置立式标志牌为主，一般排污单位的污染物排放口可根据情况设置立式或平面固定式标志牌；</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4、对一般性污染物排放口应设置提示性环保图形标志牌；</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5、对危险物临时贮存场所，要设置警告性环境保护图形标志牌。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386" w:type="pct"/>
            <w:noWrap w:val="0"/>
            <w:vAlign w:val="center"/>
          </w:tcPr>
          <w:p>
            <w:pPr>
              <w:pStyle w:val="89"/>
              <w:topLinePunct/>
              <w:adjustRightInd w:val="0"/>
              <w:snapToGrid w:val="0"/>
              <w:spacing w:line="320" w:lineRule="exact"/>
              <w:rPr>
                <w:color w:val="auto"/>
                <w:sz w:val="21"/>
                <w:szCs w:val="21"/>
                <w:highlight w:val="none"/>
              </w:rPr>
            </w:pPr>
            <w:r>
              <w:rPr>
                <w:color w:val="auto"/>
                <w:sz w:val="21"/>
                <w:szCs w:val="21"/>
                <w:highlight w:val="none"/>
              </w:rPr>
              <w:t>建档管理</w:t>
            </w:r>
          </w:p>
        </w:tc>
        <w:tc>
          <w:tcPr>
            <w:tcW w:w="4613" w:type="pct"/>
            <w:noWrap w:val="0"/>
            <w:vAlign w:val="center"/>
          </w:tcPr>
          <w:p>
            <w:pPr>
              <w:pStyle w:val="89"/>
              <w:topLinePunct/>
              <w:adjustRightInd w:val="0"/>
              <w:snapToGrid w:val="0"/>
              <w:spacing w:line="320" w:lineRule="exact"/>
              <w:jc w:val="left"/>
              <w:rPr>
                <w:color w:val="auto"/>
                <w:sz w:val="21"/>
                <w:szCs w:val="21"/>
                <w:highlight w:val="none"/>
              </w:rPr>
            </w:pPr>
            <w:r>
              <w:rPr>
                <w:color w:val="auto"/>
                <w:sz w:val="21"/>
                <w:szCs w:val="21"/>
                <w:highlight w:val="none"/>
              </w:rPr>
              <w:t>1、使用《中华人民共和国规范化排污口标志登记证》，并按要求填写有关内容；</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2、严格按照环境管理监控计划及排污口管理内容要求，在工程建成后将主要污染物种类、数量、排放浓度与去向，立标及环保设施运行情况记录在案，并及时上报；</w:t>
            </w:r>
          </w:p>
          <w:p>
            <w:pPr>
              <w:pStyle w:val="89"/>
              <w:topLinePunct/>
              <w:adjustRightInd w:val="0"/>
              <w:snapToGrid w:val="0"/>
              <w:spacing w:line="320" w:lineRule="exact"/>
              <w:jc w:val="left"/>
              <w:rPr>
                <w:color w:val="auto"/>
                <w:sz w:val="21"/>
                <w:szCs w:val="21"/>
                <w:highlight w:val="none"/>
              </w:rPr>
            </w:pPr>
            <w:r>
              <w:rPr>
                <w:color w:val="auto"/>
                <w:sz w:val="21"/>
                <w:szCs w:val="21"/>
                <w:highlight w:val="none"/>
              </w:rPr>
              <w:t>3、选派有专业技能环保人员对排污口进行管理，做到责任明确、奖罚分明。</w:t>
            </w:r>
          </w:p>
        </w:tc>
      </w:tr>
    </w:tbl>
    <w:p>
      <w:pPr>
        <w:bidi w:val="0"/>
        <w:rPr>
          <w:color w:val="auto"/>
          <w:highlight w:val="none"/>
        </w:rPr>
      </w:pPr>
      <w:r>
        <w:rPr>
          <w:color w:val="auto"/>
          <w:highlight w:val="none"/>
        </w:rPr>
        <w:t>在项目的废水排放口、废气排放源、固定噪声源、固体废物贮存应设置环境保护图形标志，图形符合分为提示图形和警告图形符号两种，分别按GB15562.1-1995和GB15562.2-1995</w:t>
      </w:r>
      <w:r>
        <w:rPr>
          <w:rFonts w:hint="eastAsia"/>
          <w:color w:val="auto"/>
          <w:highlight w:val="none"/>
          <w:lang w:eastAsia="zh-CN"/>
        </w:rPr>
        <w:t>及</w:t>
      </w:r>
      <w:r>
        <w:rPr>
          <w:rFonts w:hint="eastAsia"/>
          <w:color w:val="auto"/>
          <w:highlight w:val="none"/>
          <w:lang w:val="en-US" w:eastAsia="zh-CN"/>
        </w:rPr>
        <w:t>2023</w:t>
      </w:r>
      <w:r>
        <w:rPr>
          <w:rFonts w:hint="eastAsia"/>
          <w:color w:val="auto"/>
          <w:highlight w:val="none"/>
          <w:lang w:eastAsia="zh-CN"/>
        </w:rPr>
        <w:t>修改单</w:t>
      </w:r>
      <w:r>
        <w:rPr>
          <w:color w:val="auto"/>
          <w:highlight w:val="none"/>
        </w:rPr>
        <w:t>执行。排污口图形标志见表8.1-3、表8.1-4。</w:t>
      </w:r>
    </w:p>
    <w:p>
      <w:pPr>
        <w:keepNext w:val="0"/>
        <w:keepLines w:val="0"/>
        <w:pageBreakBefore w:val="0"/>
        <w:widowControl w:val="0"/>
        <w:kinsoku/>
        <w:wordWrap/>
        <w:overflowPunct/>
        <w:topLinePunct/>
        <w:autoSpaceDE/>
        <w:autoSpaceDN/>
        <w:bidi w:val="0"/>
        <w:adjustRightInd w:val="0"/>
        <w:snapToGrid w:val="0"/>
        <w:spacing w:before="157" w:beforeLines="50" w:line="240" w:lineRule="auto"/>
        <w:ind w:firstLine="0" w:firstLineChars="0"/>
        <w:jc w:val="center"/>
        <w:textAlignment w:val="auto"/>
        <w:rPr>
          <w:b/>
          <w:bCs/>
          <w:color w:val="auto"/>
          <w:kern w:val="11"/>
          <w:sz w:val="21"/>
          <w:szCs w:val="18"/>
          <w:highlight w:val="none"/>
        </w:rPr>
      </w:pPr>
      <w:r>
        <w:rPr>
          <w:b/>
          <w:bCs/>
          <w:color w:val="auto"/>
          <w:kern w:val="11"/>
          <w:sz w:val="21"/>
          <w:szCs w:val="18"/>
          <w:highlight w:val="none"/>
        </w:rPr>
        <w:t>表8.1-</w:t>
      </w:r>
      <w:r>
        <w:rPr>
          <w:rFonts w:hint="eastAsia"/>
          <w:b/>
          <w:bCs/>
          <w:color w:val="auto"/>
          <w:kern w:val="11"/>
          <w:sz w:val="21"/>
          <w:szCs w:val="18"/>
          <w:highlight w:val="none"/>
        </w:rPr>
        <w:t>3</w:t>
      </w:r>
      <w:r>
        <w:rPr>
          <w:b/>
          <w:bCs/>
          <w:color w:val="auto"/>
          <w:kern w:val="11"/>
          <w:sz w:val="21"/>
          <w:szCs w:val="18"/>
          <w:highlight w:val="none"/>
        </w:rPr>
        <w:t xml:space="preserve">    排污口提示图形符号</w:t>
      </w:r>
    </w:p>
    <w:tbl>
      <w:tblPr>
        <w:tblStyle w:val="31"/>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733"/>
        <w:gridCol w:w="1733"/>
        <w:gridCol w:w="1927"/>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316"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排放口</w:t>
            </w:r>
          </w:p>
        </w:tc>
        <w:tc>
          <w:tcPr>
            <w:tcW w:w="1734"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废水排放口</w:t>
            </w:r>
          </w:p>
        </w:tc>
        <w:tc>
          <w:tcPr>
            <w:tcW w:w="1734"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废气排放口</w:t>
            </w:r>
          </w:p>
        </w:tc>
        <w:tc>
          <w:tcPr>
            <w:tcW w:w="1928"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噪声排放源</w:t>
            </w:r>
          </w:p>
        </w:tc>
        <w:tc>
          <w:tcPr>
            <w:tcW w:w="1786"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固体废物提示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1316"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图形符号</w:t>
            </w:r>
          </w:p>
        </w:tc>
        <w:tc>
          <w:tcPr>
            <w:tcW w:w="1734"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drawing>
                <wp:anchor distT="0" distB="0" distL="114300" distR="114300" simplePos="0" relativeHeight="251709440" behindDoc="1" locked="0" layoutInCell="1" allowOverlap="1">
                  <wp:simplePos x="0" y="0"/>
                  <wp:positionH relativeFrom="column">
                    <wp:posOffset>7620</wp:posOffset>
                  </wp:positionH>
                  <wp:positionV relativeFrom="paragraph">
                    <wp:posOffset>260350</wp:posOffset>
                  </wp:positionV>
                  <wp:extent cx="952500" cy="952500"/>
                  <wp:effectExtent l="0" t="0" r="0" b="0"/>
                  <wp:wrapThrough wrapText="bothSides">
                    <wp:wrapPolygon>
                      <wp:start x="0" y="0"/>
                      <wp:lineTo x="0" y="21168"/>
                      <wp:lineTo x="21168" y="21168"/>
                      <wp:lineTo x="21168" y="0"/>
                      <wp:lineTo x="0" y="0"/>
                    </wp:wrapPolygon>
                  </wp:wrapThrough>
                  <wp:docPr id="26" name="图片 239"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9" descr="点击看大图及详细资料"/>
                          <pic:cNvPicPr>
                            <a:picLocks noChangeAspect="1"/>
                          </pic:cNvPicPr>
                        </pic:nvPicPr>
                        <pic:blipFill>
                          <a:blip r:embed="rId71"/>
                          <a:stretch>
                            <a:fillRect/>
                          </a:stretch>
                        </pic:blipFill>
                        <pic:spPr>
                          <a:xfrm>
                            <a:off x="0" y="0"/>
                            <a:ext cx="952500" cy="952500"/>
                          </a:xfrm>
                          <a:prstGeom prst="rect">
                            <a:avLst/>
                          </a:prstGeom>
                          <a:noFill/>
                          <a:ln>
                            <a:noFill/>
                          </a:ln>
                        </pic:spPr>
                      </pic:pic>
                    </a:graphicData>
                  </a:graphic>
                </wp:anchor>
              </w:drawing>
            </w:r>
          </w:p>
        </w:tc>
        <w:tc>
          <w:tcPr>
            <w:tcW w:w="1734"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both"/>
              <w:textAlignment w:val="auto"/>
              <w:rPr>
                <w:color w:val="auto"/>
                <w:sz w:val="21"/>
                <w:szCs w:val="21"/>
                <w:highlight w:val="none"/>
              </w:rPr>
            </w:pPr>
            <w:r>
              <w:rPr>
                <w:color w:val="auto"/>
                <w:sz w:val="21"/>
                <w:szCs w:val="21"/>
                <w:highlight w:val="none"/>
              </w:rPr>
              <w:drawing>
                <wp:anchor distT="0" distB="0" distL="114300" distR="114300" simplePos="0" relativeHeight="251705344" behindDoc="0" locked="0" layoutInCell="1" allowOverlap="1">
                  <wp:simplePos x="0" y="0"/>
                  <wp:positionH relativeFrom="page">
                    <wp:posOffset>85090</wp:posOffset>
                  </wp:positionH>
                  <wp:positionV relativeFrom="page">
                    <wp:posOffset>276225</wp:posOffset>
                  </wp:positionV>
                  <wp:extent cx="952500" cy="952500"/>
                  <wp:effectExtent l="0" t="0" r="0" b="0"/>
                  <wp:wrapSquare wrapText="bothSides"/>
                  <wp:docPr id="27" name="图片 53"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3" descr="点击看大图及详细资料"/>
                          <pic:cNvPicPr>
                            <a:picLocks noChangeAspect="1"/>
                          </pic:cNvPicPr>
                        </pic:nvPicPr>
                        <pic:blipFill>
                          <a:blip r:embed="rId72"/>
                          <a:stretch>
                            <a:fillRect/>
                          </a:stretch>
                        </pic:blipFill>
                        <pic:spPr>
                          <a:xfrm>
                            <a:off x="0" y="0"/>
                            <a:ext cx="952500" cy="952500"/>
                          </a:xfrm>
                          <a:prstGeom prst="rect">
                            <a:avLst/>
                          </a:prstGeom>
                          <a:noFill/>
                          <a:ln>
                            <a:noFill/>
                          </a:ln>
                        </pic:spPr>
                      </pic:pic>
                    </a:graphicData>
                  </a:graphic>
                </wp:anchor>
              </w:drawing>
            </w:r>
          </w:p>
        </w:tc>
        <w:tc>
          <w:tcPr>
            <w:tcW w:w="1928"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drawing>
                <wp:anchor distT="0" distB="0" distL="114300" distR="114300" simplePos="0" relativeHeight="251707392" behindDoc="0" locked="0" layoutInCell="1" allowOverlap="1">
                  <wp:simplePos x="0" y="0"/>
                  <wp:positionH relativeFrom="page">
                    <wp:posOffset>127635</wp:posOffset>
                  </wp:positionH>
                  <wp:positionV relativeFrom="page">
                    <wp:posOffset>285750</wp:posOffset>
                  </wp:positionV>
                  <wp:extent cx="952500" cy="952500"/>
                  <wp:effectExtent l="0" t="0" r="0" b="0"/>
                  <wp:wrapSquare wrapText="bothSides"/>
                  <wp:docPr id="30" name="图片 5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4" descr="点击看大图及详细资料"/>
                          <pic:cNvPicPr>
                            <a:picLocks noChangeAspect="1"/>
                          </pic:cNvPicPr>
                        </pic:nvPicPr>
                        <pic:blipFill>
                          <a:blip r:embed="rId73"/>
                          <a:stretch>
                            <a:fillRect/>
                          </a:stretch>
                        </pic:blipFill>
                        <pic:spPr>
                          <a:xfrm>
                            <a:off x="0" y="0"/>
                            <a:ext cx="952500" cy="952500"/>
                          </a:xfrm>
                          <a:prstGeom prst="rect">
                            <a:avLst/>
                          </a:prstGeom>
                          <a:noFill/>
                          <a:ln>
                            <a:noFill/>
                          </a:ln>
                        </pic:spPr>
                      </pic:pic>
                    </a:graphicData>
                  </a:graphic>
                </wp:anchor>
              </w:drawing>
            </w:r>
          </w:p>
        </w:tc>
        <w:tc>
          <w:tcPr>
            <w:tcW w:w="1786"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drawing>
                <wp:anchor distT="0" distB="0" distL="114300" distR="114300" simplePos="0" relativeHeight="251708416" behindDoc="0" locked="0" layoutInCell="1" allowOverlap="1">
                  <wp:simplePos x="0" y="0"/>
                  <wp:positionH relativeFrom="page">
                    <wp:posOffset>87630</wp:posOffset>
                  </wp:positionH>
                  <wp:positionV relativeFrom="page">
                    <wp:posOffset>301625</wp:posOffset>
                  </wp:positionV>
                  <wp:extent cx="962025" cy="937260"/>
                  <wp:effectExtent l="0" t="0" r="9525" b="15240"/>
                  <wp:wrapSquare wrapText="bothSides"/>
                  <wp:docPr id="29" name="图片 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5" descr="点击看大图及详细资料"/>
                          <pic:cNvPicPr>
                            <a:picLocks noChangeAspect="1"/>
                          </pic:cNvPicPr>
                        </pic:nvPicPr>
                        <pic:blipFill>
                          <a:blip r:embed="rId74"/>
                          <a:stretch>
                            <a:fillRect/>
                          </a:stretch>
                        </pic:blipFill>
                        <pic:spPr>
                          <a:xfrm>
                            <a:off x="0" y="0"/>
                            <a:ext cx="962025" cy="9372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316"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背景颜色</w:t>
            </w:r>
          </w:p>
        </w:tc>
        <w:tc>
          <w:tcPr>
            <w:tcW w:w="7182" w:type="dxa"/>
            <w:gridSpan w:val="4"/>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16"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图形颜色</w:t>
            </w:r>
          </w:p>
        </w:tc>
        <w:tc>
          <w:tcPr>
            <w:tcW w:w="7182" w:type="dxa"/>
            <w:gridSpan w:val="4"/>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白色</w:t>
            </w:r>
          </w:p>
        </w:tc>
      </w:tr>
    </w:tbl>
    <w:p>
      <w:pPr>
        <w:keepNext w:val="0"/>
        <w:keepLines w:val="0"/>
        <w:pageBreakBefore w:val="0"/>
        <w:widowControl w:val="0"/>
        <w:kinsoku/>
        <w:wordWrap/>
        <w:overflowPunct/>
        <w:topLinePunct/>
        <w:autoSpaceDE/>
        <w:autoSpaceDN/>
        <w:bidi w:val="0"/>
        <w:adjustRightInd w:val="0"/>
        <w:snapToGrid w:val="0"/>
        <w:spacing w:before="157" w:beforeLines="50" w:line="240" w:lineRule="auto"/>
        <w:ind w:firstLine="0" w:firstLineChars="0"/>
        <w:jc w:val="center"/>
        <w:textAlignment w:val="auto"/>
        <w:rPr>
          <w:b/>
          <w:bCs/>
          <w:color w:val="auto"/>
          <w:kern w:val="11"/>
          <w:sz w:val="21"/>
          <w:szCs w:val="21"/>
          <w:highlight w:val="none"/>
        </w:rPr>
      </w:pPr>
      <w:r>
        <w:rPr>
          <w:b/>
          <w:bCs/>
          <w:color w:val="auto"/>
          <w:kern w:val="11"/>
          <w:sz w:val="21"/>
          <w:szCs w:val="21"/>
          <w:highlight w:val="none"/>
        </w:rPr>
        <w:t>表8.1-</w:t>
      </w:r>
      <w:r>
        <w:rPr>
          <w:rFonts w:hint="eastAsia"/>
          <w:b/>
          <w:bCs/>
          <w:color w:val="auto"/>
          <w:kern w:val="11"/>
          <w:sz w:val="21"/>
          <w:szCs w:val="21"/>
          <w:highlight w:val="none"/>
        </w:rPr>
        <w:t>4</w:t>
      </w:r>
      <w:r>
        <w:rPr>
          <w:b/>
          <w:bCs/>
          <w:color w:val="auto"/>
          <w:kern w:val="11"/>
          <w:sz w:val="21"/>
          <w:szCs w:val="21"/>
          <w:highlight w:val="none"/>
        </w:rPr>
        <w:t xml:space="preserve">    排污口警告图形符号</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417"/>
        <w:gridCol w:w="1276"/>
        <w:gridCol w:w="1417"/>
        <w:gridCol w:w="1560"/>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排放口</w:t>
            </w:r>
          </w:p>
        </w:tc>
        <w:tc>
          <w:tcPr>
            <w:tcW w:w="1417"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废水排放口</w:t>
            </w:r>
          </w:p>
        </w:tc>
        <w:tc>
          <w:tcPr>
            <w:tcW w:w="1276"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废气排放口</w:t>
            </w:r>
          </w:p>
        </w:tc>
        <w:tc>
          <w:tcPr>
            <w:tcW w:w="1417"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噪声排放源</w:t>
            </w:r>
          </w:p>
        </w:tc>
        <w:tc>
          <w:tcPr>
            <w:tcW w:w="1560"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固体废物提示</w:t>
            </w:r>
          </w:p>
        </w:tc>
        <w:tc>
          <w:tcPr>
            <w:tcW w:w="1751"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危险废物提示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1101"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图形符号</w:t>
            </w:r>
          </w:p>
        </w:tc>
        <w:tc>
          <w:tcPr>
            <w:tcW w:w="1417"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drawing>
                <wp:anchor distT="0" distB="0" distL="114300" distR="114300" simplePos="0" relativeHeight="251710464" behindDoc="0" locked="0" layoutInCell="1" allowOverlap="1">
                  <wp:simplePos x="0" y="0"/>
                  <wp:positionH relativeFrom="page">
                    <wp:posOffset>64135</wp:posOffset>
                  </wp:positionH>
                  <wp:positionV relativeFrom="page">
                    <wp:posOffset>244475</wp:posOffset>
                  </wp:positionV>
                  <wp:extent cx="752475" cy="657225"/>
                  <wp:effectExtent l="0" t="0" r="9525" b="9525"/>
                  <wp:wrapTopAndBottom/>
                  <wp:docPr id="25" name="图片 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6" descr="点击看大图及详细资料"/>
                          <pic:cNvPicPr>
                            <a:picLocks noChangeAspect="1"/>
                          </pic:cNvPicPr>
                        </pic:nvPicPr>
                        <pic:blipFill>
                          <a:blip r:embed="rId75"/>
                          <a:stretch>
                            <a:fillRect/>
                          </a:stretch>
                        </pic:blipFill>
                        <pic:spPr>
                          <a:xfrm>
                            <a:off x="0" y="0"/>
                            <a:ext cx="752475" cy="657225"/>
                          </a:xfrm>
                          <a:prstGeom prst="rect">
                            <a:avLst/>
                          </a:prstGeom>
                          <a:noFill/>
                          <a:ln>
                            <a:noFill/>
                          </a:ln>
                        </pic:spPr>
                      </pic:pic>
                    </a:graphicData>
                  </a:graphic>
                </wp:anchor>
              </w:drawing>
            </w:r>
          </w:p>
        </w:tc>
        <w:tc>
          <w:tcPr>
            <w:tcW w:w="1276"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drawing>
                <wp:anchor distT="0" distB="0" distL="114300" distR="114300" simplePos="0" relativeHeight="251711488" behindDoc="0" locked="0" layoutInCell="1" allowOverlap="1">
                  <wp:simplePos x="0" y="0"/>
                  <wp:positionH relativeFrom="page">
                    <wp:posOffset>76835</wp:posOffset>
                  </wp:positionH>
                  <wp:positionV relativeFrom="page">
                    <wp:posOffset>234950</wp:posOffset>
                  </wp:positionV>
                  <wp:extent cx="733425" cy="647700"/>
                  <wp:effectExtent l="0" t="0" r="9525" b="0"/>
                  <wp:wrapTopAndBottom/>
                  <wp:docPr id="28" name="图片 57"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7" descr="点击看大图及详细资料"/>
                          <pic:cNvPicPr>
                            <a:picLocks noChangeAspect="1"/>
                          </pic:cNvPicPr>
                        </pic:nvPicPr>
                        <pic:blipFill>
                          <a:blip r:embed="rId76"/>
                          <a:stretch>
                            <a:fillRect/>
                          </a:stretch>
                        </pic:blipFill>
                        <pic:spPr>
                          <a:xfrm>
                            <a:off x="0" y="0"/>
                            <a:ext cx="733425" cy="647700"/>
                          </a:xfrm>
                          <a:prstGeom prst="rect">
                            <a:avLst/>
                          </a:prstGeom>
                          <a:noFill/>
                          <a:ln>
                            <a:noFill/>
                          </a:ln>
                        </pic:spPr>
                      </pic:pic>
                    </a:graphicData>
                  </a:graphic>
                </wp:anchor>
              </w:drawing>
            </w:r>
          </w:p>
        </w:tc>
        <w:tc>
          <w:tcPr>
            <w:tcW w:w="1417"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drawing>
                <wp:anchor distT="0" distB="0" distL="114300" distR="114300" simplePos="0" relativeHeight="251712512" behindDoc="0" locked="0" layoutInCell="1" allowOverlap="1">
                  <wp:simplePos x="0" y="0"/>
                  <wp:positionH relativeFrom="page">
                    <wp:posOffset>125730</wp:posOffset>
                  </wp:positionH>
                  <wp:positionV relativeFrom="page">
                    <wp:posOffset>254000</wp:posOffset>
                  </wp:positionV>
                  <wp:extent cx="723900" cy="638175"/>
                  <wp:effectExtent l="0" t="0" r="0" b="9525"/>
                  <wp:wrapTopAndBottom/>
                  <wp:docPr id="24" name="图片 58"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8" descr="点击看大图及详细资料"/>
                          <pic:cNvPicPr>
                            <a:picLocks noChangeAspect="1"/>
                          </pic:cNvPicPr>
                        </pic:nvPicPr>
                        <pic:blipFill>
                          <a:blip r:embed="rId77"/>
                          <a:stretch>
                            <a:fillRect/>
                          </a:stretch>
                        </pic:blipFill>
                        <pic:spPr>
                          <a:xfrm>
                            <a:off x="0" y="0"/>
                            <a:ext cx="723900" cy="638175"/>
                          </a:xfrm>
                          <a:prstGeom prst="rect">
                            <a:avLst/>
                          </a:prstGeom>
                          <a:noFill/>
                          <a:ln>
                            <a:noFill/>
                          </a:ln>
                        </pic:spPr>
                      </pic:pic>
                    </a:graphicData>
                  </a:graphic>
                </wp:anchor>
              </w:drawing>
            </w:r>
          </w:p>
        </w:tc>
        <w:tc>
          <w:tcPr>
            <w:tcW w:w="1560"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drawing>
                <wp:anchor distT="0" distB="0" distL="114300" distR="114300" simplePos="0" relativeHeight="251713536" behindDoc="0" locked="0" layoutInCell="1" allowOverlap="1">
                  <wp:simplePos x="0" y="0"/>
                  <wp:positionH relativeFrom="page">
                    <wp:posOffset>128270</wp:posOffset>
                  </wp:positionH>
                  <wp:positionV relativeFrom="page">
                    <wp:posOffset>231775</wp:posOffset>
                  </wp:positionV>
                  <wp:extent cx="771525" cy="685800"/>
                  <wp:effectExtent l="0" t="0" r="9525" b="0"/>
                  <wp:wrapTopAndBottom/>
                  <wp:docPr id="31" name="图片 59"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9" descr="点击看大图及详细资料"/>
                          <pic:cNvPicPr>
                            <a:picLocks noChangeAspect="1"/>
                          </pic:cNvPicPr>
                        </pic:nvPicPr>
                        <pic:blipFill>
                          <a:blip r:embed="rId78"/>
                          <a:stretch>
                            <a:fillRect/>
                          </a:stretch>
                        </pic:blipFill>
                        <pic:spPr>
                          <a:xfrm>
                            <a:off x="0" y="0"/>
                            <a:ext cx="771525" cy="685800"/>
                          </a:xfrm>
                          <a:prstGeom prst="rect">
                            <a:avLst/>
                          </a:prstGeom>
                          <a:noFill/>
                          <a:ln>
                            <a:noFill/>
                          </a:ln>
                        </pic:spPr>
                      </pic:pic>
                    </a:graphicData>
                  </a:graphic>
                </wp:anchor>
              </w:drawing>
            </w:r>
          </w:p>
        </w:tc>
        <w:tc>
          <w:tcPr>
            <w:tcW w:w="1751"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drawing>
                <wp:anchor distT="0" distB="0" distL="114300" distR="114300" simplePos="0" relativeHeight="251714560" behindDoc="0" locked="0" layoutInCell="1" allowOverlap="1">
                  <wp:simplePos x="0" y="0"/>
                  <wp:positionH relativeFrom="column">
                    <wp:posOffset>71755</wp:posOffset>
                  </wp:positionH>
                  <wp:positionV relativeFrom="paragraph">
                    <wp:posOffset>240030</wp:posOffset>
                  </wp:positionV>
                  <wp:extent cx="834390" cy="684530"/>
                  <wp:effectExtent l="0" t="0" r="3810" b="1270"/>
                  <wp:wrapTopAndBottom/>
                  <wp:docPr id="32" name="图片 247" descr="危废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7" descr="危废标识"/>
                          <pic:cNvPicPr>
                            <a:picLocks noChangeAspect="1"/>
                          </pic:cNvPicPr>
                        </pic:nvPicPr>
                        <pic:blipFill>
                          <a:blip r:embed="rId79"/>
                          <a:stretch>
                            <a:fillRect/>
                          </a:stretch>
                        </pic:blipFill>
                        <pic:spPr>
                          <a:xfrm>
                            <a:off x="0" y="0"/>
                            <a:ext cx="834390" cy="684530"/>
                          </a:xfrm>
                          <a:prstGeom prst="rect">
                            <a:avLst/>
                          </a:prstGeom>
                          <a:noFill/>
                          <a:ln>
                            <a:noFill/>
                          </a:ln>
                        </pic:spPr>
                      </pic:pic>
                    </a:graphicData>
                  </a:graphic>
                </wp:anchor>
              </w:drawing>
            </w: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ascii="Times New Roman" w:hAnsi="Times New Roman" w:eastAsia="宋体" w:cs="Times New Roman"/>
          <w:b/>
          <w:bCs/>
          <w:color w:val="auto"/>
          <w:kern w:val="11"/>
          <w:sz w:val="21"/>
          <w:szCs w:val="21"/>
          <w:highlight w:val="none"/>
          <w:lang w:val="en-US" w:eastAsia="zh-CN" w:bidi="ar-SA"/>
        </w:rPr>
      </w:pPr>
      <w:r>
        <w:rPr>
          <w:rFonts w:ascii="Times New Roman" w:hAnsi="Times New Roman" w:eastAsia="宋体" w:cs="Times New Roman"/>
          <w:b/>
          <w:bCs/>
          <w:color w:val="auto"/>
          <w:kern w:val="11"/>
          <w:sz w:val="21"/>
          <w:szCs w:val="21"/>
          <w:highlight w:val="none"/>
          <w:lang w:val="en-US" w:eastAsia="zh-CN" w:bidi="ar-SA"/>
        </w:rPr>
        <w:t>表</w:t>
      </w:r>
      <w:r>
        <w:rPr>
          <w:rFonts w:hint="eastAsia" w:ascii="Times New Roman" w:hAnsi="Times New Roman" w:eastAsia="宋体" w:cs="Times New Roman"/>
          <w:b/>
          <w:bCs/>
          <w:color w:val="auto"/>
          <w:kern w:val="11"/>
          <w:sz w:val="21"/>
          <w:szCs w:val="21"/>
          <w:highlight w:val="none"/>
          <w:lang w:val="en-US" w:eastAsia="zh-CN" w:bidi="ar-SA"/>
        </w:rPr>
        <w:t>8.1-5</w:t>
      </w:r>
      <w:r>
        <w:rPr>
          <w:rFonts w:ascii="Times New Roman" w:hAnsi="Times New Roman" w:eastAsia="宋体" w:cs="Times New Roman"/>
          <w:b/>
          <w:bCs/>
          <w:color w:val="auto"/>
          <w:kern w:val="11"/>
          <w:sz w:val="21"/>
          <w:szCs w:val="21"/>
          <w:highlight w:val="none"/>
          <w:lang w:val="en-US" w:eastAsia="zh-CN" w:bidi="ar-SA"/>
        </w:rPr>
        <w:t xml:space="preserve">     </w:t>
      </w:r>
      <w:r>
        <w:rPr>
          <w:rFonts w:hint="eastAsia" w:ascii="Times New Roman" w:hAnsi="Times New Roman" w:eastAsia="宋体" w:cs="Times New Roman"/>
          <w:b/>
          <w:bCs/>
          <w:color w:val="auto"/>
          <w:kern w:val="11"/>
          <w:sz w:val="21"/>
          <w:szCs w:val="21"/>
          <w:highlight w:val="none"/>
          <w:lang w:val="en-US" w:eastAsia="zh-CN" w:bidi="ar-SA"/>
        </w:rPr>
        <w:t>危险废物</w:t>
      </w:r>
      <w:r>
        <w:rPr>
          <w:rFonts w:ascii="Times New Roman" w:hAnsi="Times New Roman" w:eastAsia="宋体" w:cs="Times New Roman"/>
          <w:b/>
          <w:bCs/>
          <w:color w:val="auto"/>
          <w:kern w:val="11"/>
          <w:sz w:val="21"/>
          <w:szCs w:val="21"/>
          <w:highlight w:val="none"/>
          <w:lang w:val="en-US" w:eastAsia="zh-CN" w:bidi="ar-SA"/>
        </w:rPr>
        <w:t>识别标志符号</w:t>
      </w:r>
    </w:p>
    <w:tbl>
      <w:tblPr>
        <w:tblStyle w:val="31"/>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56"/>
        <w:gridCol w:w="1888"/>
        <w:gridCol w:w="1888"/>
        <w:gridCol w:w="470"/>
        <w:gridCol w:w="1426"/>
        <w:gridCol w:w="18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62"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标签</w:t>
            </w:r>
          </w:p>
        </w:tc>
        <w:tc>
          <w:tcPr>
            <w:tcW w:w="1109"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危险废物标签</w:t>
            </w:r>
          </w:p>
        </w:tc>
        <w:tc>
          <w:tcPr>
            <w:tcW w:w="1109"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腐蚀性图形</w:t>
            </w:r>
          </w:p>
        </w:tc>
        <w:tc>
          <w:tcPr>
            <w:tcW w:w="1109" w:type="pct"/>
            <w:gridSpan w:val="2"/>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毒性</w:t>
            </w:r>
          </w:p>
        </w:tc>
        <w:tc>
          <w:tcPr>
            <w:tcW w:w="1110"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易燃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18" w:hRule="atLeast"/>
        </w:trPr>
        <w:tc>
          <w:tcPr>
            <w:tcW w:w="562"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图形</w:t>
            </w:r>
          </w:p>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符号</w:t>
            </w:r>
          </w:p>
        </w:tc>
        <w:tc>
          <w:tcPr>
            <w:tcW w:w="1109" w:type="pct"/>
            <w:noWrap w:val="0"/>
            <w:vAlign w:val="center"/>
          </w:tcPr>
          <w:p>
            <w:pPr>
              <w:ind w:left="0" w:leftChars="0" w:firstLine="0" w:firstLineChars="0"/>
              <w:jc w:val="center"/>
              <w:rPr>
                <w:color w:val="auto"/>
                <w:highlight w:val="none"/>
              </w:rPr>
            </w:pPr>
            <w:r>
              <w:rPr>
                <w:color w:val="auto"/>
                <w:highlight w:val="none"/>
              </w:rPr>
              <w:drawing>
                <wp:inline distT="0" distB="0" distL="114300" distR="114300">
                  <wp:extent cx="1024890" cy="1024890"/>
                  <wp:effectExtent l="0" t="0" r="3810" b="3810"/>
                  <wp:docPr id="33" name="图片 15" descr="I:\国家标准\标准\固废标准\危险废物识别标志设置技术规范\W02023051559121769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I:\国家标准\标准\固废标准\危险废物识别标志设置技术规范\W020230515591217696563.jpg"/>
                          <pic:cNvPicPr>
                            <a:picLocks noChangeAspect="1"/>
                          </pic:cNvPicPr>
                        </pic:nvPicPr>
                        <pic:blipFill>
                          <a:blip r:embed="rId80"/>
                          <a:stretch>
                            <a:fillRect/>
                          </a:stretch>
                        </pic:blipFill>
                        <pic:spPr>
                          <a:xfrm>
                            <a:off x="0" y="0"/>
                            <a:ext cx="1024890" cy="1024890"/>
                          </a:xfrm>
                          <a:prstGeom prst="rect">
                            <a:avLst/>
                          </a:prstGeom>
                          <a:noFill/>
                          <a:ln>
                            <a:noFill/>
                          </a:ln>
                        </pic:spPr>
                      </pic:pic>
                    </a:graphicData>
                  </a:graphic>
                </wp:inline>
              </w:drawing>
            </w:r>
          </w:p>
        </w:tc>
        <w:tc>
          <w:tcPr>
            <w:tcW w:w="1109" w:type="pct"/>
            <w:noWrap w:val="0"/>
            <w:vAlign w:val="center"/>
          </w:tcPr>
          <w:p>
            <w:pPr>
              <w:ind w:left="0" w:leftChars="0" w:firstLine="0" w:firstLineChars="0"/>
              <w:jc w:val="center"/>
              <w:rPr>
                <w:color w:val="auto"/>
                <w:highlight w:val="none"/>
              </w:rPr>
            </w:pPr>
            <w:r>
              <w:rPr>
                <w:color w:val="auto"/>
                <w:highlight w:val="none"/>
              </w:rPr>
              <w:drawing>
                <wp:inline distT="0" distB="0" distL="114300" distR="114300">
                  <wp:extent cx="975360" cy="985520"/>
                  <wp:effectExtent l="0" t="0" r="15240" b="5080"/>
                  <wp:docPr id="34" name="图片 16" descr="I:\国家标准\标准\固废标准\危险废物识别标志设置技术规范\W02023051559121951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I:\国家标准\标准\固废标准\危险废物识别标志设置技术规范\W020230515591219515222.jpg"/>
                          <pic:cNvPicPr>
                            <a:picLocks noChangeAspect="1"/>
                          </pic:cNvPicPr>
                        </pic:nvPicPr>
                        <pic:blipFill>
                          <a:blip r:embed="rId81"/>
                          <a:stretch>
                            <a:fillRect/>
                          </a:stretch>
                        </pic:blipFill>
                        <pic:spPr>
                          <a:xfrm>
                            <a:off x="0" y="0"/>
                            <a:ext cx="975360" cy="985520"/>
                          </a:xfrm>
                          <a:prstGeom prst="rect">
                            <a:avLst/>
                          </a:prstGeom>
                          <a:noFill/>
                          <a:ln>
                            <a:noFill/>
                          </a:ln>
                        </pic:spPr>
                      </pic:pic>
                    </a:graphicData>
                  </a:graphic>
                </wp:inline>
              </w:drawing>
            </w:r>
          </w:p>
        </w:tc>
        <w:tc>
          <w:tcPr>
            <w:tcW w:w="1109" w:type="pct"/>
            <w:gridSpan w:val="2"/>
            <w:noWrap w:val="0"/>
            <w:vAlign w:val="center"/>
          </w:tcPr>
          <w:p>
            <w:pPr>
              <w:ind w:left="0" w:leftChars="0" w:firstLine="0" w:firstLineChars="0"/>
              <w:jc w:val="center"/>
              <w:rPr>
                <w:color w:val="auto"/>
                <w:highlight w:val="none"/>
              </w:rPr>
            </w:pPr>
            <w:r>
              <w:rPr>
                <w:color w:val="auto"/>
                <w:highlight w:val="none"/>
              </w:rPr>
              <w:drawing>
                <wp:inline distT="0" distB="0" distL="114300" distR="114300">
                  <wp:extent cx="1052830" cy="982980"/>
                  <wp:effectExtent l="0" t="0" r="13970" b="762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82"/>
                          <a:stretch>
                            <a:fillRect/>
                          </a:stretch>
                        </pic:blipFill>
                        <pic:spPr>
                          <a:xfrm>
                            <a:off x="0" y="0"/>
                            <a:ext cx="1052830" cy="982980"/>
                          </a:xfrm>
                          <a:prstGeom prst="rect">
                            <a:avLst/>
                          </a:prstGeom>
                          <a:noFill/>
                          <a:ln>
                            <a:noFill/>
                          </a:ln>
                        </pic:spPr>
                      </pic:pic>
                    </a:graphicData>
                  </a:graphic>
                </wp:inline>
              </w:drawing>
            </w:r>
          </w:p>
        </w:tc>
        <w:tc>
          <w:tcPr>
            <w:tcW w:w="1110" w:type="pct"/>
            <w:noWrap w:val="0"/>
            <w:vAlign w:val="center"/>
          </w:tcPr>
          <w:p>
            <w:pPr>
              <w:ind w:left="0" w:leftChars="0" w:firstLine="0" w:firstLineChars="0"/>
              <w:jc w:val="center"/>
              <w:rPr>
                <w:color w:val="auto"/>
                <w:highlight w:val="none"/>
              </w:rPr>
            </w:pPr>
            <w:r>
              <w:rPr>
                <w:color w:val="auto"/>
                <w:highlight w:val="none"/>
              </w:rPr>
              <w:drawing>
                <wp:inline distT="0" distB="0" distL="114300" distR="114300">
                  <wp:extent cx="980440" cy="993775"/>
                  <wp:effectExtent l="0" t="0" r="10160" b="1587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83"/>
                          <a:stretch>
                            <a:fillRect/>
                          </a:stretch>
                        </pic:blipFill>
                        <pic:spPr>
                          <a:xfrm>
                            <a:off x="0" y="0"/>
                            <a:ext cx="980440" cy="993775"/>
                          </a:xfrm>
                          <a:prstGeom prst="rect">
                            <a:avLst/>
                          </a:prstGeom>
                          <a:noFill/>
                          <a:ln>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4" w:hRule="atLeast"/>
        </w:trPr>
        <w:tc>
          <w:tcPr>
            <w:tcW w:w="562"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标签</w:t>
            </w:r>
          </w:p>
        </w:tc>
        <w:tc>
          <w:tcPr>
            <w:tcW w:w="1109" w:type="pct"/>
            <w:tcBorders>
              <w:bottom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反应性</w:t>
            </w:r>
          </w:p>
        </w:tc>
        <w:tc>
          <w:tcPr>
            <w:tcW w:w="1384" w:type="pct"/>
            <w:gridSpan w:val="2"/>
            <w:tcBorders>
              <w:bottom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分区标志</w:t>
            </w:r>
          </w:p>
        </w:tc>
        <w:tc>
          <w:tcPr>
            <w:tcW w:w="1945" w:type="pct"/>
            <w:gridSpan w:val="2"/>
            <w:tcBorders>
              <w:bottom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贮存设施标志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49" w:hRule="atLeast"/>
        </w:trPr>
        <w:tc>
          <w:tcPr>
            <w:tcW w:w="562" w:type="pct"/>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图形</w:t>
            </w:r>
          </w:p>
          <w:p>
            <w:pPr>
              <w:keepNext w:val="0"/>
              <w:keepLines w:val="0"/>
              <w:pageBreakBefore w:val="0"/>
              <w:widowControl w:val="0"/>
              <w:kinsoku/>
              <w:wordWrap/>
              <w:overflowPunct/>
              <w:topLinePunct/>
              <w:autoSpaceDE/>
              <w:autoSpaceDN/>
              <w:bidi w:val="0"/>
              <w:adjustRightInd w:val="0"/>
              <w:snapToGrid w:val="0"/>
              <w:spacing w:line="320" w:lineRule="exact"/>
              <w:ind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符号</w:t>
            </w:r>
          </w:p>
        </w:tc>
        <w:tc>
          <w:tcPr>
            <w:tcW w:w="1109" w:type="pct"/>
            <w:tcBorders>
              <w:top w:val="single" w:color="auto" w:sz="4" w:space="0"/>
            </w:tcBorders>
            <w:noWrap w:val="0"/>
            <w:vAlign w:val="center"/>
          </w:tcPr>
          <w:p>
            <w:pPr>
              <w:ind w:left="0" w:leftChars="0" w:firstLine="0" w:firstLineChars="0"/>
              <w:jc w:val="center"/>
              <w:rPr>
                <w:color w:val="auto"/>
                <w:highlight w:val="none"/>
              </w:rPr>
            </w:pPr>
            <w:r>
              <w:rPr>
                <w:color w:val="auto"/>
                <w:highlight w:val="none"/>
              </w:rPr>
              <w:drawing>
                <wp:inline distT="0" distB="0" distL="114300" distR="114300">
                  <wp:extent cx="941705" cy="899795"/>
                  <wp:effectExtent l="0" t="0" r="10795" b="1460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84"/>
                          <a:stretch>
                            <a:fillRect/>
                          </a:stretch>
                        </pic:blipFill>
                        <pic:spPr>
                          <a:xfrm>
                            <a:off x="0" y="0"/>
                            <a:ext cx="941705" cy="899795"/>
                          </a:xfrm>
                          <a:prstGeom prst="rect">
                            <a:avLst/>
                          </a:prstGeom>
                          <a:noFill/>
                          <a:ln>
                            <a:noFill/>
                          </a:ln>
                        </pic:spPr>
                      </pic:pic>
                    </a:graphicData>
                  </a:graphic>
                </wp:inline>
              </w:drawing>
            </w:r>
          </w:p>
        </w:tc>
        <w:tc>
          <w:tcPr>
            <w:tcW w:w="1384" w:type="pct"/>
            <w:gridSpan w:val="2"/>
            <w:tcBorders>
              <w:top w:val="single" w:color="auto" w:sz="4" w:space="0"/>
            </w:tcBorders>
            <w:noWrap w:val="0"/>
            <w:vAlign w:val="center"/>
          </w:tcPr>
          <w:p>
            <w:pPr>
              <w:ind w:left="0" w:leftChars="0" w:firstLine="0" w:firstLineChars="0"/>
              <w:jc w:val="center"/>
              <w:rPr>
                <w:color w:val="auto"/>
                <w:highlight w:val="none"/>
              </w:rPr>
            </w:pPr>
            <w:r>
              <w:rPr>
                <w:color w:val="auto"/>
                <w:highlight w:val="none"/>
              </w:rPr>
              <w:drawing>
                <wp:inline distT="0" distB="0" distL="114300" distR="114300">
                  <wp:extent cx="892175" cy="892175"/>
                  <wp:effectExtent l="0" t="0" r="3175" b="3175"/>
                  <wp:docPr id="38" name="图片 20" descr="I:\国家标准\标准\固废标准\危险废物识别标志设置技术规范\W0202305155912213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国家标准\标准\固废标准\危险废物识别标志设置技术规范\W020230515591221300736.jpg"/>
                          <pic:cNvPicPr>
                            <a:picLocks noChangeAspect="1"/>
                          </pic:cNvPicPr>
                        </pic:nvPicPr>
                        <pic:blipFill>
                          <a:blip r:embed="rId85"/>
                          <a:stretch>
                            <a:fillRect/>
                          </a:stretch>
                        </pic:blipFill>
                        <pic:spPr>
                          <a:xfrm>
                            <a:off x="0" y="0"/>
                            <a:ext cx="892175" cy="892175"/>
                          </a:xfrm>
                          <a:prstGeom prst="rect">
                            <a:avLst/>
                          </a:prstGeom>
                          <a:noFill/>
                          <a:ln>
                            <a:noFill/>
                          </a:ln>
                        </pic:spPr>
                      </pic:pic>
                    </a:graphicData>
                  </a:graphic>
                </wp:inline>
              </w:drawing>
            </w:r>
          </w:p>
        </w:tc>
        <w:tc>
          <w:tcPr>
            <w:tcW w:w="1945" w:type="pct"/>
            <w:gridSpan w:val="2"/>
            <w:tcBorders>
              <w:top w:val="single" w:color="auto" w:sz="4" w:space="0"/>
            </w:tcBorders>
            <w:noWrap w:val="0"/>
            <w:vAlign w:val="center"/>
          </w:tcPr>
          <w:p>
            <w:pPr>
              <w:ind w:left="0" w:leftChars="0" w:firstLine="0" w:firstLineChars="0"/>
              <w:jc w:val="center"/>
              <w:rPr>
                <w:color w:val="auto"/>
                <w:highlight w:val="none"/>
              </w:rPr>
            </w:pPr>
            <w:r>
              <w:rPr>
                <w:color w:val="auto"/>
                <w:highlight w:val="none"/>
              </w:rPr>
              <w:drawing>
                <wp:inline distT="0" distB="0" distL="114300" distR="114300">
                  <wp:extent cx="1475740" cy="935990"/>
                  <wp:effectExtent l="0" t="0" r="10160" b="16510"/>
                  <wp:docPr id="39" name="图片 21" descr="I:\国家标准\标准\固废标准\危险废物识别标志设置技术规范\W02023051559122187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descr="I:\国家标准\标准\固废标准\危险废物识别标志设置技术规范\W020230515591221879653.jpg"/>
                          <pic:cNvPicPr>
                            <a:picLocks noChangeAspect="1"/>
                          </pic:cNvPicPr>
                        </pic:nvPicPr>
                        <pic:blipFill>
                          <a:blip r:embed="rId86"/>
                          <a:stretch>
                            <a:fillRect/>
                          </a:stretch>
                        </pic:blipFill>
                        <pic:spPr>
                          <a:xfrm>
                            <a:off x="0" y="0"/>
                            <a:ext cx="1475740" cy="935990"/>
                          </a:xfrm>
                          <a:prstGeom prst="rect">
                            <a:avLst/>
                          </a:prstGeom>
                          <a:noFill/>
                          <a:ln>
                            <a:noFill/>
                          </a:ln>
                        </pic:spPr>
                      </pic:pic>
                    </a:graphicData>
                  </a:graphic>
                </wp:inline>
              </w:drawing>
            </w:r>
          </w:p>
        </w:tc>
      </w:tr>
    </w:tbl>
    <w:p>
      <w:pPr>
        <w:pStyle w:val="6"/>
        <w:keepNext/>
        <w:keepLines/>
        <w:pageBreakBefore w:val="0"/>
        <w:widowControl w:val="0"/>
        <w:kinsoku/>
        <w:wordWrap/>
        <w:overflowPunct/>
        <w:topLinePunct w:val="0"/>
        <w:autoSpaceDE/>
        <w:autoSpaceDN/>
        <w:bidi w:val="0"/>
        <w:adjustRightInd w:val="0"/>
        <w:snapToGrid w:val="0"/>
        <w:ind w:left="0" w:right="0" w:firstLine="562"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8.1.6</w:t>
      </w:r>
      <w:r>
        <w:rPr>
          <w:rFonts w:hint="default" w:ascii="Times New Roman" w:hAnsi="Times New Roman" w:cs="Times New Roman"/>
          <w:color w:val="auto"/>
          <w:highlight w:val="none"/>
        </w:rPr>
        <w:t>排污许可管理</w:t>
      </w:r>
    </w:p>
    <w:p>
      <w:pPr>
        <w:pStyle w:val="7"/>
        <w:pageBreakBefore w:val="0"/>
        <w:kinsoku/>
        <w:wordWrap/>
        <w:overflowPunct/>
        <w:topLinePunct w:val="0"/>
        <w:bidi w:val="0"/>
        <w:adjustRightInd w:val="0"/>
        <w:snapToGrid w:val="0"/>
        <w:ind w:left="0" w:right="0" w:firstLine="482"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8.1.6.1</w:t>
      </w:r>
      <w:r>
        <w:rPr>
          <w:rFonts w:hint="default" w:ascii="Times New Roman" w:hAnsi="Times New Roman" w:cs="Times New Roman"/>
          <w:color w:val="auto"/>
          <w:highlight w:val="none"/>
        </w:rPr>
        <w:t>排污许可证</w:t>
      </w:r>
    </w:p>
    <w:p>
      <w:pPr>
        <w:pageBreakBefore w:val="0"/>
        <w:kinsoku/>
        <w:wordWrap/>
        <w:overflowPunct/>
        <w:topLinePunct w:val="0"/>
        <w:bidi w:val="0"/>
        <w:adjustRightInd w:val="0"/>
        <w:snapToGrid w:val="0"/>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2016年11月，国务院办公厅发布了《控制污染物排放许可制实施方案》，方案指出：“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p>
    <w:p>
      <w:pPr>
        <w:pageBreakBefore w:val="0"/>
        <w:kinsoku/>
        <w:wordWrap/>
        <w:overflowPunct/>
        <w:topLinePunct w:val="0"/>
        <w:bidi w:val="0"/>
        <w:adjustRightInd w:val="0"/>
        <w:snapToGrid w:val="0"/>
        <w:ind w:left="0" w:right="0" w:firstLine="480" w:firstLineChars="200"/>
        <w:jc w:val="both"/>
        <w:textAlignment w:val="auto"/>
        <w:rPr>
          <w:rFonts w:hint="default" w:ascii="Times New Roman" w:hAnsi="Times New Roman" w:cs="Times New Roman"/>
          <w:color w:val="0000FF"/>
          <w:highlight w:val="none"/>
        </w:rPr>
      </w:pPr>
      <w:r>
        <w:rPr>
          <w:rFonts w:hint="eastAsia"/>
          <w:color w:val="0000FF"/>
          <w:highlight w:val="none"/>
          <w:lang w:val="en-US" w:eastAsia="zh-CN"/>
        </w:rPr>
        <w:t>根据《固定污染源排污许可分类管理名录（2019版）》的规定，所属行业类别为“八、农副食品加工业13——制糖业134”，根据本项目生产规模（日产糖400t）判定属于“简化管理”；另外，根据行业类别“三十九、电力、热力生产和供应业44”，现有锅炉合计出力为90t/h，锅炉房属于“重点管理”类。</w:t>
      </w:r>
      <w:r>
        <w:rPr>
          <w:rFonts w:hint="eastAsia" w:cs="Times New Roman"/>
          <w:color w:val="0000FF"/>
          <w:highlight w:val="none"/>
          <w:lang w:eastAsia="zh-CN"/>
        </w:rPr>
        <w:t>企业已于</w:t>
      </w:r>
      <w:r>
        <w:rPr>
          <w:rFonts w:hint="eastAsia" w:cs="Times New Roman"/>
          <w:color w:val="0000FF"/>
          <w:highlight w:val="none"/>
          <w:lang w:val="en-US" w:eastAsia="zh-CN"/>
        </w:rPr>
        <w:t>2020年6月11日</w:t>
      </w:r>
      <w:r>
        <w:rPr>
          <w:rFonts w:hint="eastAsia" w:cs="Times New Roman"/>
          <w:color w:val="0000FF"/>
          <w:highlight w:val="none"/>
          <w:lang w:eastAsia="zh-CN"/>
        </w:rPr>
        <w:t>取得</w:t>
      </w:r>
      <w:r>
        <w:rPr>
          <w:rFonts w:hint="default" w:ascii="Times New Roman" w:hAnsi="Times New Roman" w:cs="Times New Roman"/>
          <w:color w:val="0000FF"/>
          <w:highlight w:val="none"/>
        </w:rPr>
        <w:t>排污许可证</w:t>
      </w:r>
      <w:r>
        <w:rPr>
          <w:rFonts w:hint="eastAsia" w:cs="Times New Roman"/>
          <w:color w:val="0000FF"/>
          <w:highlight w:val="none"/>
          <w:lang w:eastAsia="zh-CN"/>
        </w:rPr>
        <w:t>，编号</w:t>
      </w:r>
      <w:r>
        <w:rPr>
          <w:rFonts w:hint="eastAsia" w:cs="Times New Roman"/>
          <w:color w:val="0000FF"/>
          <w:highlight w:val="none"/>
          <w:lang w:val="en-US" w:eastAsia="zh-CN"/>
        </w:rPr>
        <w:t>9165422172696882XB001P。</w:t>
      </w:r>
      <w:r>
        <w:rPr>
          <w:rFonts w:hint="default" w:ascii="Times New Roman" w:hAnsi="Times New Roman" w:cs="Times New Roman"/>
          <w:color w:val="0000FF"/>
          <w:highlight w:val="none"/>
        </w:rPr>
        <w:t>排污许可证申请及核发按《</w:t>
      </w:r>
      <w:r>
        <w:rPr>
          <w:rFonts w:hint="default" w:ascii="Times New Roman" w:hAnsi="Times New Roman" w:cs="Times New Roman"/>
          <w:color w:val="0000FF"/>
          <w:highlight w:val="none"/>
          <w:lang w:eastAsia="zh-CN"/>
        </w:rPr>
        <w:t>排污许可管理条例</w:t>
      </w:r>
      <w:r>
        <w:rPr>
          <w:rFonts w:hint="default" w:ascii="Times New Roman" w:hAnsi="Times New Roman" w:cs="Times New Roman"/>
          <w:color w:val="0000FF"/>
          <w:highlight w:val="none"/>
        </w:rPr>
        <w:t>》填报执行。</w:t>
      </w:r>
    </w:p>
    <w:p>
      <w:pPr>
        <w:pageBreakBefore w:val="0"/>
        <w:kinsoku/>
        <w:wordWrap/>
        <w:overflowPunct/>
        <w:topLinePunct w:val="0"/>
        <w:bidi w:val="0"/>
        <w:adjustRightInd w:val="0"/>
        <w:snapToGrid w:val="0"/>
        <w:ind w:left="0" w:right="0" w:firstLine="480" w:firstLineChars="200"/>
        <w:jc w:val="both"/>
        <w:textAlignment w:val="auto"/>
        <w:rPr>
          <w:rFonts w:hint="default" w:ascii="Times New Roman" w:hAnsi="Times New Roman" w:cs="Times New Roman"/>
          <w:color w:val="0000FF"/>
          <w:highlight w:val="none"/>
        </w:rPr>
      </w:pPr>
      <w:r>
        <w:rPr>
          <w:rFonts w:hint="default" w:ascii="Times New Roman" w:hAnsi="Times New Roman" w:cs="Times New Roman"/>
          <w:color w:val="0000FF"/>
          <w:highlight w:val="none"/>
        </w:rPr>
        <w:t>根据《排污许可证申请与核发技术规范 锅炉》（HJ953-2018）中的可行技术，明确废气处理设施的运行和维护要求，无组织排放控制及水污染控制的管理要求。行业排污许可证实施情况及排放数据作为更新行业可行技术指南的主要依据。</w:t>
      </w:r>
    </w:p>
    <w:p>
      <w:pPr>
        <w:pStyle w:val="7"/>
        <w:pageBreakBefore w:val="0"/>
        <w:kinsoku/>
        <w:wordWrap/>
        <w:overflowPunct/>
        <w:topLinePunct w:val="0"/>
        <w:bidi w:val="0"/>
        <w:adjustRightInd w:val="0"/>
        <w:snapToGrid w:val="0"/>
        <w:ind w:left="0" w:right="0" w:firstLine="482"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8.1.6.2</w:t>
      </w:r>
      <w:r>
        <w:rPr>
          <w:rFonts w:hint="default" w:ascii="Times New Roman" w:hAnsi="Times New Roman" w:cs="Times New Roman"/>
          <w:color w:val="auto"/>
          <w:highlight w:val="none"/>
        </w:rPr>
        <w:t>信息报告</w:t>
      </w:r>
    </w:p>
    <w:p>
      <w:pPr>
        <w:pageBreakBefore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排污单位应编写自行监测年度报告，年度报告至少应包含以下内容：</w:t>
      </w:r>
    </w:p>
    <w:p>
      <w:pPr>
        <w:pageBreakBefore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监测方案的调整变化情况及变更原因；</w:t>
      </w:r>
    </w:p>
    <w:p>
      <w:pPr>
        <w:pageBreakBefore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企业及各主要生产设施（至少涵盖废气主要污染源相关生产设施）全年运行天数，各监测点、各监测指标全年监测次数、超标情况、浓度分布情况；</w:t>
      </w:r>
    </w:p>
    <w:p>
      <w:pPr>
        <w:pageBreakBefore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自行监测开展的其他情况说明；</w:t>
      </w:r>
    </w:p>
    <w:p>
      <w:pPr>
        <w:pageBreakBefore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排污单位实现达标排放所采取的主要措施。</w:t>
      </w:r>
    </w:p>
    <w:p>
      <w:pPr>
        <w:pStyle w:val="7"/>
        <w:pageBreakBefore w:val="0"/>
        <w:kinsoku/>
        <w:wordWrap/>
        <w:overflowPunct/>
        <w:topLinePunct w:val="0"/>
        <w:bidi w:val="0"/>
        <w:adjustRightInd w:val="0"/>
        <w:snapToGrid w:val="0"/>
        <w:ind w:left="0" w:right="0" w:firstLine="482"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8.1.6.3</w:t>
      </w:r>
      <w:r>
        <w:rPr>
          <w:rFonts w:hint="default" w:ascii="Times New Roman" w:hAnsi="Times New Roman" w:cs="Times New Roman"/>
          <w:color w:val="auto"/>
          <w:highlight w:val="none"/>
        </w:rPr>
        <w:t>环境信息公开</w:t>
      </w:r>
    </w:p>
    <w:p>
      <w:pPr>
        <w:pageBreakBefore w:val="0"/>
        <w:kinsoku/>
        <w:wordWrap/>
        <w:overflowPunct/>
        <w:topLinePunct w:val="0"/>
        <w:bidi w:val="0"/>
        <w:adjustRightInd w:val="0"/>
        <w:snapToGrid w:val="0"/>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排污企业应按照《企业事业单位环境信息公开办法》（部令第31号）国家环境保护总局令第35号的要求，依法通过网站、企业事业单位环境信息公开平台或者当地报刊等便于公众知晓的方式公开环境信息，企业环境信息公开采取自愿公开与强制公开相结合。</w:t>
      </w:r>
    </w:p>
    <w:p>
      <w:pPr>
        <w:pageBreakBefore w:val="0"/>
        <w:kinsoku/>
        <w:wordWrap/>
        <w:overflowPunct/>
        <w:topLinePunct w:val="0"/>
        <w:bidi w:val="0"/>
        <w:adjustRightInd w:val="0"/>
        <w:snapToGrid w:val="0"/>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国家鼓励企业事业单位自愿公开有利于保护生态、防治污染、履行社会环境责任的相关信息。企业可通过网站公示信息、编制环保白皮书等方式向公众发布本企业的环境信息。</w:t>
      </w:r>
    </w:p>
    <w:p>
      <w:pPr>
        <w:pStyle w:val="5"/>
        <w:pageBreakBefore w:val="0"/>
        <w:kinsoku/>
        <w:wordWrap/>
        <w:overflowPunct/>
        <w:topLinePunct w:val="0"/>
        <w:bidi w:val="0"/>
        <w:adjustRightInd w:val="0"/>
        <w:snapToGrid w:val="0"/>
        <w:spacing w:after="0" w:line="360" w:lineRule="auto"/>
        <w:ind w:left="0" w:right="0" w:firstLine="562" w:firstLineChars="200"/>
        <w:jc w:val="both"/>
        <w:textAlignment w:val="auto"/>
        <w:rPr>
          <w:rFonts w:hint="default" w:ascii="Times New Roman" w:hAnsi="Times New Roman" w:eastAsia="宋体" w:cs="Times New Roman"/>
          <w:bCs w:val="0"/>
          <w:color w:val="auto"/>
          <w:kern w:val="0"/>
          <w:sz w:val="28"/>
          <w:szCs w:val="24"/>
          <w:highlight w:val="none"/>
        </w:rPr>
      </w:pPr>
      <w:bookmarkStart w:id="402" w:name="_Toc26698"/>
      <w:bookmarkStart w:id="403" w:name="_Toc20376"/>
      <w:bookmarkStart w:id="404" w:name="_Toc9624"/>
      <w:bookmarkStart w:id="405" w:name="_Toc12731"/>
      <w:bookmarkStart w:id="406" w:name="_Toc1295"/>
      <w:bookmarkStart w:id="407" w:name="_Toc28118"/>
      <w:bookmarkStart w:id="408" w:name="_Toc31841"/>
      <w:bookmarkStart w:id="409" w:name="_Toc29224"/>
      <w:bookmarkStart w:id="410" w:name="_Toc6046"/>
      <w:bookmarkStart w:id="411" w:name="_Toc524464465"/>
      <w:bookmarkStart w:id="412" w:name="_Toc30827"/>
      <w:bookmarkStart w:id="413" w:name="_Toc15475"/>
      <w:bookmarkStart w:id="414" w:name="_Toc21115"/>
      <w:bookmarkStart w:id="415" w:name="_Toc11730"/>
      <w:bookmarkStart w:id="416" w:name="_Toc18315"/>
      <w:r>
        <w:rPr>
          <w:rFonts w:hint="default" w:ascii="Times New Roman" w:hAnsi="Times New Roman" w:cs="Times New Roman"/>
          <w:bCs w:val="0"/>
          <w:color w:val="auto"/>
          <w:kern w:val="0"/>
          <w:sz w:val="28"/>
          <w:szCs w:val="24"/>
          <w:highlight w:val="none"/>
          <w:lang w:val="en-US" w:eastAsia="zh-CN"/>
        </w:rPr>
        <w:t>8.2</w:t>
      </w:r>
      <w:r>
        <w:rPr>
          <w:rFonts w:hint="default" w:ascii="Times New Roman" w:hAnsi="Times New Roman" w:eastAsia="宋体" w:cs="Times New Roman"/>
          <w:bCs w:val="0"/>
          <w:color w:val="auto"/>
          <w:kern w:val="0"/>
          <w:sz w:val="28"/>
          <w:szCs w:val="24"/>
          <w:highlight w:val="none"/>
        </w:rPr>
        <w:t>环境监测</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pPr>
        <w:pStyle w:val="62"/>
        <w:pageBreakBefore w:val="0"/>
        <w:kinsoku/>
        <w:wordWrap/>
        <w:overflowPunct/>
        <w:topLinePunct w:val="0"/>
        <w:bidi w:val="0"/>
        <w:adjustRightInd w:val="0"/>
        <w:snapToGrid w:val="0"/>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稳定达标排放的重要保证手段之一。</w:t>
      </w:r>
    </w:p>
    <w:p>
      <w:pPr>
        <w:pageBreakBefore w:val="0"/>
        <w:kinsoku/>
        <w:wordWrap/>
        <w:overflowPunct/>
        <w:topLinePunct w:val="0"/>
        <w:bidi w:val="0"/>
        <w:adjustRightInd w:val="0"/>
        <w:snapToGrid w:val="0"/>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本项目污染源监测计划参照《排污许可证申请与核发技术规范 总则》（HJ942-2018）、《排污许可证申请与核发技术规范 锅炉》（HJ953-2018）、《排污单位自行监测技术指南 火力发电及锅炉》（HJ820-2017）等文件要求执行，具体监测内容见表8.2-1。</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b/>
          <w:color w:val="auto"/>
          <w:sz w:val="21"/>
          <w:szCs w:val="18"/>
          <w:highlight w:val="none"/>
        </w:rPr>
      </w:pPr>
      <w:r>
        <w:rPr>
          <w:b/>
          <w:color w:val="auto"/>
          <w:sz w:val="21"/>
          <w:szCs w:val="18"/>
          <w:highlight w:val="none"/>
        </w:rPr>
        <w:t xml:space="preserve">表8.2-1   </w:t>
      </w:r>
      <w:r>
        <w:rPr>
          <w:rFonts w:hint="eastAsia"/>
          <w:b/>
          <w:color w:val="auto"/>
          <w:sz w:val="21"/>
          <w:szCs w:val="18"/>
          <w:highlight w:val="none"/>
        </w:rPr>
        <w:t xml:space="preserve">  </w:t>
      </w:r>
      <w:r>
        <w:rPr>
          <w:b/>
          <w:color w:val="auto"/>
          <w:sz w:val="21"/>
          <w:szCs w:val="18"/>
          <w:highlight w:val="none"/>
        </w:rPr>
        <w:t xml:space="preserve"> 污染源监测方案</w:t>
      </w:r>
    </w:p>
    <w:tbl>
      <w:tblPr>
        <w:tblStyle w:val="31"/>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autofit"/>
        <w:tblCellMar>
          <w:top w:w="0" w:type="dxa"/>
          <w:left w:w="108" w:type="dxa"/>
          <w:bottom w:w="0" w:type="dxa"/>
          <w:right w:w="108" w:type="dxa"/>
        </w:tblCellMar>
      </w:tblPr>
      <w:tblGrid>
        <w:gridCol w:w="512"/>
        <w:gridCol w:w="753"/>
        <w:gridCol w:w="807"/>
        <w:gridCol w:w="2092"/>
        <w:gridCol w:w="1187"/>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647" w:hRule="atLeast"/>
          <w:jc w:val="center"/>
        </w:trPr>
        <w:tc>
          <w:tcPr>
            <w:tcW w:w="7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z w:val="21"/>
                <w:szCs w:val="21"/>
                <w:highlight w:val="none"/>
              </w:rPr>
            </w:pPr>
            <w:r>
              <w:rPr>
                <w:b/>
                <w:bCs/>
                <w:color w:val="auto"/>
                <w:sz w:val="21"/>
                <w:szCs w:val="21"/>
                <w:highlight w:val="none"/>
              </w:rPr>
              <w:t>污染源</w:t>
            </w:r>
          </w:p>
        </w:tc>
        <w:tc>
          <w:tcPr>
            <w:tcW w:w="4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z w:val="21"/>
                <w:szCs w:val="21"/>
                <w:highlight w:val="none"/>
              </w:rPr>
            </w:pPr>
            <w:r>
              <w:rPr>
                <w:b/>
                <w:bCs/>
                <w:color w:val="auto"/>
                <w:sz w:val="21"/>
                <w:szCs w:val="21"/>
                <w:highlight w:val="none"/>
              </w:rPr>
              <w:t>监测点位</w:t>
            </w:r>
          </w:p>
        </w:tc>
        <w:tc>
          <w:tcPr>
            <w:tcW w:w="12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z w:val="21"/>
                <w:szCs w:val="21"/>
                <w:highlight w:val="none"/>
              </w:rPr>
            </w:pPr>
            <w:r>
              <w:rPr>
                <w:b/>
                <w:bCs/>
                <w:color w:val="auto"/>
                <w:sz w:val="21"/>
                <w:szCs w:val="21"/>
                <w:highlight w:val="none"/>
              </w:rPr>
              <w:t>监测指标</w:t>
            </w:r>
          </w:p>
        </w:tc>
        <w:tc>
          <w:tcPr>
            <w:tcW w:w="7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z w:val="21"/>
                <w:szCs w:val="21"/>
                <w:highlight w:val="none"/>
              </w:rPr>
            </w:pPr>
            <w:r>
              <w:rPr>
                <w:b/>
                <w:bCs/>
                <w:color w:val="auto"/>
                <w:sz w:val="21"/>
                <w:szCs w:val="21"/>
                <w:highlight w:val="none"/>
              </w:rPr>
              <w:t>监测频次</w:t>
            </w:r>
          </w:p>
        </w:tc>
        <w:tc>
          <w:tcPr>
            <w:tcW w:w="17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b/>
                <w:bCs/>
                <w:color w:val="auto"/>
                <w:sz w:val="21"/>
                <w:szCs w:val="21"/>
                <w:highlight w:val="none"/>
              </w:rPr>
            </w:pPr>
            <w:r>
              <w:rPr>
                <w:b/>
                <w:bCs/>
                <w:color w:val="auto"/>
                <w:sz w:val="21"/>
                <w:szCs w:val="21"/>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513" w:hRule="atLeast"/>
          <w:jc w:val="center"/>
        </w:trPr>
        <w:tc>
          <w:tcPr>
            <w:tcW w:w="31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废气</w:t>
            </w:r>
          </w:p>
        </w:tc>
        <w:tc>
          <w:tcPr>
            <w:tcW w:w="4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有组织排放</w:t>
            </w:r>
          </w:p>
        </w:tc>
        <w:tc>
          <w:tcPr>
            <w:tcW w:w="48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70C0"/>
                <w:sz w:val="21"/>
                <w:szCs w:val="21"/>
                <w:highlight w:val="none"/>
                <w:lang w:eastAsia="zh-CN"/>
              </w:rPr>
            </w:pPr>
            <w:r>
              <w:rPr>
                <w:rFonts w:hint="eastAsia"/>
                <w:color w:val="0070C0"/>
                <w:sz w:val="21"/>
                <w:szCs w:val="21"/>
                <w:highlight w:val="none"/>
                <w:lang w:eastAsia="zh-CN"/>
              </w:rPr>
              <w:t>烟道</w:t>
            </w:r>
          </w:p>
        </w:tc>
        <w:tc>
          <w:tcPr>
            <w:tcW w:w="12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70C0"/>
                <w:sz w:val="21"/>
                <w:szCs w:val="21"/>
                <w:highlight w:val="none"/>
                <w:lang w:eastAsia="zh-CN"/>
              </w:rPr>
            </w:pPr>
            <w:r>
              <w:rPr>
                <w:color w:val="0070C0"/>
                <w:sz w:val="21"/>
                <w:szCs w:val="21"/>
                <w:highlight w:val="none"/>
              </w:rPr>
              <w:t>SO</w:t>
            </w:r>
            <w:r>
              <w:rPr>
                <w:color w:val="0070C0"/>
                <w:sz w:val="21"/>
                <w:szCs w:val="21"/>
                <w:highlight w:val="none"/>
                <w:vertAlign w:val="subscript"/>
              </w:rPr>
              <w:t>2</w:t>
            </w:r>
            <w:r>
              <w:rPr>
                <w:color w:val="0070C0"/>
                <w:sz w:val="21"/>
                <w:szCs w:val="21"/>
                <w:highlight w:val="none"/>
              </w:rPr>
              <w:t>、NO</w:t>
            </w:r>
            <w:r>
              <w:rPr>
                <w:color w:val="0070C0"/>
                <w:sz w:val="21"/>
                <w:szCs w:val="21"/>
                <w:highlight w:val="none"/>
                <w:vertAlign w:val="subscript"/>
              </w:rPr>
              <w:t>X</w:t>
            </w:r>
            <w:r>
              <w:rPr>
                <w:color w:val="0070C0"/>
                <w:sz w:val="21"/>
                <w:szCs w:val="21"/>
                <w:highlight w:val="none"/>
              </w:rPr>
              <w:t>、</w:t>
            </w:r>
            <w:r>
              <w:rPr>
                <w:rFonts w:hint="eastAsia"/>
                <w:color w:val="0070C0"/>
                <w:sz w:val="21"/>
                <w:szCs w:val="21"/>
                <w:highlight w:val="none"/>
                <w:lang w:eastAsia="zh-CN"/>
              </w:rPr>
              <w:t>烟尘</w:t>
            </w:r>
          </w:p>
        </w:tc>
        <w:tc>
          <w:tcPr>
            <w:tcW w:w="7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70C0"/>
                <w:sz w:val="21"/>
                <w:szCs w:val="21"/>
                <w:highlight w:val="none"/>
              </w:rPr>
            </w:pPr>
            <w:r>
              <w:rPr>
                <w:rFonts w:hint="eastAsia"/>
                <w:color w:val="0070C0"/>
                <w:sz w:val="21"/>
                <w:szCs w:val="21"/>
                <w:highlight w:val="none"/>
                <w:lang w:eastAsia="zh-CN"/>
              </w:rPr>
              <w:t>在线</w:t>
            </w:r>
            <w:r>
              <w:rPr>
                <w:color w:val="0070C0"/>
                <w:sz w:val="21"/>
                <w:szCs w:val="21"/>
                <w:highlight w:val="none"/>
              </w:rPr>
              <w:t>监测</w:t>
            </w:r>
          </w:p>
        </w:tc>
        <w:tc>
          <w:tcPr>
            <w:tcW w:w="175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eastAsia="zh-CN"/>
              </w:rPr>
            </w:pP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eastAsia="zh-CN"/>
              </w:rPr>
              <w:t>火电厂大气污染物排放标准</w:t>
            </w:r>
            <w:r>
              <w:rPr>
                <w:rFonts w:ascii="Times New Roman" w:hAnsi="Times New Roman" w:cs="Times New Roman"/>
                <w:color w:val="auto"/>
                <w:sz w:val="21"/>
                <w:szCs w:val="21"/>
                <w:highlight w:val="none"/>
              </w:rPr>
              <w:t>》（GB</w:t>
            </w:r>
            <w:r>
              <w:rPr>
                <w:rFonts w:hint="eastAsia" w:ascii="Times New Roman" w:hAnsi="Times New Roman" w:cs="Times New Roman"/>
                <w:color w:val="auto"/>
                <w:sz w:val="21"/>
                <w:szCs w:val="21"/>
                <w:highlight w:val="none"/>
                <w:lang w:val="en-US" w:eastAsia="zh-CN"/>
              </w:rPr>
              <w:t>13223</w:t>
            </w:r>
            <w:r>
              <w:rPr>
                <w:rFonts w:ascii="Times New Roman" w:hAnsi="Times New Roman" w:cs="Times New Roman"/>
                <w:color w:val="auto"/>
                <w:sz w:val="21"/>
                <w:szCs w:val="21"/>
                <w:highlight w:val="none"/>
              </w:rPr>
              <w:t>-201</w:t>
            </w:r>
            <w:r>
              <w:rPr>
                <w:rFonts w:hint="eastAsia" w:ascii="Times New Roman" w:hAnsi="Times New Roman" w:cs="Times New Roman"/>
                <w:color w:val="auto"/>
                <w:sz w:val="21"/>
                <w:szCs w:val="21"/>
                <w:highlight w:val="none"/>
                <w:lang w:val="en-US" w:eastAsia="zh-CN"/>
              </w:rPr>
              <w:t>1</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表</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火力发电锅炉及燃气轮机组大气污染物排放浓度限值中燃煤锅炉限值要求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647" w:hRule="atLeast"/>
          <w:jc w:val="center"/>
        </w:trPr>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4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4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70C0"/>
                <w:sz w:val="21"/>
                <w:szCs w:val="21"/>
                <w:highlight w:val="none"/>
              </w:rPr>
            </w:pPr>
          </w:p>
        </w:tc>
        <w:tc>
          <w:tcPr>
            <w:tcW w:w="12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0070C0"/>
                <w:sz w:val="21"/>
                <w:szCs w:val="21"/>
                <w:highlight w:val="none"/>
                <w:lang w:eastAsia="zh-CN"/>
              </w:rPr>
            </w:pPr>
            <w:r>
              <w:rPr>
                <w:color w:val="0070C0"/>
                <w:sz w:val="21"/>
                <w:szCs w:val="21"/>
                <w:highlight w:val="none"/>
              </w:rPr>
              <w:t>汞</w:t>
            </w:r>
            <w:r>
              <w:rPr>
                <w:rFonts w:hint="eastAsia"/>
                <w:color w:val="0070C0"/>
                <w:sz w:val="21"/>
                <w:szCs w:val="21"/>
                <w:highlight w:val="none"/>
                <w:lang w:eastAsia="zh-CN"/>
              </w:rPr>
              <w:t>及其化合物</w:t>
            </w:r>
            <w:r>
              <w:rPr>
                <w:color w:val="0070C0"/>
                <w:sz w:val="21"/>
                <w:szCs w:val="21"/>
                <w:highlight w:val="none"/>
              </w:rPr>
              <w:t>、</w:t>
            </w:r>
            <w:r>
              <w:rPr>
                <w:rFonts w:hint="eastAsia"/>
                <w:color w:val="0070C0"/>
                <w:sz w:val="21"/>
                <w:szCs w:val="21"/>
                <w:highlight w:val="none"/>
                <w:lang w:eastAsia="zh-CN"/>
              </w:rPr>
              <w:t>烟气黑度</w:t>
            </w:r>
          </w:p>
        </w:tc>
        <w:tc>
          <w:tcPr>
            <w:tcW w:w="7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0070C0"/>
                <w:sz w:val="21"/>
                <w:szCs w:val="21"/>
                <w:highlight w:val="none"/>
              </w:rPr>
            </w:pPr>
            <w:r>
              <w:rPr>
                <w:color w:val="0070C0"/>
                <w:sz w:val="21"/>
                <w:szCs w:val="21"/>
                <w:highlight w:val="none"/>
              </w:rPr>
              <w:t>1次/季度</w:t>
            </w:r>
          </w:p>
        </w:tc>
        <w:tc>
          <w:tcPr>
            <w:tcW w:w="175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997" w:hRule="atLeast"/>
          <w:jc w:val="center"/>
        </w:trPr>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p>
        </w:tc>
        <w:tc>
          <w:tcPr>
            <w:tcW w:w="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无组织排放</w:t>
            </w:r>
          </w:p>
        </w:tc>
        <w:tc>
          <w:tcPr>
            <w:tcW w:w="4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厂界</w:t>
            </w:r>
          </w:p>
        </w:tc>
        <w:tc>
          <w:tcPr>
            <w:tcW w:w="12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颗粒物</w:t>
            </w:r>
          </w:p>
        </w:tc>
        <w:tc>
          <w:tcPr>
            <w:tcW w:w="7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1次/季度</w:t>
            </w:r>
          </w:p>
        </w:tc>
        <w:tc>
          <w:tcPr>
            <w:tcW w:w="17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eastAsia="zh-CN"/>
              </w:rPr>
            </w:pPr>
            <w:r>
              <w:rPr>
                <w:color w:val="auto"/>
                <w:sz w:val="21"/>
                <w:szCs w:val="21"/>
                <w:highlight w:val="none"/>
              </w:rPr>
              <w:t>《大气污染物综合排放标准》</w:t>
            </w:r>
            <w:r>
              <w:rPr>
                <w:rFonts w:hint="eastAsia"/>
                <w:color w:val="auto"/>
                <w:sz w:val="21"/>
                <w:szCs w:val="21"/>
                <w:highlight w:val="none"/>
                <w:lang w:eastAsia="zh-CN"/>
              </w:rPr>
              <w:t>（</w:t>
            </w:r>
            <w:r>
              <w:rPr>
                <w:rFonts w:hint="eastAsia"/>
                <w:color w:val="auto"/>
                <w:sz w:val="21"/>
                <w:szCs w:val="21"/>
                <w:highlight w:val="none"/>
                <w:lang w:val="en-US" w:eastAsia="zh-CN"/>
              </w:rPr>
              <w:t>GB16297-1996</w:t>
            </w:r>
            <w:r>
              <w:rPr>
                <w:rFonts w:hint="eastAsia"/>
                <w:color w:val="auto"/>
                <w:sz w:val="21"/>
                <w:szCs w:val="21"/>
                <w:highlight w:val="none"/>
                <w:lang w:eastAsia="zh-CN"/>
              </w:rPr>
              <w:t>）表</w:t>
            </w:r>
            <w:r>
              <w:rPr>
                <w:rFonts w:hint="eastAsia"/>
                <w:color w:val="auto"/>
                <w:sz w:val="21"/>
                <w:szCs w:val="21"/>
                <w:highlight w:val="none"/>
                <w:lang w:val="en-US" w:eastAsia="zh-CN"/>
              </w:rPr>
              <w:t>2中</w:t>
            </w:r>
            <w:r>
              <w:rPr>
                <w:rFonts w:hint="eastAsia"/>
                <w:color w:val="auto"/>
                <w:sz w:val="21"/>
                <w:szCs w:val="21"/>
                <w:highlight w:val="none"/>
                <w:lang w:eastAsia="zh-CN"/>
              </w:rPr>
              <w:t>无组织排放浓度限值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966" w:hRule="atLeast"/>
          <w:jc w:val="center"/>
        </w:trPr>
        <w:tc>
          <w:tcPr>
            <w:tcW w:w="7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噪声</w:t>
            </w:r>
          </w:p>
        </w:tc>
        <w:tc>
          <w:tcPr>
            <w:tcW w:w="4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厂界</w:t>
            </w:r>
          </w:p>
        </w:tc>
        <w:tc>
          <w:tcPr>
            <w:tcW w:w="12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等效连续A声级</w:t>
            </w:r>
          </w:p>
        </w:tc>
        <w:tc>
          <w:tcPr>
            <w:tcW w:w="7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1次/季度</w:t>
            </w:r>
          </w:p>
        </w:tc>
        <w:tc>
          <w:tcPr>
            <w:tcW w:w="17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color w:val="auto"/>
                <w:sz w:val="21"/>
                <w:szCs w:val="21"/>
                <w:highlight w:val="none"/>
              </w:rPr>
            </w:pPr>
            <w:r>
              <w:rPr>
                <w:color w:val="auto"/>
                <w:sz w:val="21"/>
                <w:szCs w:val="21"/>
                <w:highlight w:val="none"/>
              </w:rPr>
              <w:t>《工业企业厂界环境噪声排放标准》</w:t>
            </w:r>
            <w:r>
              <w:rPr>
                <w:rFonts w:hint="eastAsia"/>
                <w:color w:val="auto"/>
                <w:sz w:val="21"/>
                <w:szCs w:val="21"/>
                <w:highlight w:val="none"/>
              </w:rPr>
              <w:t>（</w:t>
            </w:r>
            <w:r>
              <w:rPr>
                <w:color w:val="auto"/>
                <w:sz w:val="21"/>
                <w:szCs w:val="21"/>
                <w:highlight w:val="none"/>
              </w:rPr>
              <w:t>GB12348-2008</w:t>
            </w:r>
            <w:r>
              <w:rPr>
                <w:rFonts w:hint="eastAsia"/>
                <w:color w:val="auto"/>
                <w:sz w:val="21"/>
                <w:szCs w:val="21"/>
                <w:highlight w:val="none"/>
              </w:rPr>
              <w:t>）</w:t>
            </w:r>
            <w:r>
              <w:rPr>
                <w:color w:val="auto"/>
                <w:sz w:val="21"/>
                <w:szCs w:val="21"/>
                <w:highlight w:val="none"/>
              </w:rPr>
              <w:t>中的</w:t>
            </w:r>
            <w:r>
              <w:rPr>
                <w:rFonts w:hint="eastAsia"/>
                <w:color w:val="auto"/>
                <w:sz w:val="21"/>
                <w:szCs w:val="21"/>
                <w:highlight w:val="none"/>
                <w:lang w:val="en-US" w:eastAsia="zh-CN"/>
              </w:rPr>
              <w:t>3</w:t>
            </w:r>
            <w:r>
              <w:rPr>
                <w:color w:val="auto"/>
                <w:sz w:val="21"/>
                <w:szCs w:val="21"/>
                <w:highlight w:val="none"/>
              </w:rPr>
              <w:t>类标准</w:t>
            </w:r>
          </w:p>
        </w:tc>
      </w:tr>
    </w:tbl>
    <w:p>
      <w:pPr>
        <w:pStyle w:val="5"/>
        <w:keepNext/>
        <w:keepLines/>
        <w:pageBreakBefore w:val="0"/>
        <w:widowControl/>
        <w:kinsoku/>
        <w:wordWrap/>
        <w:overflowPunct/>
        <w:topLinePunct w:val="0"/>
        <w:autoSpaceDE/>
        <w:autoSpaceDN/>
        <w:bidi w:val="0"/>
        <w:adjustRightInd w:val="0"/>
        <w:snapToGrid w:val="0"/>
        <w:spacing w:before="157" w:beforeLines="50" w:after="0" w:line="360" w:lineRule="auto"/>
        <w:ind w:left="0" w:firstLine="0"/>
        <w:textAlignment w:val="auto"/>
        <w:rPr>
          <w:rFonts w:ascii="Times New Roman" w:hAnsi="Times New Roman" w:eastAsia="宋体"/>
          <w:bCs w:val="0"/>
          <w:color w:val="auto"/>
          <w:kern w:val="0"/>
          <w:sz w:val="28"/>
          <w:szCs w:val="24"/>
          <w:highlight w:val="none"/>
        </w:rPr>
      </w:pPr>
      <w:bookmarkStart w:id="417" w:name="_Toc8597"/>
      <w:bookmarkStart w:id="418" w:name="_Toc21031"/>
      <w:bookmarkStart w:id="419" w:name="_Toc19246"/>
      <w:bookmarkStart w:id="420" w:name="_Toc16979"/>
      <w:bookmarkStart w:id="421" w:name="_Toc16906"/>
      <w:bookmarkStart w:id="422" w:name="_Toc28453"/>
      <w:bookmarkStart w:id="423" w:name="_Toc2538"/>
      <w:bookmarkStart w:id="424" w:name="_Toc19893"/>
      <w:bookmarkStart w:id="425" w:name="_Toc524464466"/>
      <w:bookmarkStart w:id="426" w:name="_Toc6533"/>
      <w:bookmarkStart w:id="427" w:name="_Toc4904"/>
      <w:bookmarkStart w:id="428" w:name="_Toc21494"/>
      <w:bookmarkStart w:id="429" w:name="_Toc7742"/>
      <w:bookmarkStart w:id="430" w:name="_Toc22855"/>
      <w:bookmarkStart w:id="431" w:name="_Toc11539"/>
      <w:bookmarkStart w:id="432" w:name="_Toc370052950"/>
      <w:bookmarkStart w:id="433" w:name="_Toc261943829"/>
      <w:bookmarkStart w:id="434" w:name="_Toc319187796"/>
      <w:bookmarkStart w:id="435" w:name="_Toc308253361"/>
      <w:bookmarkStart w:id="436" w:name="_Toc224388142"/>
      <w:bookmarkStart w:id="437" w:name="_Toc308253172"/>
      <w:r>
        <w:rPr>
          <w:rFonts w:hint="eastAsia" w:ascii="Times New Roman" w:hAnsi="Times New Roman"/>
          <w:bCs w:val="0"/>
          <w:color w:val="auto"/>
          <w:kern w:val="0"/>
          <w:sz w:val="28"/>
          <w:szCs w:val="24"/>
          <w:highlight w:val="none"/>
          <w:lang w:val="en-US" w:eastAsia="zh-CN"/>
        </w:rPr>
        <w:t>8.3</w:t>
      </w:r>
      <w:r>
        <w:rPr>
          <w:rFonts w:hint="eastAsia" w:ascii="Times New Roman" w:hAnsi="Times New Roman" w:eastAsia="宋体"/>
          <w:bCs w:val="0"/>
          <w:color w:val="auto"/>
          <w:kern w:val="0"/>
          <w:sz w:val="28"/>
          <w:szCs w:val="24"/>
          <w:highlight w:val="none"/>
        </w:rPr>
        <w:t>污染物排放清单</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62"/>
        <w:rPr>
          <w:rFonts w:ascii="Times New Roman" w:hAnsi="Times New Roman"/>
          <w:color w:val="auto"/>
          <w:highlight w:val="none"/>
        </w:rPr>
      </w:pPr>
      <w:r>
        <w:rPr>
          <w:rFonts w:ascii="Times New Roman" w:hAnsi="Times New Roman"/>
          <w:color w:val="auto"/>
          <w:highlight w:val="none"/>
        </w:rPr>
        <w:t>排放口信息按照根据国家标准《环境保护图形标志排放口</w:t>
      </w:r>
      <w:r>
        <w:rPr>
          <w:rFonts w:hint="eastAsia" w:ascii="Times New Roman" w:hAnsi="Times New Roman"/>
          <w:color w:val="auto"/>
          <w:highlight w:val="none"/>
        </w:rPr>
        <w:t>（</w:t>
      </w:r>
      <w:r>
        <w:rPr>
          <w:rFonts w:ascii="Times New Roman" w:hAnsi="Times New Roman"/>
          <w:color w:val="auto"/>
          <w:highlight w:val="none"/>
        </w:rPr>
        <w:t>源</w:t>
      </w:r>
      <w:r>
        <w:rPr>
          <w:rFonts w:hint="eastAsia" w:ascii="Times New Roman" w:hAnsi="Times New Roman"/>
          <w:color w:val="auto"/>
          <w:highlight w:val="none"/>
        </w:rPr>
        <w:t>）</w:t>
      </w:r>
      <w:r>
        <w:rPr>
          <w:rFonts w:ascii="Times New Roman" w:hAnsi="Times New Roman"/>
          <w:color w:val="auto"/>
          <w:highlight w:val="none"/>
        </w:rPr>
        <w:t>》和国家环保总局《排污口规范化整治要求</w:t>
      </w:r>
      <w:r>
        <w:rPr>
          <w:rFonts w:hint="eastAsia" w:ascii="Times New Roman" w:hAnsi="Times New Roman"/>
          <w:color w:val="auto"/>
          <w:highlight w:val="none"/>
        </w:rPr>
        <w:t>（</w:t>
      </w:r>
      <w:r>
        <w:rPr>
          <w:rFonts w:ascii="Times New Roman" w:hAnsi="Times New Roman"/>
          <w:color w:val="auto"/>
          <w:highlight w:val="none"/>
        </w:rPr>
        <w:t>试行</w:t>
      </w:r>
      <w:r>
        <w:rPr>
          <w:rFonts w:hint="eastAsia" w:ascii="Times New Roman" w:hAnsi="Times New Roman"/>
          <w:color w:val="auto"/>
          <w:highlight w:val="none"/>
        </w:rPr>
        <w:t>）</w:t>
      </w:r>
      <w:r>
        <w:rPr>
          <w:rFonts w:ascii="Times New Roman" w:hAnsi="Times New Roman"/>
          <w:color w:val="auto"/>
          <w:highlight w:val="none"/>
        </w:rPr>
        <w:t>》的文件要求进行设置，本工程锅炉烟气经</w:t>
      </w:r>
      <w:r>
        <w:rPr>
          <w:rFonts w:hint="eastAsia" w:ascii="Times New Roman" w:hAnsi="Times New Roman"/>
          <w:color w:val="auto"/>
          <w:highlight w:val="none"/>
          <w:lang w:val="en-US" w:eastAsia="zh-CN"/>
        </w:rPr>
        <w:t>45</w:t>
      </w:r>
      <w:r>
        <w:rPr>
          <w:rFonts w:ascii="Times New Roman" w:hAnsi="Times New Roman"/>
          <w:color w:val="auto"/>
          <w:highlight w:val="none"/>
        </w:rPr>
        <w:t>m烟囱排放，</w:t>
      </w:r>
      <w:r>
        <w:rPr>
          <w:rFonts w:hint="eastAsia" w:ascii="Times New Roman" w:hAnsi="Times New Roman"/>
          <w:color w:val="auto"/>
          <w:highlight w:val="none"/>
          <w:lang w:eastAsia="zh-CN"/>
        </w:rPr>
        <w:t>生产</w:t>
      </w:r>
      <w:r>
        <w:rPr>
          <w:rFonts w:ascii="Times New Roman" w:hAnsi="Times New Roman"/>
          <w:color w:val="auto"/>
          <w:highlight w:val="none"/>
        </w:rPr>
        <w:t>废水经处理后全部回用不外排</w:t>
      </w:r>
      <w:r>
        <w:rPr>
          <w:rFonts w:hint="eastAsia" w:ascii="Times New Roman" w:hAnsi="Times New Roman"/>
          <w:color w:val="auto"/>
          <w:highlight w:val="none"/>
          <w:lang w:eastAsia="zh-CN"/>
        </w:rPr>
        <w:t>，生活污水排入市政下水管网</w:t>
      </w:r>
      <w:r>
        <w:rPr>
          <w:rFonts w:ascii="Times New Roman" w:hAnsi="Times New Roman"/>
          <w:color w:val="auto"/>
          <w:highlight w:val="none"/>
        </w:rPr>
        <w:t>。</w:t>
      </w:r>
    </w:p>
    <w:p>
      <w:pPr>
        <w:pStyle w:val="62"/>
        <w:rPr>
          <w:rFonts w:ascii="Times New Roman" w:hAnsi="Times New Roman"/>
          <w:color w:val="auto"/>
          <w:highlight w:val="none"/>
        </w:rPr>
      </w:pPr>
      <w:r>
        <w:rPr>
          <w:color w:val="auto"/>
          <w:highlight w:val="none"/>
        </w:rPr>
        <w:t>本工程污染物排放信息，见</w:t>
      </w:r>
      <w:r>
        <w:rPr>
          <w:rFonts w:ascii="Times New Roman" w:hAnsi="Times New Roman"/>
          <w:color w:val="auto"/>
          <w:highlight w:val="none"/>
        </w:rPr>
        <w:t>表8</w:t>
      </w:r>
      <w:r>
        <w:rPr>
          <w:rFonts w:ascii="Times New Roman" w:hAnsi="Times New Roman" w:eastAsia="TimesNewRomanPSMT"/>
          <w:color w:val="auto"/>
          <w:highlight w:val="none"/>
        </w:rPr>
        <w:t>.</w:t>
      </w:r>
      <w:r>
        <w:rPr>
          <w:rFonts w:hint="eastAsia" w:ascii="Times New Roman" w:hAnsi="Times New Roman"/>
          <w:color w:val="auto"/>
          <w:highlight w:val="none"/>
          <w:lang w:val="en-US" w:eastAsia="zh-CN"/>
        </w:rPr>
        <w:t>3</w:t>
      </w:r>
      <w:r>
        <w:rPr>
          <w:rFonts w:ascii="Times New Roman" w:hAnsi="Times New Roman" w:eastAsia="TimesNewRomanPSMT"/>
          <w:color w:val="auto"/>
          <w:highlight w:val="none"/>
        </w:rPr>
        <w:t>-1</w:t>
      </w:r>
      <w:r>
        <w:rPr>
          <w:rFonts w:ascii="Times New Roman" w:hAnsi="Times New Roman"/>
          <w:color w:val="auto"/>
          <w:highlight w:val="none"/>
        </w:rPr>
        <w:t>。</w:t>
      </w:r>
    </w:p>
    <w:p>
      <w:pPr>
        <w:pStyle w:val="67"/>
        <w:keepNext w:val="0"/>
        <w:keepLines w:val="0"/>
        <w:pageBreakBefore w:val="0"/>
        <w:widowControl/>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color w:val="auto"/>
          <w:sz w:val="21"/>
          <w:szCs w:val="21"/>
          <w:highlight w:val="none"/>
        </w:rPr>
      </w:pPr>
      <w:r>
        <w:rPr>
          <w:color w:val="auto"/>
          <w:sz w:val="21"/>
          <w:szCs w:val="21"/>
          <w:highlight w:val="none"/>
        </w:rPr>
        <w:t>表8.</w:t>
      </w:r>
      <w:r>
        <w:rPr>
          <w:rFonts w:hint="eastAsia"/>
          <w:color w:val="auto"/>
          <w:sz w:val="21"/>
          <w:szCs w:val="21"/>
          <w:highlight w:val="none"/>
          <w:lang w:val="en-US" w:eastAsia="zh-CN"/>
        </w:rPr>
        <w:t>3</w:t>
      </w:r>
      <w:r>
        <w:rPr>
          <w:color w:val="auto"/>
          <w:sz w:val="21"/>
          <w:szCs w:val="21"/>
          <w:highlight w:val="none"/>
        </w:rPr>
        <w:t xml:space="preserve">-1 </w:t>
      </w:r>
      <w:r>
        <w:rPr>
          <w:rFonts w:hint="eastAsia"/>
          <w:color w:val="auto"/>
          <w:sz w:val="21"/>
          <w:szCs w:val="21"/>
          <w:highlight w:val="none"/>
        </w:rPr>
        <w:t xml:space="preserve">    </w:t>
      </w:r>
      <w:r>
        <w:rPr>
          <w:color w:val="auto"/>
          <w:sz w:val="21"/>
          <w:szCs w:val="21"/>
          <w:highlight w:val="none"/>
        </w:rPr>
        <w:t>污染物排放清单</w:t>
      </w:r>
    </w:p>
    <w:tbl>
      <w:tblPr>
        <w:tblStyle w:val="31"/>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3"/>
        <w:gridCol w:w="736"/>
        <w:gridCol w:w="736"/>
        <w:gridCol w:w="793"/>
        <w:gridCol w:w="584"/>
        <w:gridCol w:w="1190"/>
        <w:gridCol w:w="945"/>
        <w:gridCol w:w="855"/>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673"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污染物类型</w:t>
            </w:r>
          </w:p>
        </w:tc>
        <w:tc>
          <w:tcPr>
            <w:tcW w:w="736"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工程组成</w:t>
            </w:r>
          </w:p>
        </w:tc>
        <w:tc>
          <w:tcPr>
            <w:tcW w:w="736"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产污环节</w:t>
            </w:r>
          </w:p>
        </w:tc>
        <w:tc>
          <w:tcPr>
            <w:tcW w:w="793"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污染物类型</w:t>
            </w:r>
          </w:p>
        </w:tc>
        <w:tc>
          <w:tcPr>
            <w:tcW w:w="584"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排放形式</w:t>
            </w:r>
          </w:p>
        </w:tc>
        <w:tc>
          <w:tcPr>
            <w:tcW w:w="1190"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采取的环境保护措施</w:t>
            </w:r>
          </w:p>
        </w:tc>
        <w:tc>
          <w:tcPr>
            <w:tcW w:w="945" w:type="dxa"/>
            <w:vMerge w:val="restar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排放浓度</w:t>
            </w:r>
          </w:p>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（mg/m</w:t>
            </w:r>
            <w:r>
              <w:rPr>
                <w:color w:val="auto"/>
                <w:sz w:val="21"/>
                <w:szCs w:val="21"/>
                <w:highlight w:val="none"/>
                <w:vertAlign w:val="superscript"/>
              </w:rPr>
              <w:t>3</w:t>
            </w:r>
            <w:r>
              <w:rPr>
                <w:color w:val="auto"/>
                <w:sz w:val="21"/>
                <w:szCs w:val="21"/>
                <w:highlight w:val="none"/>
              </w:rPr>
              <w:t>）</w:t>
            </w:r>
          </w:p>
        </w:tc>
        <w:tc>
          <w:tcPr>
            <w:tcW w:w="855" w:type="dxa"/>
            <w:vMerge w:val="restar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排放量（t/a）</w:t>
            </w:r>
          </w:p>
        </w:tc>
        <w:tc>
          <w:tcPr>
            <w:tcW w:w="1832"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7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9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584"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1190"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945"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c>
          <w:tcPr>
            <w:tcW w:w="855"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c>
          <w:tcPr>
            <w:tcW w:w="1832"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673"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大气</w:t>
            </w:r>
          </w:p>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污染物</w:t>
            </w:r>
          </w:p>
        </w:tc>
        <w:tc>
          <w:tcPr>
            <w:tcW w:w="736"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锅炉</w:t>
            </w:r>
          </w:p>
        </w:tc>
        <w:tc>
          <w:tcPr>
            <w:tcW w:w="736"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锅炉</w:t>
            </w:r>
          </w:p>
        </w:tc>
        <w:tc>
          <w:tcPr>
            <w:tcW w:w="793" w:type="dxa"/>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w:t>
            </w:r>
          </w:p>
        </w:tc>
        <w:tc>
          <w:tcPr>
            <w:tcW w:w="584" w:type="dxa"/>
            <w:vMerge w:val="restar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有组织</w:t>
            </w:r>
          </w:p>
        </w:tc>
        <w:tc>
          <w:tcPr>
            <w:tcW w:w="1190" w:type="dxa"/>
            <w:vMerge w:val="restar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Style w:val="90"/>
                <w:rFonts w:hint="default" w:ascii="Times New Roman" w:hAnsi="Times New Roman"/>
                <w:color w:val="auto"/>
                <w:sz w:val="21"/>
                <w:szCs w:val="21"/>
                <w:highlight w:val="none"/>
              </w:rPr>
              <w:t>SNCR+</w:t>
            </w:r>
            <w:r>
              <w:rPr>
                <w:rStyle w:val="90"/>
                <w:rFonts w:hint="default"/>
                <w:color w:val="auto"/>
                <w:sz w:val="21"/>
                <w:szCs w:val="21"/>
                <w:highlight w:val="none"/>
              </w:rPr>
              <w:t>布袋除尘+</w:t>
            </w:r>
            <w:r>
              <w:rPr>
                <w:rStyle w:val="90"/>
                <w:rFonts w:hint="eastAsia"/>
                <w:color w:val="00B050"/>
                <w:sz w:val="21"/>
                <w:szCs w:val="21"/>
                <w:highlight w:val="none"/>
                <w:lang w:eastAsia="zh-CN"/>
              </w:rPr>
              <w:t>石灰石膏法</w:t>
            </w:r>
            <w:r>
              <w:rPr>
                <w:rStyle w:val="90"/>
                <w:rFonts w:hint="default"/>
                <w:color w:val="auto"/>
                <w:sz w:val="21"/>
                <w:szCs w:val="21"/>
                <w:highlight w:val="none"/>
              </w:rPr>
              <w:t>脱硫</w:t>
            </w:r>
          </w:p>
        </w:tc>
        <w:tc>
          <w:tcPr>
            <w:tcW w:w="94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0.753</w:t>
            </w:r>
          </w:p>
        </w:tc>
        <w:tc>
          <w:tcPr>
            <w:tcW w:w="85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0.27</w:t>
            </w:r>
          </w:p>
        </w:tc>
        <w:tc>
          <w:tcPr>
            <w:tcW w:w="1832" w:type="dxa"/>
            <w:vMerge w:val="restar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eastAsia="宋体"/>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火电厂大气污染物排放标准</w:t>
            </w:r>
            <w:r>
              <w:rPr>
                <w:rFonts w:hint="default" w:ascii="Times New Roman" w:hAnsi="Times New Roman" w:cs="Times New Roman"/>
                <w:color w:val="auto"/>
                <w:sz w:val="21"/>
                <w:szCs w:val="21"/>
                <w:highlight w:val="none"/>
              </w:rPr>
              <w:t>》（GB</w:t>
            </w:r>
            <w:r>
              <w:rPr>
                <w:rFonts w:hint="default" w:ascii="Times New Roman" w:hAnsi="Times New Roman" w:cs="Times New Roman"/>
                <w:color w:val="auto"/>
                <w:sz w:val="21"/>
                <w:szCs w:val="21"/>
                <w:highlight w:val="none"/>
                <w:lang w:val="en-US" w:eastAsia="zh-CN"/>
              </w:rPr>
              <w:t>13223</w:t>
            </w:r>
            <w:r>
              <w:rPr>
                <w:rFonts w:hint="default" w:ascii="Times New Roman" w:hAnsi="Times New Roman" w:cs="Times New Roman"/>
                <w:color w:val="auto"/>
                <w:sz w:val="21"/>
                <w:szCs w:val="21"/>
                <w:highlight w:val="none"/>
              </w:rPr>
              <w:t>-201</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表</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火力发电锅炉及燃气轮机组大气污染物排放浓度限值中燃煤锅炉限值要求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67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584"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1190"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94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00B050"/>
                <w:sz w:val="21"/>
                <w:szCs w:val="21"/>
                <w:highlight w:val="none"/>
                <w:lang w:val="en-US" w:eastAsia="zh-CN"/>
              </w:rPr>
              <w:t>21.96</w:t>
            </w:r>
          </w:p>
        </w:tc>
        <w:tc>
          <w:tcPr>
            <w:tcW w:w="85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00B050"/>
                <w:sz w:val="21"/>
                <w:szCs w:val="21"/>
                <w:highlight w:val="none"/>
                <w:lang w:val="en-US" w:eastAsia="zh-CN"/>
              </w:rPr>
              <w:t>7.67</w:t>
            </w:r>
          </w:p>
        </w:tc>
        <w:tc>
          <w:tcPr>
            <w:tcW w:w="1832"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67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NOx</w:t>
            </w:r>
          </w:p>
        </w:tc>
        <w:tc>
          <w:tcPr>
            <w:tcW w:w="584"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1190"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94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85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00B050"/>
                <w:sz w:val="21"/>
                <w:szCs w:val="21"/>
                <w:highlight w:val="none"/>
                <w:lang w:val="en-US" w:eastAsia="zh-CN"/>
              </w:rPr>
              <w:t>20.94</w:t>
            </w:r>
          </w:p>
        </w:tc>
        <w:tc>
          <w:tcPr>
            <w:tcW w:w="1832"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7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汞及其化合物</w:t>
            </w:r>
          </w:p>
        </w:tc>
        <w:tc>
          <w:tcPr>
            <w:tcW w:w="584"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1190"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94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0.00298</w:t>
            </w:r>
          </w:p>
        </w:tc>
        <w:tc>
          <w:tcPr>
            <w:tcW w:w="85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ind w:left="0" w:leftChars="0" w:right="0" w:rightChars="0" w:firstLine="0" w:firstLineChars="0"/>
              <w:jc w:val="center"/>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0.00107</w:t>
            </w:r>
          </w:p>
        </w:tc>
        <w:tc>
          <w:tcPr>
            <w:tcW w:w="1832" w:type="dxa"/>
            <w:vMerge w:val="continue"/>
            <w:noWrap w:val="0"/>
            <w:vAlign w:val="center"/>
          </w:tcPr>
          <w:p>
            <w:pPr>
              <w:pStyle w:val="2"/>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eastAsia="宋体"/>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7" w:hRule="atLeast"/>
          <w:jc w:val="center"/>
        </w:trPr>
        <w:tc>
          <w:tcPr>
            <w:tcW w:w="67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厂区</w:t>
            </w:r>
          </w:p>
        </w:tc>
        <w:tc>
          <w:tcPr>
            <w:tcW w:w="736" w:type="dxa"/>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储煤场</w:t>
            </w:r>
            <w:r>
              <w:rPr>
                <w:rFonts w:hint="eastAsia" w:ascii="Times New Roman" w:hAnsi="Times New Roman" w:eastAsia="宋体" w:cs="Times New Roman"/>
                <w:color w:val="auto"/>
                <w:sz w:val="21"/>
                <w:szCs w:val="21"/>
                <w:highlight w:val="none"/>
                <w:lang w:eastAsia="zh-CN"/>
              </w:rPr>
              <w:t>灰渣场</w:t>
            </w: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颗粒物</w:t>
            </w:r>
          </w:p>
        </w:tc>
        <w:tc>
          <w:tcPr>
            <w:tcW w:w="584" w:type="dxa"/>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无组织</w:t>
            </w:r>
          </w:p>
        </w:tc>
        <w:tc>
          <w:tcPr>
            <w:tcW w:w="1190" w:type="dxa"/>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封闭式储煤场</w:t>
            </w:r>
            <w:r>
              <w:rPr>
                <w:rFonts w:hint="eastAsia" w:ascii="Times New Roman" w:hAnsi="Times New Roman" w:eastAsia="宋体" w:cs="Times New Roman"/>
                <w:color w:val="auto"/>
                <w:sz w:val="21"/>
                <w:szCs w:val="21"/>
                <w:highlight w:val="none"/>
                <w:lang w:eastAsia="zh-CN"/>
              </w:rPr>
              <w:t>、灰渣场</w:t>
            </w:r>
          </w:p>
        </w:tc>
        <w:tc>
          <w:tcPr>
            <w:tcW w:w="94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w:t>
            </w:r>
          </w:p>
        </w:tc>
        <w:tc>
          <w:tcPr>
            <w:tcW w:w="85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eastAsia="zh-CN"/>
              </w:rPr>
              <w:t>0.</w:t>
            </w:r>
            <w:r>
              <w:rPr>
                <w:rFonts w:hint="eastAsia"/>
                <w:color w:val="auto"/>
                <w:sz w:val="21"/>
                <w:szCs w:val="21"/>
                <w:highlight w:val="none"/>
                <w:lang w:val="en-US" w:eastAsia="zh-CN"/>
              </w:rPr>
              <w:t>0.362</w:t>
            </w:r>
          </w:p>
        </w:tc>
        <w:tc>
          <w:tcPr>
            <w:tcW w:w="1832" w:type="dxa"/>
            <w:noWrap w:val="0"/>
            <w:vAlign w:val="center"/>
          </w:tcPr>
          <w:p>
            <w:pPr>
              <w:pStyle w:val="2"/>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eastAsia="宋体"/>
                <w:color w:val="auto"/>
                <w:kern w:val="2"/>
                <w:sz w:val="21"/>
                <w:szCs w:val="21"/>
                <w:highlight w:val="none"/>
                <w:lang w:val="en-US" w:eastAsia="zh-CN"/>
              </w:rPr>
            </w:pPr>
            <w:r>
              <w:rPr>
                <w:rFonts w:ascii="Times New Roman" w:eastAsia="宋体"/>
                <w:color w:val="auto"/>
                <w:kern w:val="2"/>
                <w:sz w:val="21"/>
                <w:szCs w:val="21"/>
                <w:highlight w:val="none"/>
                <w:lang w:val="en-US" w:eastAsia="zh-CN"/>
              </w:rPr>
              <w:t>《大气污染物综合排放标准》（GB16297-1996）</w:t>
            </w:r>
            <w:r>
              <w:rPr>
                <w:rFonts w:hint="eastAsia" w:ascii="Times New Roman" w:eastAsia="宋体"/>
                <w:color w:val="auto"/>
                <w:kern w:val="2"/>
                <w:sz w:val="21"/>
                <w:szCs w:val="21"/>
                <w:highlight w:val="none"/>
                <w:lang w:val="en-US" w:eastAsia="zh-CN"/>
              </w:rPr>
              <w:t>表2</w:t>
            </w:r>
            <w:r>
              <w:rPr>
                <w:rFonts w:ascii="Times New Roman" w:eastAsia="宋体"/>
                <w:color w:val="auto"/>
                <w:kern w:val="2"/>
                <w:sz w:val="21"/>
                <w:szCs w:val="21"/>
                <w:highlight w:val="none"/>
                <w:lang w:val="en-US" w:eastAsia="zh-CN"/>
              </w:rPr>
              <w:t>中颗粒物无组织排放限值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0" w:hRule="atLeast"/>
          <w:jc w:val="center"/>
        </w:trPr>
        <w:tc>
          <w:tcPr>
            <w:tcW w:w="673" w:type="dxa"/>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水污</w:t>
            </w:r>
          </w:p>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染物</w:t>
            </w: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生产废水</w:t>
            </w: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color w:val="auto"/>
                <w:sz w:val="21"/>
                <w:szCs w:val="21"/>
                <w:highlight w:val="none"/>
              </w:rPr>
            </w:pPr>
            <w:r>
              <w:rPr>
                <w:rFonts w:hint="eastAsia"/>
                <w:color w:val="auto"/>
                <w:sz w:val="21"/>
                <w:szCs w:val="21"/>
                <w:highlight w:val="none"/>
              </w:rPr>
              <w:t>生产废水</w:t>
            </w: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pH、SS、</w:t>
            </w:r>
          </w:p>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COD类等</w:t>
            </w:r>
          </w:p>
        </w:tc>
        <w:tc>
          <w:tcPr>
            <w:tcW w:w="584" w:type="dxa"/>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不外排</w:t>
            </w:r>
          </w:p>
        </w:tc>
        <w:tc>
          <w:tcPr>
            <w:tcW w:w="1190"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锅炉外排水、锅炉软化水经沉淀池处理后全部用于厂区的除渣系统</w:t>
            </w:r>
          </w:p>
        </w:tc>
        <w:tc>
          <w:tcPr>
            <w:tcW w:w="94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w:t>
            </w:r>
          </w:p>
        </w:tc>
        <w:tc>
          <w:tcPr>
            <w:tcW w:w="85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w:t>
            </w:r>
          </w:p>
        </w:tc>
        <w:tc>
          <w:tcPr>
            <w:tcW w:w="1832"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73" w:type="dxa"/>
            <w:vMerge w:val="restart"/>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固体废物（产生量）</w:t>
            </w: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eastAsia="宋体"/>
                <w:color w:val="auto"/>
                <w:spacing w:val="-5"/>
                <w:sz w:val="21"/>
                <w:szCs w:val="21"/>
                <w:highlight w:val="none"/>
                <w:lang w:eastAsia="zh-CN"/>
              </w:rPr>
            </w:pPr>
            <w:r>
              <w:rPr>
                <w:rFonts w:hint="eastAsia"/>
                <w:color w:val="auto"/>
                <w:spacing w:val="-5"/>
                <w:sz w:val="21"/>
                <w:szCs w:val="21"/>
                <w:highlight w:val="none"/>
                <w:lang w:eastAsia="zh-CN"/>
              </w:rPr>
              <w:t>脱硫渣</w:t>
            </w: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color w:val="auto"/>
                <w:sz w:val="21"/>
                <w:szCs w:val="21"/>
                <w:highlight w:val="none"/>
              </w:rPr>
            </w:pPr>
            <w:r>
              <w:rPr>
                <w:rFonts w:hint="eastAsia"/>
                <w:color w:val="auto"/>
                <w:sz w:val="21"/>
                <w:szCs w:val="21"/>
                <w:highlight w:val="none"/>
              </w:rPr>
              <w:t>脱硫</w:t>
            </w: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一般固废</w:t>
            </w:r>
          </w:p>
        </w:tc>
        <w:tc>
          <w:tcPr>
            <w:tcW w:w="584"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一般固废</w:t>
            </w:r>
          </w:p>
        </w:tc>
        <w:tc>
          <w:tcPr>
            <w:tcW w:w="1190" w:type="dxa"/>
            <w:vMerge w:val="restar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外售建材生产企业</w:t>
            </w:r>
          </w:p>
        </w:tc>
        <w:tc>
          <w:tcPr>
            <w:tcW w:w="94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w:t>
            </w:r>
          </w:p>
        </w:tc>
        <w:tc>
          <w:tcPr>
            <w:tcW w:w="85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0</w:t>
            </w:r>
          </w:p>
        </w:tc>
        <w:tc>
          <w:tcPr>
            <w:tcW w:w="1832" w:type="dxa"/>
            <w:vMerge w:val="restart"/>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《一般工业固体废物贮存和填埋污染控制标准》（GB18599-2020））中相关标准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7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pacing w:val="-5"/>
                <w:sz w:val="21"/>
                <w:szCs w:val="21"/>
                <w:highlight w:val="none"/>
              </w:rPr>
            </w:pPr>
            <w:r>
              <w:rPr>
                <w:rFonts w:hint="eastAsia"/>
                <w:color w:val="auto"/>
                <w:spacing w:val="-5"/>
                <w:sz w:val="21"/>
                <w:szCs w:val="21"/>
                <w:highlight w:val="none"/>
              </w:rPr>
              <w:t>灰</w:t>
            </w:r>
            <w:r>
              <w:rPr>
                <w:color w:val="auto"/>
                <w:spacing w:val="-5"/>
                <w:sz w:val="21"/>
                <w:szCs w:val="21"/>
                <w:highlight w:val="none"/>
              </w:rPr>
              <w:t>渣</w:t>
            </w: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color w:val="auto"/>
                <w:sz w:val="21"/>
                <w:szCs w:val="21"/>
                <w:highlight w:val="none"/>
              </w:rPr>
            </w:pPr>
            <w:r>
              <w:rPr>
                <w:rFonts w:hint="eastAsia"/>
                <w:color w:val="auto"/>
                <w:sz w:val="21"/>
                <w:szCs w:val="21"/>
                <w:highlight w:val="none"/>
              </w:rPr>
              <w:t>锅炉燃烧</w:t>
            </w: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一般固废</w:t>
            </w:r>
          </w:p>
        </w:tc>
        <w:tc>
          <w:tcPr>
            <w:tcW w:w="584"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一般固废</w:t>
            </w:r>
          </w:p>
        </w:tc>
        <w:tc>
          <w:tcPr>
            <w:tcW w:w="1190"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c>
          <w:tcPr>
            <w:tcW w:w="94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w:t>
            </w:r>
          </w:p>
        </w:tc>
        <w:tc>
          <w:tcPr>
            <w:tcW w:w="85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0</w:t>
            </w:r>
          </w:p>
        </w:tc>
        <w:tc>
          <w:tcPr>
            <w:tcW w:w="1832"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7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pacing w:val="-5"/>
                <w:sz w:val="21"/>
                <w:szCs w:val="21"/>
                <w:highlight w:val="none"/>
              </w:rPr>
            </w:pPr>
            <w:r>
              <w:rPr>
                <w:rFonts w:hint="eastAsia"/>
                <w:color w:val="auto"/>
                <w:spacing w:val="-5"/>
                <w:sz w:val="21"/>
                <w:szCs w:val="21"/>
                <w:highlight w:val="none"/>
              </w:rPr>
              <w:t>废</w:t>
            </w:r>
            <w:r>
              <w:rPr>
                <w:color w:val="auto"/>
                <w:spacing w:val="-5"/>
                <w:sz w:val="21"/>
                <w:szCs w:val="21"/>
                <w:highlight w:val="none"/>
              </w:rPr>
              <w:t>离子交换树脂</w:t>
            </w: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color w:val="auto"/>
                <w:sz w:val="21"/>
                <w:szCs w:val="21"/>
                <w:highlight w:val="none"/>
              </w:rPr>
            </w:pPr>
            <w:r>
              <w:rPr>
                <w:rFonts w:hint="eastAsia"/>
                <w:color w:val="auto"/>
                <w:sz w:val="21"/>
                <w:szCs w:val="21"/>
                <w:highlight w:val="none"/>
              </w:rPr>
              <w:t>水处理设施</w:t>
            </w: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一般固废</w:t>
            </w:r>
          </w:p>
        </w:tc>
        <w:tc>
          <w:tcPr>
            <w:tcW w:w="584"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一般固废</w:t>
            </w:r>
          </w:p>
        </w:tc>
        <w:tc>
          <w:tcPr>
            <w:tcW w:w="1190"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厂家回收</w:t>
            </w:r>
          </w:p>
        </w:tc>
        <w:tc>
          <w:tcPr>
            <w:tcW w:w="94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w:t>
            </w:r>
          </w:p>
        </w:tc>
        <w:tc>
          <w:tcPr>
            <w:tcW w:w="85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0.25</w:t>
            </w:r>
          </w:p>
        </w:tc>
        <w:tc>
          <w:tcPr>
            <w:tcW w:w="1832"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73" w:type="dxa"/>
            <w:vMerge w:val="continue"/>
            <w:noWrap w:val="0"/>
            <w:vAlign w:val="center"/>
          </w:tcPr>
          <w:p>
            <w:pPr>
              <w:pStyle w:val="65"/>
              <w:keepNext w:val="0"/>
              <w:keepLines w:val="0"/>
              <w:pageBreakBefore w:val="0"/>
              <w:kinsoku/>
              <w:wordWrap/>
              <w:overflowPunct/>
              <w:topLinePunct w:val="0"/>
              <w:bidi w:val="0"/>
              <w:adjustRightInd w:val="0"/>
              <w:snapToGrid w:val="0"/>
              <w:spacing w:line="320" w:lineRule="exact"/>
              <w:ind w:firstLine="0" w:firstLineChars="0"/>
              <w:jc w:val="center"/>
              <w:rPr>
                <w:rFonts w:ascii="Times New Roman" w:hAnsi="Times New Roman" w:eastAsia="宋体" w:cs="Times New Roman"/>
                <w:color w:val="auto"/>
                <w:sz w:val="21"/>
                <w:szCs w:val="21"/>
                <w:highlight w:val="none"/>
              </w:rPr>
            </w:pP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pacing w:val="-5"/>
                <w:sz w:val="21"/>
                <w:szCs w:val="21"/>
                <w:highlight w:val="none"/>
              </w:rPr>
            </w:pPr>
            <w:r>
              <w:rPr>
                <w:rFonts w:hint="eastAsia"/>
                <w:color w:val="auto"/>
                <w:spacing w:val="-5"/>
                <w:sz w:val="21"/>
                <w:szCs w:val="21"/>
                <w:highlight w:val="none"/>
                <w:lang w:val="de-DE"/>
              </w:rPr>
              <w:t>废弃滤袋</w:t>
            </w: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color w:val="auto"/>
                <w:sz w:val="21"/>
                <w:szCs w:val="21"/>
                <w:highlight w:val="none"/>
              </w:rPr>
            </w:pPr>
            <w:r>
              <w:rPr>
                <w:rFonts w:hint="eastAsia"/>
                <w:color w:val="auto"/>
                <w:sz w:val="21"/>
                <w:szCs w:val="21"/>
                <w:highlight w:val="none"/>
              </w:rPr>
              <w:t>布袋除尘器</w:t>
            </w: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一般固废</w:t>
            </w:r>
          </w:p>
        </w:tc>
        <w:tc>
          <w:tcPr>
            <w:tcW w:w="584"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w:t>
            </w:r>
          </w:p>
        </w:tc>
        <w:tc>
          <w:tcPr>
            <w:tcW w:w="1190"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厂家回收</w:t>
            </w:r>
          </w:p>
        </w:tc>
        <w:tc>
          <w:tcPr>
            <w:tcW w:w="94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w:t>
            </w:r>
          </w:p>
        </w:tc>
        <w:tc>
          <w:tcPr>
            <w:tcW w:w="85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0</w:t>
            </w:r>
            <w:r>
              <w:rPr>
                <w:rFonts w:hint="eastAsia"/>
                <w:color w:val="auto"/>
                <w:sz w:val="21"/>
                <w:szCs w:val="21"/>
                <w:highlight w:val="none"/>
              </w:rPr>
              <w:t>.02</w:t>
            </w:r>
          </w:p>
        </w:tc>
        <w:tc>
          <w:tcPr>
            <w:tcW w:w="1832"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2" w:hRule="atLeast"/>
          <w:jc w:val="center"/>
        </w:trPr>
        <w:tc>
          <w:tcPr>
            <w:tcW w:w="673" w:type="dxa"/>
            <w:vMerge w:val="continue"/>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废润滑油</w:t>
            </w:r>
          </w:p>
        </w:tc>
        <w:tc>
          <w:tcPr>
            <w:tcW w:w="736"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rFonts w:hint="eastAsia"/>
                <w:color w:val="auto"/>
                <w:sz w:val="21"/>
                <w:szCs w:val="21"/>
                <w:highlight w:val="none"/>
              </w:rPr>
              <w:t>维修</w:t>
            </w:r>
          </w:p>
        </w:tc>
        <w:tc>
          <w:tcPr>
            <w:tcW w:w="793"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危险废物</w:t>
            </w:r>
          </w:p>
        </w:tc>
        <w:tc>
          <w:tcPr>
            <w:tcW w:w="584"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危险废物</w:t>
            </w:r>
          </w:p>
        </w:tc>
        <w:tc>
          <w:tcPr>
            <w:tcW w:w="1190"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交有资质单位处置</w:t>
            </w:r>
          </w:p>
        </w:tc>
        <w:tc>
          <w:tcPr>
            <w:tcW w:w="94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w:t>
            </w:r>
          </w:p>
        </w:tc>
        <w:tc>
          <w:tcPr>
            <w:tcW w:w="855"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rFonts w:hint="eastAsia" w:eastAsia="宋体"/>
                <w:color w:val="auto"/>
                <w:sz w:val="21"/>
                <w:szCs w:val="21"/>
                <w:highlight w:val="none"/>
                <w:lang w:eastAsia="zh-CN"/>
              </w:rPr>
            </w:pPr>
            <w:r>
              <w:rPr>
                <w:color w:val="auto"/>
                <w:sz w:val="21"/>
                <w:szCs w:val="21"/>
                <w:highlight w:val="none"/>
              </w:rPr>
              <w:t>0</w:t>
            </w:r>
            <w:r>
              <w:rPr>
                <w:rFonts w:hint="eastAsia"/>
                <w:color w:val="auto"/>
                <w:sz w:val="21"/>
                <w:szCs w:val="21"/>
                <w:highlight w:val="none"/>
              </w:rPr>
              <w:t>.</w:t>
            </w:r>
            <w:r>
              <w:rPr>
                <w:rFonts w:hint="eastAsia"/>
                <w:color w:val="auto"/>
                <w:sz w:val="21"/>
                <w:szCs w:val="21"/>
                <w:highlight w:val="none"/>
                <w:lang w:val="en-US" w:eastAsia="zh-CN"/>
              </w:rPr>
              <w:t>2</w:t>
            </w:r>
          </w:p>
        </w:tc>
        <w:tc>
          <w:tcPr>
            <w:tcW w:w="1832" w:type="dxa"/>
            <w:noWrap w:val="0"/>
            <w:vAlign w:val="center"/>
          </w:tcPr>
          <w:p>
            <w:pPr>
              <w:keepNext w:val="0"/>
              <w:keepLines w:val="0"/>
              <w:pageBreakBefore w:val="0"/>
              <w:kinsoku/>
              <w:wordWrap/>
              <w:overflowPunct/>
              <w:topLinePunct w:val="0"/>
              <w:bidi w:val="0"/>
              <w:adjustRightInd w:val="0"/>
              <w:snapToGrid w:val="0"/>
              <w:spacing w:line="320" w:lineRule="exact"/>
              <w:ind w:firstLine="0" w:firstLineChars="0"/>
              <w:jc w:val="center"/>
              <w:rPr>
                <w:color w:val="auto"/>
                <w:sz w:val="21"/>
                <w:szCs w:val="21"/>
                <w:highlight w:val="none"/>
              </w:rPr>
            </w:pPr>
            <w:r>
              <w:rPr>
                <w:color w:val="auto"/>
                <w:sz w:val="21"/>
                <w:szCs w:val="21"/>
                <w:highlight w:val="none"/>
              </w:rPr>
              <w:t>《危险废物贮存污染控制标准》（GB18597-20</w:t>
            </w:r>
            <w:r>
              <w:rPr>
                <w:rFonts w:hint="eastAsia"/>
                <w:color w:val="auto"/>
                <w:sz w:val="21"/>
                <w:szCs w:val="21"/>
                <w:highlight w:val="none"/>
                <w:lang w:val="en-US" w:eastAsia="zh-CN"/>
              </w:rPr>
              <w:t>23</w:t>
            </w:r>
            <w:r>
              <w:rPr>
                <w:color w:val="auto"/>
                <w:sz w:val="21"/>
                <w:szCs w:val="21"/>
                <w:highlight w:val="none"/>
              </w:rPr>
              <w:t>）</w:t>
            </w:r>
          </w:p>
        </w:tc>
      </w:tr>
    </w:tbl>
    <w:p>
      <w:pPr>
        <w:pStyle w:val="5"/>
        <w:keepNext/>
        <w:keepLines/>
        <w:pageBreakBefore w:val="0"/>
        <w:widowControl/>
        <w:kinsoku/>
        <w:wordWrap/>
        <w:overflowPunct/>
        <w:topLinePunct w:val="0"/>
        <w:autoSpaceDE/>
        <w:autoSpaceDN/>
        <w:bidi w:val="0"/>
        <w:adjustRightInd w:val="0"/>
        <w:snapToGrid w:val="0"/>
        <w:spacing w:before="157" w:beforeLines="50" w:after="0" w:line="360" w:lineRule="auto"/>
        <w:ind w:left="0" w:firstLine="0"/>
        <w:textAlignment w:val="auto"/>
        <w:rPr>
          <w:rFonts w:ascii="Times New Roman" w:hAnsi="Times New Roman" w:eastAsia="宋体"/>
          <w:bCs w:val="0"/>
          <w:color w:val="auto"/>
          <w:kern w:val="0"/>
          <w:sz w:val="28"/>
          <w:szCs w:val="24"/>
          <w:highlight w:val="none"/>
        </w:rPr>
      </w:pPr>
      <w:bookmarkStart w:id="438" w:name="_Toc2908"/>
      <w:bookmarkStart w:id="439" w:name="_Toc18218"/>
      <w:bookmarkStart w:id="440" w:name="_Toc3878"/>
      <w:bookmarkStart w:id="441" w:name="_Toc27892"/>
      <w:bookmarkStart w:id="442" w:name="_Toc26255"/>
      <w:bookmarkStart w:id="443" w:name="_Toc2283"/>
      <w:bookmarkStart w:id="444" w:name="_Toc25460"/>
      <w:bookmarkStart w:id="445" w:name="_Toc9781"/>
      <w:bookmarkStart w:id="446" w:name="_Toc16243"/>
      <w:bookmarkStart w:id="447" w:name="_Toc20980"/>
      <w:bookmarkStart w:id="448" w:name="_Toc21469"/>
      <w:bookmarkStart w:id="449" w:name="_Toc31181"/>
      <w:bookmarkStart w:id="450" w:name="_Toc31440"/>
      <w:bookmarkStart w:id="451" w:name="_Toc6350"/>
      <w:bookmarkStart w:id="452" w:name="_Toc8433"/>
      <w:r>
        <w:rPr>
          <w:rFonts w:hint="eastAsia" w:ascii="Times New Roman" w:hAnsi="Times New Roman"/>
          <w:bCs w:val="0"/>
          <w:color w:val="auto"/>
          <w:kern w:val="0"/>
          <w:sz w:val="28"/>
          <w:szCs w:val="24"/>
          <w:highlight w:val="none"/>
          <w:lang w:val="en-US" w:eastAsia="zh-CN"/>
        </w:rPr>
        <w:t>8.4</w:t>
      </w:r>
      <w:r>
        <w:rPr>
          <w:rFonts w:hint="eastAsia" w:ascii="Times New Roman" w:hAnsi="Times New Roman" w:eastAsia="宋体"/>
          <w:bCs w:val="0"/>
          <w:color w:val="auto"/>
          <w:kern w:val="0"/>
          <w:sz w:val="28"/>
          <w:szCs w:val="24"/>
          <w:highlight w:val="none"/>
        </w:rPr>
        <w:t>竣工验收管理</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bidi w:val="0"/>
        <w:rPr>
          <w:rFonts w:hint="eastAsia"/>
          <w:color w:val="0000FF"/>
          <w:highlight w:val="none"/>
        </w:rPr>
      </w:pPr>
      <w:bookmarkStart w:id="453" w:name="_Toc287434044"/>
      <w:bookmarkStart w:id="454" w:name="_Toc287433174"/>
      <w:bookmarkStart w:id="455" w:name="_Toc287434246"/>
      <w:r>
        <w:rPr>
          <w:rFonts w:hint="eastAsia"/>
          <w:color w:val="0000FF"/>
          <w:highlight w:val="none"/>
        </w:rPr>
        <w:t>（1）环境工程设计</w:t>
      </w:r>
    </w:p>
    <w:p>
      <w:pPr>
        <w:bidi w:val="0"/>
        <w:rPr>
          <w:rFonts w:hint="eastAsia"/>
          <w:color w:val="0000FF"/>
          <w:highlight w:val="none"/>
        </w:rPr>
      </w:pPr>
      <w:r>
        <w:rPr>
          <w:rFonts w:hint="eastAsia"/>
          <w:color w:val="0000FF"/>
          <w:highlight w:val="none"/>
        </w:rPr>
        <w:t>①必须按照环评文件及批复要求，落实项目环境工程设计，确保“三废”稳定达标排放；按要求制定环境风险事故应急预案。</w:t>
      </w:r>
    </w:p>
    <w:p>
      <w:pPr>
        <w:bidi w:val="0"/>
        <w:rPr>
          <w:rFonts w:hint="eastAsia"/>
          <w:color w:val="0000FF"/>
          <w:highlight w:val="none"/>
        </w:rPr>
      </w:pPr>
      <w:r>
        <w:rPr>
          <w:rFonts w:hint="eastAsia"/>
          <w:color w:val="0000FF"/>
          <w:highlight w:val="none"/>
        </w:rPr>
        <w:t>②建立健全环境管理组织机构、各项环保规章制度。</w:t>
      </w:r>
    </w:p>
    <w:p>
      <w:pPr>
        <w:bidi w:val="0"/>
        <w:rPr>
          <w:rFonts w:hint="eastAsia"/>
          <w:color w:val="0000FF"/>
          <w:highlight w:val="none"/>
        </w:rPr>
      </w:pPr>
      <w:r>
        <w:rPr>
          <w:rFonts w:hint="eastAsia"/>
          <w:color w:val="0000FF"/>
          <w:highlight w:val="none"/>
        </w:rPr>
        <w:t>③项目污染防治设施必须与主体工程“三同时”。</w:t>
      </w:r>
    </w:p>
    <w:p>
      <w:pPr>
        <w:bidi w:val="0"/>
        <w:rPr>
          <w:rFonts w:hint="eastAsia"/>
          <w:color w:val="0000FF"/>
          <w:highlight w:val="none"/>
        </w:rPr>
      </w:pPr>
      <w:r>
        <w:rPr>
          <w:rFonts w:hint="eastAsia"/>
          <w:color w:val="0000FF"/>
          <w:highlight w:val="none"/>
        </w:rPr>
        <w:t>（2）环境设施验收建议</w:t>
      </w:r>
    </w:p>
    <w:p>
      <w:pPr>
        <w:bidi w:val="0"/>
        <w:rPr>
          <w:rFonts w:hint="eastAsia"/>
          <w:color w:val="0000FF"/>
          <w:highlight w:val="none"/>
        </w:rPr>
      </w:pPr>
      <w:r>
        <w:rPr>
          <w:rFonts w:hint="eastAsia"/>
          <w:color w:val="0000FF"/>
          <w:highlight w:val="none"/>
        </w:rPr>
        <w:t>①验收范围</w:t>
      </w:r>
    </w:p>
    <w:p>
      <w:pPr>
        <w:bidi w:val="0"/>
        <w:rPr>
          <w:rFonts w:hint="eastAsia"/>
          <w:color w:val="0000FF"/>
          <w:highlight w:val="none"/>
        </w:rPr>
      </w:pPr>
      <w:r>
        <w:rPr>
          <w:rFonts w:hint="eastAsia"/>
          <w:color w:val="0000FF"/>
          <w:highlight w:val="none"/>
        </w:rPr>
        <w:t>与项目有关的各项环保设施，包括为防治污染和保护环境所配套建成的治理工程、设备和装置，以及各项生态保护设施等；环评文件及批复文件和有关设计文件规定应采取的环保措施。</w:t>
      </w:r>
    </w:p>
    <w:p>
      <w:pPr>
        <w:bidi w:val="0"/>
        <w:rPr>
          <w:rFonts w:hint="eastAsia"/>
          <w:color w:val="0000FF"/>
          <w:highlight w:val="none"/>
        </w:rPr>
      </w:pPr>
      <w:r>
        <w:rPr>
          <w:rFonts w:hint="eastAsia"/>
          <w:color w:val="0000FF"/>
          <w:highlight w:val="none"/>
        </w:rPr>
        <w:t>②验收条件</w:t>
      </w:r>
    </w:p>
    <w:p>
      <w:pPr>
        <w:bidi w:val="0"/>
        <w:rPr>
          <w:rFonts w:hint="eastAsia"/>
          <w:color w:val="0000FF"/>
          <w:highlight w:val="none"/>
        </w:rPr>
      </w:pPr>
      <w:r>
        <w:rPr>
          <w:rFonts w:hint="eastAsia"/>
          <w:color w:val="0000FF"/>
          <w:highlight w:val="none"/>
        </w:rPr>
        <w:t>根据《建设项目环境保护管理条例》（国务院令682号）中有关规定，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w:t>
      </w:r>
    </w:p>
    <w:p>
      <w:pPr>
        <w:bidi w:val="0"/>
        <w:rPr>
          <w:rFonts w:hint="eastAsia"/>
          <w:color w:val="0000FF"/>
          <w:highlight w:val="none"/>
        </w:rPr>
      </w:pPr>
      <w:r>
        <w:rPr>
          <w:rFonts w:hint="eastAsia"/>
          <w:color w:val="0000FF"/>
          <w:highlight w:val="none"/>
        </w:rPr>
        <w:t>建设单位对项目进行自主验收，建设单位或者其委托的第三方技术机构应当依照国家有关法律法规及相关技术规范等要求，编制竣工环境保护验收报告，验收报告编制完成后，建设单位应组织成立验收工作组。除按照国家规定需要保密的情形外，建设单位应当依法向社会公开验收报告。编制环境影响报告书、环境影响报告表的建设项目，其配套建设的环境保护设施经验收合格，方可投入生产或者使用；未经验收或者验收不合格的，不得投入生产或者使用。</w:t>
      </w:r>
    </w:p>
    <w:p>
      <w:pPr>
        <w:bidi w:val="0"/>
        <w:rPr>
          <w:rFonts w:hint="eastAsia"/>
          <w:color w:val="0000FF"/>
          <w:highlight w:val="none"/>
        </w:rPr>
      </w:pPr>
      <w:r>
        <w:rPr>
          <w:rFonts w:hint="eastAsia"/>
          <w:color w:val="0000FF"/>
          <w:highlight w:val="none"/>
        </w:rPr>
        <w:t>③建设项目环境保护“三同时”验收内容</w:t>
      </w:r>
    </w:p>
    <w:p>
      <w:pPr>
        <w:bidi w:val="0"/>
        <w:rPr>
          <w:color w:val="0000FF"/>
          <w:highlight w:val="none"/>
        </w:rPr>
      </w:pPr>
      <w:r>
        <w:rPr>
          <w:rFonts w:hint="eastAsia"/>
          <w:color w:val="0000FF"/>
          <w:highlight w:val="none"/>
        </w:rPr>
        <w:t>根据建设项目“三同时”原则，在项目建设过程中，环境污染防治设施与主体工程同时设计、同时施工、同时投入使用，项目建成运行时，应对环保设施进行验收，验收清单见</w:t>
      </w:r>
      <w:r>
        <w:rPr>
          <w:color w:val="0000FF"/>
          <w:highlight w:val="none"/>
        </w:rPr>
        <w:t>表8.</w:t>
      </w:r>
      <w:r>
        <w:rPr>
          <w:rFonts w:hint="eastAsia"/>
          <w:color w:val="0000FF"/>
          <w:highlight w:val="none"/>
          <w:lang w:val="en-US" w:eastAsia="zh-CN"/>
        </w:rPr>
        <w:t>4</w:t>
      </w:r>
      <w:r>
        <w:rPr>
          <w:color w:val="0000FF"/>
          <w:highlight w:val="none"/>
        </w:rPr>
        <w:t>-1。</w:t>
      </w:r>
    </w:p>
    <w:bookmarkEnd w:id="453"/>
    <w:bookmarkEnd w:id="454"/>
    <w:bookmarkEnd w:id="455"/>
    <w:p>
      <w:pPr>
        <w:pStyle w:val="67"/>
        <w:keepNext w:val="0"/>
        <w:keepLines w:val="0"/>
        <w:pageBreakBefore w:val="0"/>
        <w:widowControl/>
        <w:kinsoku/>
        <w:wordWrap/>
        <w:overflowPunct/>
        <w:topLinePunct w:val="0"/>
        <w:autoSpaceDE/>
        <w:autoSpaceDN/>
        <w:bidi w:val="0"/>
        <w:adjustRightInd w:val="0"/>
        <w:snapToGrid w:val="0"/>
        <w:spacing w:before="157" w:beforeLines="50" w:line="240" w:lineRule="auto"/>
        <w:ind w:firstLine="0" w:firstLineChars="0"/>
        <w:textAlignment w:val="auto"/>
        <w:rPr>
          <w:color w:val="auto"/>
          <w:sz w:val="21"/>
          <w:szCs w:val="21"/>
          <w:highlight w:val="none"/>
        </w:rPr>
      </w:pPr>
      <w:r>
        <w:rPr>
          <w:color w:val="auto"/>
          <w:sz w:val="21"/>
          <w:szCs w:val="21"/>
          <w:highlight w:val="none"/>
        </w:rPr>
        <w:t>表8.</w:t>
      </w:r>
      <w:r>
        <w:rPr>
          <w:rFonts w:hint="eastAsia"/>
          <w:color w:val="auto"/>
          <w:sz w:val="21"/>
          <w:szCs w:val="21"/>
          <w:highlight w:val="none"/>
          <w:lang w:val="en-US" w:eastAsia="zh-CN"/>
        </w:rPr>
        <w:t>4</w:t>
      </w:r>
      <w:r>
        <w:rPr>
          <w:color w:val="auto"/>
          <w:sz w:val="21"/>
          <w:szCs w:val="21"/>
          <w:highlight w:val="none"/>
        </w:rPr>
        <w:t xml:space="preserve">-1   </w:t>
      </w:r>
      <w:r>
        <w:rPr>
          <w:rFonts w:hint="eastAsia"/>
          <w:color w:val="auto"/>
          <w:sz w:val="21"/>
          <w:szCs w:val="21"/>
          <w:highlight w:val="none"/>
        </w:rPr>
        <w:t xml:space="preserve"> </w:t>
      </w:r>
      <w:r>
        <w:rPr>
          <w:color w:val="auto"/>
          <w:sz w:val="21"/>
          <w:szCs w:val="21"/>
          <w:highlight w:val="none"/>
        </w:rPr>
        <w:t>环保设施“三同时”验收一览表</w:t>
      </w:r>
    </w:p>
    <w:tbl>
      <w:tblPr>
        <w:tblStyle w:val="31"/>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543"/>
        <w:gridCol w:w="1000"/>
        <w:gridCol w:w="2064"/>
        <w:gridCol w:w="679"/>
        <w:gridCol w:w="679"/>
        <w:gridCol w:w="3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6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类别</w:t>
            </w: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污染因子</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主要环保措施</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数量</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监测点位</w:t>
            </w:r>
          </w:p>
        </w:tc>
        <w:tc>
          <w:tcPr>
            <w:tcW w:w="308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b/>
                <w:bCs/>
                <w:color w:val="auto"/>
                <w:sz w:val="21"/>
                <w:szCs w:val="21"/>
                <w:highlight w:val="none"/>
                <w:lang w:val="en-US" w:eastAsia="zh-CN"/>
              </w:rPr>
            </w:pPr>
            <w:r>
              <w:rPr>
                <w:rFonts w:ascii="Times New Roman" w:hAnsi="Times New Roman"/>
                <w:b/>
                <w:bCs/>
                <w:color w:val="auto"/>
                <w:sz w:val="21"/>
                <w:szCs w:val="21"/>
                <w:highlight w:val="none"/>
                <w:lang w:val="en-US"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3"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废气</w:t>
            </w:r>
          </w:p>
        </w:tc>
        <w:tc>
          <w:tcPr>
            <w:tcW w:w="543"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锅炉烟气</w:t>
            </w:r>
          </w:p>
        </w:tc>
        <w:tc>
          <w:tcPr>
            <w:tcW w:w="1000"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颗粒物</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布袋除尘器</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1套</w:t>
            </w:r>
          </w:p>
        </w:tc>
        <w:tc>
          <w:tcPr>
            <w:tcW w:w="679"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废气排放口DA001</w:t>
            </w:r>
          </w:p>
        </w:tc>
        <w:tc>
          <w:tcPr>
            <w:tcW w:w="308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火电厂大气污染物排放标准</w:t>
            </w:r>
            <w:r>
              <w:rPr>
                <w:rFonts w:hint="default" w:ascii="Times New Roman" w:hAnsi="Times New Roman" w:cs="Times New Roman"/>
                <w:color w:val="auto"/>
                <w:sz w:val="21"/>
                <w:szCs w:val="21"/>
                <w:highlight w:val="none"/>
              </w:rPr>
              <w:t>》（GB</w:t>
            </w:r>
            <w:r>
              <w:rPr>
                <w:rFonts w:hint="default" w:ascii="Times New Roman" w:hAnsi="Times New Roman" w:cs="Times New Roman"/>
                <w:color w:val="auto"/>
                <w:sz w:val="21"/>
                <w:szCs w:val="21"/>
                <w:highlight w:val="none"/>
                <w:lang w:val="en-US" w:eastAsia="zh-CN"/>
              </w:rPr>
              <w:t>13223</w:t>
            </w:r>
            <w:r>
              <w:rPr>
                <w:rFonts w:hint="default" w:ascii="Times New Roman" w:hAnsi="Times New Roman" w:cs="Times New Roman"/>
                <w:color w:val="auto"/>
                <w:sz w:val="21"/>
                <w:szCs w:val="21"/>
                <w:highlight w:val="none"/>
              </w:rPr>
              <w:t>-201</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表</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火力发电锅炉及燃气轮机组大气污染物排放浓度限值中燃煤锅炉限值要求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54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000"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二氧化硫</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00B050"/>
                <w:sz w:val="21"/>
                <w:szCs w:val="21"/>
                <w:highlight w:val="none"/>
                <w:lang w:val="en-US" w:eastAsia="zh-CN"/>
              </w:rPr>
              <w:t>石灰石膏法</w:t>
            </w:r>
            <w:r>
              <w:rPr>
                <w:rFonts w:ascii="Times New Roman" w:hAnsi="Times New Roman"/>
                <w:color w:val="auto"/>
                <w:sz w:val="21"/>
                <w:szCs w:val="21"/>
                <w:highlight w:val="none"/>
                <w:lang w:val="en-US" w:eastAsia="zh-CN"/>
              </w:rPr>
              <w:t>脱硫</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1套</w:t>
            </w:r>
          </w:p>
        </w:tc>
        <w:tc>
          <w:tcPr>
            <w:tcW w:w="679"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3089"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54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000"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氮氧化物</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SNCR脱硝</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1套</w:t>
            </w:r>
          </w:p>
        </w:tc>
        <w:tc>
          <w:tcPr>
            <w:tcW w:w="679"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308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snapToGrid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54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000"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汞及其化合物</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p>
        </w:tc>
        <w:tc>
          <w:tcPr>
            <w:tcW w:w="308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snapToGrid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54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000"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烟气黑度</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s="宋体"/>
                <w:color w:val="auto"/>
                <w:kern w:val="0"/>
                <w:sz w:val="21"/>
                <w:szCs w:val="21"/>
                <w:highlight w:val="none"/>
                <w:lang w:val="en-US" w:eastAsia="zh-CN" w:bidi="zh-CN"/>
              </w:rPr>
            </w:pPr>
            <w:r>
              <w:rPr>
                <w:rFonts w:hint="eastAsia" w:ascii="Times New Roman" w:hAnsi="Times New Roman"/>
                <w:color w:val="auto"/>
                <w:sz w:val="21"/>
                <w:szCs w:val="21"/>
                <w:highlight w:val="none"/>
                <w:lang w:val="en-US" w:eastAsia="zh-CN"/>
              </w:rPr>
              <w:t>/</w:t>
            </w:r>
          </w:p>
        </w:tc>
        <w:tc>
          <w:tcPr>
            <w:tcW w:w="679"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p>
        </w:tc>
        <w:tc>
          <w:tcPr>
            <w:tcW w:w="308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snapToGrid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54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000"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eastAsia="宋体"/>
                <w:color w:val="0000FF"/>
                <w:sz w:val="21"/>
                <w:szCs w:val="21"/>
                <w:highlight w:val="none"/>
                <w:lang w:val="en-US" w:eastAsia="zh-CN"/>
              </w:rPr>
            </w:pPr>
            <w:r>
              <w:rPr>
                <w:rFonts w:hint="eastAsia" w:ascii="Times New Roman" w:hAnsi="Times New Roman"/>
                <w:color w:val="0000FF"/>
                <w:sz w:val="21"/>
                <w:szCs w:val="21"/>
                <w:highlight w:val="none"/>
                <w:lang w:val="en-US" w:eastAsia="zh-CN"/>
              </w:rPr>
              <w:t>1座45m高排气筒；安装</w:t>
            </w:r>
            <w:r>
              <w:rPr>
                <w:rFonts w:hint="eastAsia" w:ascii="宋体" w:hAnsi="宋体" w:eastAsia="宋体" w:cs="宋体"/>
                <w:color w:val="0000FF"/>
                <w:sz w:val="21"/>
                <w:szCs w:val="21"/>
              </w:rPr>
              <w:t>烟气在线监测装置</w:t>
            </w:r>
            <w:r>
              <w:rPr>
                <w:rFonts w:hint="eastAsia" w:ascii="宋体" w:hAnsi="宋体" w:eastAsia="宋体" w:cs="宋体"/>
                <w:color w:val="0000FF"/>
                <w:sz w:val="21"/>
                <w:szCs w:val="21"/>
                <w:lang w:val="en-US" w:eastAsia="zh-CN"/>
              </w:rPr>
              <w:t>1套</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0000FF"/>
                <w:sz w:val="21"/>
                <w:szCs w:val="21"/>
                <w:highlight w:val="none"/>
                <w:lang w:val="en-US" w:eastAsia="zh-CN"/>
              </w:rPr>
            </w:pPr>
            <w:r>
              <w:rPr>
                <w:rFonts w:hint="eastAsia" w:ascii="Times New Roman" w:hAnsi="Times New Roman"/>
                <w:color w:val="0000FF"/>
                <w:sz w:val="21"/>
                <w:szCs w:val="21"/>
                <w:highlight w:val="none"/>
                <w:lang w:val="en-US" w:eastAsia="zh-CN"/>
              </w:rPr>
              <w:t>/</w:t>
            </w:r>
          </w:p>
        </w:tc>
        <w:tc>
          <w:tcPr>
            <w:tcW w:w="679"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p>
        </w:tc>
        <w:tc>
          <w:tcPr>
            <w:tcW w:w="308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snapToGrid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颗粒物</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封闭式</w:t>
            </w:r>
            <w:r>
              <w:rPr>
                <w:rFonts w:ascii="Times New Roman" w:hAnsi="Times New Roman"/>
                <w:color w:val="auto"/>
                <w:sz w:val="21"/>
                <w:szCs w:val="21"/>
                <w:highlight w:val="none"/>
                <w:lang w:val="en-US" w:eastAsia="zh-CN"/>
              </w:rPr>
              <w:t>储煤场</w:t>
            </w:r>
            <w:r>
              <w:rPr>
                <w:rFonts w:hint="eastAsia" w:ascii="Times New Roman" w:hAnsi="Times New Roman"/>
                <w:color w:val="auto"/>
                <w:sz w:val="21"/>
                <w:szCs w:val="21"/>
                <w:highlight w:val="none"/>
                <w:lang w:val="en-US" w:eastAsia="zh-CN"/>
              </w:rPr>
              <w:t>、灰渣库</w:t>
            </w:r>
            <w:r>
              <w:rPr>
                <w:rFonts w:hint="eastAsia" w:ascii="Times New Roman" w:hAnsi="Times New Roman"/>
                <w:color w:val="0000FF"/>
                <w:sz w:val="21"/>
                <w:szCs w:val="21"/>
                <w:highlight w:val="none"/>
                <w:lang w:val="en-US" w:eastAsia="zh-CN"/>
              </w:rPr>
              <w:t>（单独立项和环评，本次不包含）</w:t>
            </w:r>
            <w:r>
              <w:rPr>
                <w:rFonts w:hint="eastAsia" w:ascii="Times New Roman" w:hAnsi="Times New Roman"/>
                <w:color w:val="auto"/>
                <w:sz w:val="21"/>
                <w:szCs w:val="21"/>
                <w:highlight w:val="none"/>
                <w:lang w:val="en-US" w:eastAsia="zh-CN"/>
              </w:rPr>
              <w:t>；加强项目区洒水抑尘。</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厂界</w:t>
            </w:r>
          </w:p>
        </w:tc>
        <w:tc>
          <w:tcPr>
            <w:tcW w:w="308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《大气污染物综合排放标准》（GB16297-1996）</w:t>
            </w:r>
            <w:r>
              <w:rPr>
                <w:rFonts w:hint="eastAsia" w:ascii="Times New Roman" w:hAnsi="Times New Roman"/>
                <w:color w:val="auto"/>
                <w:sz w:val="21"/>
                <w:szCs w:val="21"/>
                <w:highlight w:val="none"/>
                <w:lang w:val="en-US" w:eastAsia="zh-CN"/>
              </w:rPr>
              <w:t>表2</w:t>
            </w:r>
            <w:r>
              <w:rPr>
                <w:rFonts w:ascii="Times New Roman" w:hAnsi="Times New Roman"/>
                <w:color w:val="auto"/>
                <w:sz w:val="21"/>
                <w:szCs w:val="21"/>
                <w:highlight w:val="none"/>
                <w:lang w:val="en-US" w:eastAsia="zh-CN"/>
              </w:rPr>
              <w:t>中无组织排放限值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56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噪声</w:t>
            </w: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等效连续A计权噪声</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消音器、隔声罩，减振垫等</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厂界四周</w:t>
            </w:r>
          </w:p>
        </w:tc>
        <w:tc>
          <w:tcPr>
            <w:tcW w:w="308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《工业企业厂界环境噪声排放标准》（GB12348-2008）</w:t>
            </w:r>
            <w:r>
              <w:rPr>
                <w:rFonts w:hint="eastAsia" w:ascii="Times New Roman" w:hAnsi="Times New Roman"/>
                <w:color w:val="auto"/>
                <w:sz w:val="21"/>
                <w:szCs w:val="21"/>
                <w:highlight w:val="none"/>
                <w:lang w:val="en-US" w:eastAsia="zh-CN"/>
              </w:rPr>
              <w:t>3</w:t>
            </w:r>
            <w:r>
              <w:rPr>
                <w:rFonts w:ascii="Times New Roman" w:hAnsi="Times New Roman"/>
                <w:color w:val="auto"/>
                <w:sz w:val="21"/>
                <w:szCs w:val="21"/>
                <w:highlight w:val="none"/>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63"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废水</w:t>
            </w: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生产废水</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锅炉外排水、锅炉软化水经沉淀池处理后全部用于厂区的除渣系统，不外排</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08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全部回用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63"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固体废物</w:t>
            </w: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废润滑油</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依托原有危废暂存间，交由</w:t>
            </w:r>
            <w:r>
              <w:rPr>
                <w:rFonts w:ascii="Times New Roman" w:hAnsi="Times New Roman"/>
                <w:color w:val="auto"/>
                <w:sz w:val="21"/>
                <w:szCs w:val="21"/>
                <w:highlight w:val="none"/>
                <w:lang w:val="en-US" w:eastAsia="zh-CN"/>
              </w:rPr>
              <w:t>有资质的单位处置</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08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《危险废物贮存污染控制标准》（GB18597-20</w:t>
            </w:r>
            <w:r>
              <w:rPr>
                <w:rFonts w:hint="eastAsia" w:ascii="Times New Roman" w:hAnsi="Times New Roman"/>
                <w:color w:val="auto"/>
                <w:sz w:val="21"/>
                <w:szCs w:val="21"/>
                <w:highlight w:val="none"/>
                <w:lang w:val="en-US" w:eastAsia="zh-CN"/>
              </w:rPr>
              <w:t>23</w:t>
            </w:r>
            <w:r>
              <w:rPr>
                <w:rFonts w:ascii="Times New Roman" w:hAnsi="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灰</w:t>
            </w:r>
            <w:r>
              <w:rPr>
                <w:rFonts w:ascii="Times New Roman" w:hAnsi="Times New Roman"/>
                <w:color w:val="auto"/>
                <w:sz w:val="21"/>
                <w:szCs w:val="21"/>
                <w:highlight w:val="none"/>
                <w:lang w:val="en-US" w:eastAsia="zh-CN"/>
              </w:rPr>
              <w:t>渣、</w:t>
            </w:r>
            <w:r>
              <w:rPr>
                <w:rFonts w:hint="eastAsia" w:ascii="Times New Roman" w:hAnsi="Times New Roman"/>
                <w:color w:val="auto"/>
                <w:sz w:val="21"/>
                <w:szCs w:val="21"/>
                <w:highlight w:val="none"/>
                <w:lang w:val="en-US" w:eastAsia="zh-CN"/>
              </w:rPr>
              <w:t>脱硫渣、除尘器收集粉尘</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封闭式灰渣场</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1个</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089"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《一般工业固体废物贮存和填埋污染控制标准》（GB 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0000FF"/>
                <w:sz w:val="21"/>
                <w:szCs w:val="21"/>
                <w:highlight w:val="none"/>
                <w:lang w:val="en-US" w:eastAsia="zh-CN"/>
              </w:rPr>
            </w:pPr>
            <w:r>
              <w:rPr>
                <w:rFonts w:ascii="Times New Roman" w:hAnsi="Times New Roman"/>
                <w:color w:val="0000FF"/>
                <w:sz w:val="21"/>
                <w:szCs w:val="21"/>
                <w:highlight w:val="none"/>
                <w:lang w:val="en-US" w:eastAsia="zh-CN"/>
              </w:rPr>
              <w:t>废离子交换树脂</w:t>
            </w:r>
            <w:r>
              <w:rPr>
                <w:rFonts w:hint="eastAsia" w:ascii="Times New Roman" w:hAnsi="Times New Roman"/>
                <w:color w:val="0000FF"/>
                <w:sz w:val="21"/>
                <w:szCs w:val="21"/>
                <w:highlight w:val="none"/>
                <w:lang w:val="en-US" w:eastAsia="zh-CN"/>
              </w:rPr>
              <w:t>和废滤袋</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0000FF"/>
                <w:sz w:val="21"/>
                <w:szCs w:val="21"/>
                <w:highlight w:val="none"/>
                <w:lang w:val="en-US" w:eastAsia="zh-CN"/>
              </w:rPr>
            </w:pPr>
            <w:r>
              <w:rPr>
                <w:rFonts w:hint="eastAsia" w:ascii="Times New Roman" w:hAnsi="Times New Roman"/>
                <w:color w:val="0000FF"/>
                <w:sz w:val="21"/>
                <w:szCs w:val="21"/>
                <w:highlight w:val="none"/>
                <w:lang w:val="en-US" w:eastAsia="zh-CN"/>
              </w:rPr>
              <w:t>一般固废堆场（单独立项和环评，本次不包含）</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089"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生活垃圾</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环卫部门统一清运</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08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563"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其他</w:t>
            </w: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监测</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烟气在线监测系统</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1套</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08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连续监测</w:t>
            </w:r>
            <w:r>
              <w:rPr>
                <w:rFonts w:hint="eastAsia" w:ascii="Times New Roman" w:hAnsi="Times New Roman"/>
                <w:color w:val="auto"/>
                <w:sz w:val="21"/>
                <w:szCs w:val="21"/>
                <w:highlight w:val="none"/>
                <w:lang w:val="en-US" w:eastAsia="zh-CN"/>
              </w:rPr>
              <w:t>颗粒物</w:t>
            </w:r>
            <w:r>
              <w:rPr>
                <w:rFonts w:ascii="Times New Roman" w:hAnsi="Times New Roman"/>
                <w:color w:val="auto"/>
                <w:sz w:val="21"/>
                <w:szCs w:val="21"/>
                <w:highlight w:val="none"/>
                <w:lang w:val="en-US" w:eastAsia="zh-CN"/>
              </w:rPr>
              <w:t>、SO</w:t>
            </w:r>
            <w:r>
              <w:rPr>
                <w:rFonts w:ascii="Times New Roman" w:hAnsi="Times New Roman"/>
                <w:color w:val="auto"/>
                <w:sz w:val="21"/>
                <w:szCs w:val="21"/>
                <w:highlight w:val="none"/>
                <w:vertAlign w:val="subscript"/>
                <w:lang w:val="en-US" w:eastAsia="zh-CN"/>
              </w:rPr>
              <w:t>2</w:t>
            </w:r>
            <w:r>
              <w:rPr>
                <w:rFonts w:ascii="Times New Roman" w:hAnsi="Times New Roman"/>
                <w:color w:val="auto"/>
                <w:sz w:val="21"/>
                <w:szCs w:val="21"/>
                <w:highlight w:val="none"/>
                <w:lang w:val="en-US" w:eastAsia="zh-CN"/>
              </w:rPr>
              <w:t>、NO</w:t>
            </w:r>
            <w:r>
              <w:rPr>
                <w:rFonts w:hint="eastAsia" w:ascii="Times New Roman" w:hAnsi="Times New Roman"/>
                <w:color w:val="auto"/>
                <w:sz w:val="21"/>
                <w:szCs w:val="21"/>
                <w:highlight w:val="none"/>
                <w:vertAlign w:val="subscript"/>
                <w:lang w:val="en-US" w:eastAsia="zh-CN"/>
              </w:rPr>
              <w:t>X</w:t>
            </w:r>
            <w:r>
              <w:rPr>
                <w:rFonts w:hint="eastAsia" w:ascii="Times New Roman" w:hAnsi="Times New Roman"/>
                <w:color w:val="auto"/>
                <w:sz w:val="21"/>
                <w:szCs w:val="21"/>
                <w:highlight w:val="none"/>
                <w:lang w:val="en-US" w:eastAsia="zh-CN"/>
              </w:rPr>
              <w:t>、</w:t>
            </w:r>
            <w:r>
              <w:rPr>
                <w:rFonts w:hint="eastAsia"/>
                <w:snapToGrid w:val="0"/>
                <w:color w:val="auto"/>
                <w:sz w:val="21"/>
                <w:szCs w:val="21"/>
                <w:highlight w:val="none"/>
              </w:rPr>
              <w:t>CEMS验收包括技术性能指标验收、联网验收和管理制度记录档案验收。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风险</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分区防渗</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089" w:type="dxa"/>
            <w:vMerge w:val="restart"/>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满足规范要求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63"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c>
          <w:tcPr>
            <w:tcW w:w="1543" w:type="dxa"/>
            <w:gridSpan w:val="2"/>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消防</w:t>
            </w:r>
          </w:p>
        </w:tc>
        <w:tc>
          <w:tcPr>
            <w:tcW w:w="2064"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消防设施</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若干</w:t>
            </w:r>
          </w:p>
        </w:tc>
        <w:tc>
          <w:tcPr>
            <w:tcW w:w="679" w:type="dxa"/>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w:t>
            </w:r>
          </w:p>
        </w:tc>
        <w:tc>
          <w:tcPr>
            <w:tcW w:w="3089" w:type="dxa"/>
            <w:vMerge w:val="continue"/>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320" w:lineRule="exact"/>
              <w:ind w:firstLine="0" w:firstLineChars="0"/>
              <w:textAlignment w:val="auto"/>
              <w:rPr>
                <w:rFonts w:ascii="Times New Roman" w:hAnsi="Times New Roman"/>
                <w:color w:val="auto"/>
                <w:sz w:val="21"/>
                <w:szCs w:val="21"/>
                <w:highlight w:val="none"/>
                <w:lang w:val="en-US" w:eastAsia="zh-CN"/>
              </w:rPr>
            </w:pPr>
          </w:p>
        </w:tc>
      </w:tr>
    </w:tbl>
    <w:p>
      <w:pPr>
        <w:pStyle w:val="5"/>
        <w:keepNext/>
        <w:keepLines/>
        <w:pageBreakBefore w:val="0"/>
        <w:widowControl/>
        <w:kinsoku/>
        <w:wordWrap/>
        <w:overflowPunct/>
        <w:topLinePunct w:val="0"/>
        <w:autoSpaceDE/>
        <w:autoSpaceDN/>
        <w:bidi w:val="0"/>
        <w:adjustRightInd w:val="0"/>
        <w:snapToGrid w:val="0"/>
        <w:spacing w:after="0" w:line="360" w:lineRule="auto"/>
        <w:ind w:left="0" w:firstLine="562" w:firstLineChars="200"/>
        <w:jc w:val="both"/>
        <w:textAlignment w:val="auto"/>
        <w:rPr>
          <w:rFonts w:hint="default" w:ascii="Times New Roman" w:hAnsi="Times New Roman" w:eastAsia="宋体" w:cs="Times New Roman"/>
          <w:bCs w:val="0"/>
          <w:color w:val="auto"/>
          <w:kern w:val="0"/>
          <w:sz w:val="28"/>
          <w:szCs w:val="24"/>
          <w:highlight w:val="none"/>
        </w:rPr>
      </w:pPr>
      <w:bookmarkStart w:id="456" w:name="_Toc5458"/>
      <w:bookmarkStart w:id="457" w:name="_Toc10565"/>
      <w:bookmarkStart w:id="458" w:name="_Toc343"/>
      <w:bookmarkStart w:id="459" w:name="_Toc29750"/>
      <w:bookmarkStart w:id="460" w:name="_Toc72"/>
      <w:bookmarkStart w:id="461" w:name="_Toc20781"/>
      <w:bookmarkStart w:id="462" w:name="_Toc11301"/>
      <w:bookmarkStart w:id="463" w:name="_Toc20978"/>
      <w:bookmarkStart w:id="464" w:name="_Toc8257"/>
      <w:bookmarkStart w:id="465" w:name="_Toc7671"/>
      <w:bookmarkStart w:id="466" w:name="_Toc9915"/>
      <w:bookmarkStart w:id="467" w:name="_Toc15127"/>
      <w:bookmarkStart w:id="468" w:name="_Toc10770"/>
      <w:bookmarkStart w:id="469" w:name="_Toc6429"/>
      <w:bookmarkStart w:id="470" w:name="_Toc10627"/>
      <w:bookmarkStart w:id="471" w:name="_Toc304233997"/>
      <w:bookmarkStart w:id="472" w:name="_Toc370052934"/>
      <w:r>
        <w:rPr>
          <w:rFonts w:hint="default" w:ascii="Times New Roman" w:hAnsi="Times New Roman" w:cs="Times New Roman"/>
          <w:bCs w:val="0"/>
          <w:color w:val="auto"/>
          <w:kern w:val="0"/>
          <w:sz w:val="28"/>
          <w:szCs w:val="24"/>
          <w:highlight w:val="none"/>
          <w:lang w:val="en-US" w:eastAsia="zh-CN"/>
        </w:rPr>
        <w:t>8.5</w:t>
      </w:r>
      <w:r>
        <w:rPr>
          <w:rFonts w:hint="default" w:ascii="Times New Roman" w:hAnsi="Times New Roman" w:eastAsia="宋体" w:cs="Times New Roman"/>
          <w:bCs w:val="0"/>
          <w:color w:val="auto"/>
          <w:kern w:val="0"/>
          <w:sz w:val="28"/>
          <w:szCs w:val="24"/>
          <w:highlight w:val="none"/>
        </w:rPr>
        <w:t>总量控制</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bookmarkEnd w:id="471"/>
    <w:bookmarkEnd w:id="472"/>
    <w:p>
      <w:pPr>
        <w:pStyle w:val="6"/>
        <w:pageBreakBefore w:val="0"/>
        <w:kinsoku/>
        <w:wordWrap/>
        <w:overflowPunct/>
        <w:topLinePunct w:val="0"/>
        <w:bidi w:val="0"/>
        <w:adjustRightInd w:val="0"/>
        <w:snapToGrid w:val="0"/>
        <w:ind w:left="0" w:firstLine="562" w:firstLineChars="200"/>
        <w:jc w:val="both"/>
        <w:textAlignment w:val="auto"/>
        <w:rPr>
          <w:rFonts w:hint="default" w:ascii="Times New Roman" w:hAnsi="Times New Roman" w:cs="Times New Roman"/>
          <w:color w:val="auto"/>
          <w:highlight w:val="none"/>
        </w:rPr>
      </w:pPr>
      <w:bookmarkStart w:id="473" w:name="_Toc394331615"/>
      <w:bookmarkStart w:id="474" w:name="_Toc382817760"/>
      <w:bookmarkStart w:id="475" w:name="_Toc414534083"/>
      <w:bookmarkStart w:id="476" w:name="_Toc362346340"/>
      <w:bookmarkStart w:id="477" w:name="_Toc356066564"/>
      <w:bookmarkStart w:id="478" w:name="_Toc375585902"/>
      <w:bookmarkStart w:id="479" w:name="_Toc428807987"/>
      <w:bookmarkStart w:id="480" w:name="_Toc385933446"/>
      <w:r>
        <w:rPr>
          <w:rFonts w:hint="default" w:ascii="Times New Roman" w:hAnsi="Times New Roman" w:cs="Times New Roman"/>
          <w:color w:val="auto"/>
          <w:highlight w:val="none"/>
          <w:lang w:val="en-US" w:eastAsia="zh-CN"/>
        </w:rPr>
        <w:t>8.5.1</w:t>
      </w:r>
      <w:r>
        <w:rPr>
          <w:rFonts w:hint="default" w:ascii="Times New Roman" w:hAnsi="Times New Roman" w:cs="Times New Roman"/>
          <w:color w:val="auto"/>
          <w:highlight w:val="none"/>
        </w:rPr>
        <w:t>总量控制因子</w:t>
      </w:r>
      <w:bookmarkEnd w:id="473"/>
      <w:bookmarkEnd w:id="474"/>
      <w:bookmarkEnd w:id="475"/>
      <w:bookmarkEnd w:id="476"/>
      <w:bookmarkEnd w:id="477"/>
      <w:bookmarkEnd w:id="478"/>
      <w:bookmarkEnd w:id="479"/>
      <w:bookmarkEnd w:id="480"/>
    </w:p>
    <w:p>
      <w:pPr>
        <w:pStyle w:val="63"/>
        <w:pageBreakBefore w:val="0"/>
        <w:kinsoku/>
        <w:wordWrap/>
        <w:overflowPunct/>
        <w:topLinePunct w:val="0"/>
        <w:bidi w:val="0"/>
        <w:adjustRightInd w:val="0"/>
        <w:snapToGrid w:val="0"/>
        <w:spacing w:line="360" w:lineRule="auto"/>
        <w:ind w:lef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根据《新疆生产建设兵团“十四五”</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"https://huanbao.bjx.com.cn/topics/shengtaihuanjingbaohu/" \t "https://huanbao.bjx.com.cn/news/20220225/_blank"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生态环境保护</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规划》</w:t>
      </w:r>
      <w:r>
        <w:rPr>
          <w:rFonts w:hint="default" w:ascii="Times New Roman" w:hAnsi="Times New Roman" w:cs="Times New Roman"/>
          <w:color w:val="auto"/>
          <w:highlight w:val="none"/>
          <w:lang w:val="en-US" w:eastAsia="zh-CN"/>
        </w:rPr>
        <w:t>中指出大气总量控制指标：</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lang w:val="en-US" w:eastAsia="zh-CN"/>
        </w:rPr>
        <w:t>X</w:t>
      </w:r>
      <w:r>
        <w:rPr>
          <w:rFonts w:hint="default" w:ascii="Times New Roman" w:hAnsi="Times New Roman" w:cs="Times New Roman"/>
          <w:color w:val="auto"/>
          <w:highlight w:val="none"/>
        </w:rPr>
        <w:t>、VOC</w:t>
      </w:r>
      <w:r>
        <w:rPr>
          <w:rFonts w:hint="default" w:ascii="Times New Roman" w:hAnsi="Times New Roman" w:cs="Times New Roman"/>
          <w:color w:val="auto"/>
          <w:highlight w:val="none"/>
          <w:vertAlign w:val="subscript"/>
          <w:lang w:val="en-US" w:eastAsia="zh-CN"/>
        </w:rPr>
        <w:t>S</w:t>
      </w:r>
      <w:r>
        <w:rPr>
          <w:rFonts w:hint="default" w:ascii="Times New Roman" w:hAnsi="Times New Roman" w:cs="Times New Roman"/>
          <w:color w:val="auto"/>
          <w:highlight w:val="none"/>
        </w:rPr>
        <w:t>。</w:t>
      </w:r>
    </w:p>
    <w:p>
      <w:pPr>
        <w:pStyle w:val="63"/>
        <w:pageBreakBefore w:val="0"/>
        <w:kinsoku/>
        <w:wordWrap/>
        <w:overflowPunct/>
        <w:topLinePunct w:val="0"/>
        <w:bidi w:val="0"/>
        <w:adjustRightInd w:val="0"/>
        <w:snapToGrid w:val="0"/>
        <w:spacing w:line="360" w:lineRule="auto"/>
        <w:ind w:lef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因此本项目总量控制因子确定为：</w:t>
      </w:r>
    </w:p>
    <w:p>
      <w:pPr>
        <w:pStyle w:val="63"/>
        <w:pageBreakBefore w:val="0"/>
        <w:kinsoku/>
        <w:wordWrap/>
        <w:overflowPunct/>
        <w:topLinePunct w:val="0"/>
        <w:bidi w:val="0"/>
        <w:adjustRightInd w:val="0"/>
        <w:snapToGrid w:val="0"/>
        <w:spacing w:line="360" w:lineRule="auto"/>
        <w:ind w:lef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废气污染物指标（</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项）：NO</w:t>
      </w:r>
      <w:r>
        <w:rPr>
          <w:rFonts w:hint="default" w:ascii="Times New Roman" w:hAnsi="Times New Roman" w:cs="Times New Roman"/>
          <w:color w:val="auto"/>
          <w:highlight w:val="none"/>
          <w:vertAlign w:val="subscript"/>
          <w:lang w:val="en-US" w:eastAsia="zh-CN"/>
        </w:rPr>
        <w:t>X</w:t>
      </w:r>
      <w:r>
        <w:rPr>
          <w:rFonts w:hint="default" w:ascii="Times New Roman" w:hAnsi="Times New Roman" w:cs="Times New Roman"/>
          <w:color w:val="auto"/>
          <w:highlight w:val="none"/>
        </w:rPr>
        <w:t>。</w:t>
      </w:r>
    </w:p>
    <w:p>
      <w:pPr>
        <w:pStyle w:val="6"/>
        <w:pageBreakBefore w:val="0"/>
        <w:kinsoku/>
        <w:wordWrap/>
        <w:overflowPunct/>
        <w:topLinePunct w:val="0"/>
        <w:bidi w:val="0"/>
        <w:adjustRightInd w:val="0"/>
        <w:snapToGrid w:val="0"/>
        <w:ind w:left="0" w:firstLine="562" w:firstLineChars="200"/>
        <w:jc w:val="both"/>
        <w:textAlignment w:val="auto"/>
        <w:rPr>
          <w:rFonts w:hint="default" w:ascii="Times New Roman" w:hAnsi="Times New Roman" w:cs="Times New Roman"/>
          <w:color w:val="auto"/>
          <w:highlight w:val="none"/>
        </w:rPr>
      </w:pPr>
      <w:bookmarkStart w:id="481" w:name="_Toc304234000"/>
      <w:bookmarkStart w:id="482" w:name="_Toc414534088"/>
      <w:bookmarkStart w:id="483" w:name="_Toc385933448"/>
      <w:bookmarkStart w:id="484" w:name="_Toc380501599"/>
      <w:bookmarkStart w:id="485" w:name="_Toc370052937"/>
      <w:bookmarkStart w:id="486" w:name="_Toc428807990"/>
      <w:bookmarkStart w:id="487" w:name="_Toc394331618"/>
      <w:bookmarkStart w:id="488" w:name="_Toc376276175"/>
      <w:r>
        <w:rPr>
          <w:rFonts w:hint="default" w:ascii="Times New Roman" w:hAnsi="Times New Roman" w:cs="Times New Roman"/>
          <w:color w:val="auto"/>
          <w:highlight w:val="none"/>
          <w:lang w:val="en-US" w:eastAsia="zh-CN"/>
        </w:rPr>
        <w:t>8.5.2</w:t>
      </w:r>
      <w:r>
        <w:rPr>
          <w:rFonts w:hint="default" w:ascii="Times New Roman" w:hAnsi="Times New Roman" w:cs="Times New Roman"/>
          <w:color w:val="auto"/>
          <w:highlight w:val="none"/>
        </w:rPr>
        <w:t>总量控制指标</w:t>
      </w:r>
      <w:bookmarkEnd w:id="481"/>
      <w:bookmarkEnd w:id="482"/>
      <w:bookmarkEnd w:id="483"/>
      <w:bookmarkEnd w:id="484"/>
      <w:bookmarkEnd w:id="485"/>
      <w:bookmarkEnd w:id="486"/>
      <w:bookmarkEnd w:id="487"/>
      <w:bookmarkEnd w:id="488"/>
    </w:p>
    <w:p>
      <w:pPr>
        <w:pageBreakBefore w:val="0"/>
        <w:kinsoku/>
        <w:wordWrap/>
        <w:overflowPunct/>
        <w:topLinePunct w:val="0"/>
        <w:bidi w:val="0"/>
        <w:adjustRightInd w:val="0"/>
        <w:snapToGrid w:val="0"/>
        <w:ind w:left="0"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0000FF"/>
          <w:highlight w:val="none"/>
        </w:rPr>
        <w:t>现有</w:t>
      </w:r>
      <w:r>
        <w:rPr>
          <w:rFonts w:hint="default" w:ascii="Times New Roman" w:hAnsi="Times New Roman" w:cs="Times New Roman"/>
          <w:color w:val="0000FF"/>
          <w:highlight w:val="none"/>
          <w:lang w:eastAsia="zh-CN"/>
        </w:rPr>
        <w:t>锅炉房</w:t>
      </w:r>
      <w:r>
        <w:rPr>
          <w:rFonts w:hint="default" w:ascii="Times New Roman" w:hAnsi="Times New Roman" w:cs="Times New Roman"/>
          <w:color w:val="0000FF"/>
          <w:highlight w:val="none"/>
        </w:rPr>
        <w:t>排污许可证大气污染物总量控制</w:t>
      </w:r>
      <w:r>
        <w:rPr>
          <w:rFonts w:hint="default" w:ascii="Times New Roman" w:hAnsi="Times New Roman" w:cs="Times New Roman"/>
          <w:color w:val="0000FF"/>
          <w:highlight w:val="none"/>
          <w:lang w:eastAsia="zh-CN"/>
        </w:rPr>
        <w:t>指标</w:t>
      </w:r>
      <w:r>
        <w:rPr>
          <w:rFonts w:hint="default" w:ascii="Times New Roman" w:hAnsi="Times New Roman" w:cs="Times New Roman"/>
          <w:color w:val="0000FF"/>
          <w:highlight w:val="none"/>
        </w:rPr>
        <w:t>，</w:t>
      </w:r>
      <w:r>
        <w:rPr>
          <w:rFonts w:hint="default" w:ascii="Times New Roman" w:hAnsi="Times New Roman" w:cs="Times New Roman"/>
          <w:color w:val="0000FF"/>
          <w:highlight w:val="none"/>
          <w:lang w:val="en-US" w:eastAsia="zh-CN"/>
        </w:rPr>
        <w:t>NO</w:t>
      </w:r>
      <w:r>
        <w:rPr>
          <w:rFonts w:hint="default" w:ascii="Times New Roman" w:hAnsi="Times New Roman" w:cs="Times New Roman"/>
          <w:color w:val="0000FF"/>
          <w:highlight w:val="none"/>
          <w:vertAlign w:val="subscript"/>
          <w:lang w:val="en-US" w:eastAsia="zh-CN"/>
        </w:rPr>
        <w:t>X</w:t>
      </w:r>
      <w:r>
        <w:rPr>
          <w:rFonts w:hint="default" w:ascii="Times New Roman" w:hAnsi="Times New Roman" w:cs="Times New Roman"/>
          <w:color w:val="0000FF"/>
          <w:highlight w:val="none"/>
          <w:lang w:eastAsia="zh-CN"/>
        </w:rPr>
        <w:t>为</w:t>
      </w:r>
      <w:r>
        <w:rPr>
          <w:rFonts w:hint="eastAsia" w:ascii="Times New Roman" w:hAnsi="Times New Roman" w:cs="Times New Roman"/>
          <w:color w:val="0000FF"/>
          <w:highlight w:val="none"/>
          <w:lang w:val="en-US" w:eastAsia="zh-CN"/>
        </w:rPr>
        <w:t>246.4</w:t>
      </w:r>
      <w:r>
        <w:rPr>
          <w:rFonts w:hint="default" w:ascii="Times New Roman" w:hAnsi="Times New Roman" w:cs="Times New Roman"/>
          <w:color w:val="0000FF"/>
          <w:highlight w:val="none"/>
          <w:lang w:val="en-US" w:eastAsia="zh-CN"/>
        </w:rPr>
        <w:t>t/a</w:t>
      </w:r>
      <w:r>
        <w:rPr>
          <w:rFonts w:hint="default" w:ascii="Times New Roman" w:hAnsi="Times New Roman" w:cs="Times New Roman"/>
          <w:color w:val="0000FF"/>
          <w:highlight w:val="none"/>
        </w:rPr>
        <w:t>。本</w:t>
      </w:r>
      <w:r>
        <w:rPr>
          <w:rFonts w:hint="default" w:ascii="Times New Roman" w:hAnsi="Times New Roman" w:cs="Times New Roman"/>
          <w:color w:val="0000FF"/>
          <w:highlight w:val="none"/>
          <w:lang w:eastAsia="zh-CN"/>
        </w:rPr>
        <w:t>项目</w:t>
      </w:r>
      <w:r>
        <w:rPr>
          <w:rFonts w:hint="eastAsia" w:cs="Times New Roman"/>
          <w:color w:val="0000FF"/>
          <w:highlight w:val="none"/>
          <w:lang w:eastAsia="zh-CN"/>
        </w:rPr>
        <w:t>技改后</w:t>
      </w:r>
      <w:r>
        <w:rPr>
          <w:rFonts w:hint="default" w:ascii="Times New Roman" w:hAnsi="Times New Roman" w:cs="Times New Roman"/>
          <w:color w:val="0000FF"/>
          <w:highlight w:val="none"/>
        </w:rPr>
        <w:t>NO</w:t>
      </w:r>
      <w:r>
        <w:rPr>
          <w:rFonts w:hint="default" w:ascii="Times New Roman" w:hAnsi="Times New Roman" w:cs="Times New Roman"/>
          <w:color w:val="0000FF"/>
          <w:highlight w:val="none"/>
          <w:vertAlign w:val="subscript"/>
          <w:lang w:val="en-US" w:eastAsia="zh-CN"/>
        </w:rPr>
        <w:t>X</w:t>
      </w:r>
      <w:r>
        <w:rPr>
          <w:rFonts w:hint="default" w:ascii="Times New Roman" w:hAnsi="Times New Roman" w:cs="Times New Roman"/>
          <w:color w:val="0000FF"/>
          <w:highlight w:val="none"/>
        </w:rPr>
        <w:t>的排放量为</w:t>
      </w:r>
      <w:r>
        <w:rPr>
          <w:rFonts w:hint="eastAsia" w:cs="Times New Roman"/>
          <w:color w:val="0000FF"/>
          <w:highlight w:val="none"/>
          <w:lang w:val="en-US" w:eastAsia="zh-CN"/>
        </w:rPr>
        <w:t>20.94</w:t>
      </w:r>
      <w:r>
        <w:rPr>
          <w:rFonts w:hint="default" w:ascii="Times New Roman" w:hAnsi="Times New Roman" w:cs="Times New Roman"/>
          <w:color w:val="0000FF"/>
          <w:highlight w:val="none"/>
          <w:lang w:val="en-US" w:eastAsia="zh-CN"/>
        </w:rPr>
        <w:t>t/a</w:t>
      </w:r>
      <w:r>
        <w:rPr>
          <w:rFonts w:hint="default" w:ascii="Times New Roman" w:hAnsi="Times New Roman" w:cs="Times New Roman"/>
          <w:color w:val="0000FF"/>
          <w:highlight w:val="none"/>
          <w:lang w:eastAsia="zh-CN"/>
        </w:rPr>
        <w:t>。</w:t>
      </w:r>
      <w:r>
        <w:rPr>
          <w:rFonts w:hint="default" w:ascii="Times New Roman" w:hAnsi="Times New Roman" w:cs="Times New Roman"/>
          <w:color w:val="auto"/>
          <w:highlight w:val="none"/>
          <w:lang w:val="en-US" w:eastAsia="zh-CN"/>
        </w:rPr>
        <w:t>现有总量指标完全可以满足本项目建设需求。因此，本项目无需申请总量。</w:t>
      </w:r>
    </w:p>
    <w:p>
      <w:pPr>
        <w:pageBreakBefore w:val="0"/>
        <w:kinsoku/>
        <w:wordWrap/>
        <w:overflowPunct/>
        <w:topLinePunct w:val="0"/>
        <w:bidi w:val="0"/>
        <w:adjustRightInd w:val="0"/>
        <w:snapToGrid w:val="0"/>
        <w:ind w:lef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《兵团打赢蓝天保卫战三年行动计划（2018—2020年）》指出</w:t>
      </w:r>
      <w:r>
        <w:rPr>
          <w:rFonts w:hint="default" w:ascii="Times New Roman" w:hAnsi="Times New Roman" w:cs="Times New Roman"/>
          <w:color w:val="auto"/>
          <w:highlight w:val="none"/>
        </w:rPr>
        <w:t>有关师市在“乌-昌-石”和“奎-独-乌”区域内所有新（改、扩）建项目应执行最严格的大气污染物排放标准；PM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年平均浓度不达标的城市禁止新（改、扩）建未落实二氧化硫、氮氧化物、烟粉尘、挥发性有机物（VOC</w:t>
      </w:r>
      <w:r>
        <w:rPr>
          <w:rFonts w:hint="default" w:ascii="Times New Roman" w:hAnsi="Times New Roman" w:cs="Times New Roman"/>
          <w:color w:val="auto"/>
          <w:highlight w:val="none"/>
          <w:vertAlign w:val="subscript"/>
          <w:lang w:val="en-US" w:eastAsia="zh-CN"/>
        </w:rPr>
        <w:t>S</w:t>
      </w:r>
      <w:r>
        <w:rPr>
          <w:rFonts w:hint="default" w:ascii="Times New Roman" w:hAnsi="Times New Roman" w:cs="Times New Roman"/>
          <w:color w:val="auto"/>
          <w:highlight w:val="none"/>
        </w:rPr>
        <w:t>）等四项大气污染物总量指标倍量替代的项目；在克拉玛依区域（包括克拉玛依区、白碱滩区、乌尔禾区3个城区，以自治区人民政府批复的《克拉玛依区域大气污染防治总体规划》（新政函〔2014〕202号）所划定的范围为准）和库尔勒区域（以库尔勒人民广场为中心，半径50公里的范围，含兵团第二师铁门关市）内禁止新（改、扩）建未落实二氧化硫、氮氧化物等主要大气污染物总量指标等量替代的项目。上述区域所有新（改、扩）建项目应执行相应大气污染物特别排放限值标准。</w:t>
      </w:r>
    </w:p>
    <w:p>
      <w:pPr>
        <w:pageBreakBefore w:val="0"/>
        <w:kinsoku/>
        <w:wordWrap/>
        <w:overflowPunct/>
        <w:topLinePunct w:val="0"/>
        <w:bidi w:val="0"/>
        <w:adjustRightInd w:val="0"/>
        <w:snapToGrid w:val="0"/>
        <w:ind w:left="0"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本项目位于</w:t>
      </w:r>
      <w:r>
        <w:rPr>
          <w:rFonts w:hint="eastAsia" w:ascii="Times New Roman" w:hAnsi="Times New Roman" w:cs="Times New Roman"/>
          <w:color w:val="auto"/>
          <w:highlight w:val="none"/>
          <w:lang w:eastAsia="zh-CN"/>
        </w:rPr>
        <w:t>塔城地区额敏县</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不在</w:t>
      </w:r>
      <w:r>
        <w:rPr>
          <w:rFonts w:hint="default" w:ascii="Times New Roman" w:hAnsi="Times New Roman" w:cs="Times New Roman"/>
          <w:color w:val="auto"/>
          <w:highlight w:val="none"/>
        </w:rPr>
        <w:t>“乌-昌-石”和“奎-独-乌”区域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克拉玛依区域</w:t>
      </w:r>
      <w:r>
        <w:rPr>
          <w:rFonts w:hint="default" w:ascii="Times New Roman" w:hAnsi="Times New Roman" w:cs="Times New Roman"/>
          <w:color w:val="auto"/>
          <w:highlight w:val="none"/>
          <w:lang w:val="en-US" w:eastAsia="zh-CN"/>
        </w:rPr>
        <w:t>及</w:t>
      </w:r>
      <w:r>
        <w:rPr>
          <w:rFonts w:hint="default" w:ascii="Times New Roman" w:hAnsi="Times New Roman" w:cs="Times New Roman"/>
          <w:color w:val="auto"/>
          <w:highlight w:val="none"/>
        </w:rPr>
        <w:t>库尔勒区域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本项目产生的</w:t>
      </w:r>
      <w:r>
        <w:rPr>
          <w:rFonts w:hint="default" w:ascii="Times New Roman" w:hAnsi="Times New Roman" w:cs="Times New Roman"/>
          <w:color w:val="auto"/>
          <w:highlight w:val="none"/>
        </w:rPr>
        <w:t>二氧化硫、氮氧化物、</w:t>
      </w:r>
      <w:r>
        <w:rPr>
          <w:rFonts w:hint="default" w:ascii="Times New Roman" w:hAnsi="Times New Roman" w:cs="Times New Roman"/>
          <w:color w:val="auto"/>
          <w:highlight w:val="none"/>
          <w:lang w:val="en-US" w:eastAsia="zh-CN"/>
        </w:rPr>
        <w:t>颗粒物大气污染物总量指标不需执行倍量替代。</w:t>
      </w:r>
    </w:p>
    <w:p>
      <w:pPr>
        <w:pStyle w:val="14"/>
        <w:pageBreakBefore w:val="0"/>
        <w:kinsoku/>
        <w:wordWrap/>
        <w:overflowPunct/>
        <w:topLinePunct w:val="0"/>
        <w:bidi w:val="0"/>
        <w:adjustRightInd w:val="0"/>
        <w:snapToGrid w:val="0"/>
        <w:spacing w:line="360" w:lineRule="auto"/>
        <w:ind w:left="0" w:firstLine="480" w:firstLineChars="200"/>
        <w:jc w:val="both"/>
        <w:textAlignment w:val="auto"/>
        <w:rPr>
          <w:rFonts w:hint="default" w:ascii="Times New Roman" w:hAnsi="Times New Roman" w:cs="Times New Roman"/>
        </w:rPr>
      </w:pPr>
      <w:r>
        <w:rPr>
          <w:rFonts w:hint="default" w:ascii="Times New Roman" w:hAnsi="Times New Roman" w:cs="Times New Roman"/>
          <w:color w:val="auto"/>
          <w:highlight w:val="none"/>
          <w:lang w:val="en-US" w:eastAsia="zh-CN"/>
        </w:rPr>
        <w:t>综上所述，现有总量指标完全可以满足本项目建设需求。因此，本项目无需申请总量。</w:t>
      </w:r>
    </w:p>
    <w:p>
      <w:pPr>
        <w:pStyle w:val="14"/>
        <w:spacing w:line="360" w:lineRule="auto"/>
        <w:ind w:left="0" w:firstLine="480" w:firstLineChars="200"/>
      </w:pPr>
    </w:p>
    <w:p>
      <w:pPr>
        <w:pStyle w:val="14"/>
        <w:spacing w:line="360" w:lineRule="auto"/>
        <w:ind w:left="0" w:firstLine="480" w:firstLineChars="200"/>
      </w:pPr>
    </w:p>
    <w:p>
      <w:pPr>
        <w:sectPr>
          <w:pgSz w:w="11910" w:h="16840"/>
          <w:pgMar w:top="1440" w:right="1803" w:bottom="1440" w:left="1803" w:header="896" w:footer="1088" w:gutter="0"/>
          <w:pgBorders>
            <w:top w:val="none" w:sz="0" w:space="0"/>
            <w:left w:val="none" w:sz="0" w:space="0"/>
            <w:bottom w:val="none" w:sz="0" w:space="0"/>
            <w:right w:val="none" w:sz="0" w:space="0"/>
          </w:pgBorders>
          <w:cols w:space="0" w:num="1"/>
        </w:sectPr>
      </w:pPr>
    </w:p>
    <w:p>
      <w:pPr>
        <w:pStyle w:val="14"/>
        <w:spacing w:line="20" w:lineRule="exact"/>
        <w:ind w:left="215"/>
        <w:rPr>
          <w:sz w:val="2"/>
        </w:rPr>
      </w:pPr>
    </w:p>
    <w:p>
      <w:pPr>
        <w:pStyle w:val="4"/>
        <w:tabs>
          <w:tab w:val="left" w:pos="1444"/>
        </w:tabs>
        <w:adjustRightInd w:val="0"/>
        <w:snapToGrid w:val="0"/>
        <w:spacing w:before="0" w:line="360" w:lineRule="auto"/>
        <w:ind w:right="0" w:firstLine="723" w:firstLineChars="200"/>
      </w:pPr>
      <w:bookmarkStart w:id="489" w:name="第九章__评价结论与建议"/>
      <w:bookmarkEnd w:id="489"/>
      <w:bookmarkStart w:id="490" w:name="_Toc32360"/>
      <w:bookmarkStart w:id="491" w:name="_Toc3337"/>
      <w:bookmarkStart w:id="492" w:name="_Toc14456"/>
      <w:r>
        <w:t>第九章</w:t>
      </w:r>
      <w:r>
        <w:rPr>
          <w:rFonts w:hint="eastAsia"/>
          <w:lang w:val="en-US"/>
        </w:rPr>
        <w:t xml:space="preserve">  </w:t>
      </w:r>
      <w:r>
        <w:t>评价结论与建议</w:t>
      </w:r>
      <w:bookmarkEnd w:id="490"/>
      <w:bookmarkEnd w:id="491"/>
      <w:bookmarkEnd w:id="492"/>
    </w:p>
    <w:p>
      <w:pPr>
        <w:pStyle w:val="5"/>
        <w:keepNext w:val="0"/>
        <w:keepLines w:val="0"/>
        <w:pageBreakBefore w:val="0"/>
        <w:widowControl w:val="0"/>
        <w:numPr>
          <w:ilvl w:val="1"/>
          <w:numId w:val="31"/>
        </w:numPr>
        <w:tabs>
          <w:tab w:val="left" w:pos="78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493" w:name="_bookmark39"/>
      <w:bookmarkEnd w:id="493"/>
      <w:bookmarkStart w:id="494" w:name="9.1_项目概况"/>
      <w:bookmarkEnd w:id="494"/>
      <w:bookmarkStart w:id="495" w:name="_Toc29862"/>
      <w:bookmarkStart w:id="496" w:name="_Toc32183"/>
      <w:bookmarkStart w:id="497" w:name="_Toc4044"/>
      <w:r>
        <w:t>项目概况</w:t>
      </w:r>
      <w:bookmarkEnd w:id="495"/>
      <w:bookmarkEnd w:id="496"/>
      <w:bookmarkEnd w:id="497"/>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auto"/>
        <w:rPr>
          <w:sz w:val="24"/>
          <w:szCs w:val="24"/>
        </w:rPr>
      </w:pPr>
      <w:r>
        <w:rPr>
          <w:rFonts w:hint="default" w:ascii="Times New Roman" w:hAnsi="Times New Roman" w:cs="Times New Roman"/>
          <w:color w:val="auto"/>
          <w:highlight w:val="none"/>
        </w:rPr>
        <w:t>本项目位于</w:t>
      </w:r>
      <w:r>
        <w:rPr>
          <w:rFonts w:hint="eastAsia" w:ascii="Times New Roman" w:hAnsi="Times New Roman" w:cs="Times New Roman"/>
          <w:color w:val="auto"/>
          <w:highlight w:val="none"/>
          <w:lang w:eastAsia="zh-CN"/>
        </w:rPr>
        <w:t>塔城地区额敏县桥南中粮路</w:t>
      </w:r>
      <w:r>
        <w:rPr>
          <w:rFonts w:hint="eastAsia" w:ascii="Times New Roman" w:hAnsi="Times New Roman" w:cs="Times New Roman"/>
          <w:color w:val="auto"/>
          <w:highlight w:val="none"/>
          <w:lang w:val="en-US" w:eastAsia="zh-CN"/>
        </w:rPr>
        <w:t>21号中粮糖业控股股份有限公司额敏糖业分公司厂区内</w:t>
      </w:r>
      <w:r>
        <w:rPr>
          <w:rFonts w:hint="default" w:ascii="Times New Roman" w:hAnsi="Times New Roman" w:cs="Times New Roman"/>
          <w:color w:val="auto"/>
          <w:highlight w:val="none"/>
          <w:lang w:eastAsia="zh-CN"/>
        </w:rPr>
        <w:t>，占地面积为</w:t>
      </w:r>
      <w:r>
        <w:rPr>
          <w:rFonts w:hint="eastAsia" w:ascii="Times New Roman" w:hAnsi="Times New Roman" w:cs="Times New Roman"/>
          <w:color w:val="auto"/>
          <w:highlight w:val="none"/>
          <w:lang w:val="en-US" w:eastAsia="zh-CN"/>
        </w:rPr>
        <w:t>1492</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厂</w:t>
      </w:r>
      <w:r>
        <w:rPr>
          <w:rFonts w:hint="default" w:ascii="Times New Roman" w:hAnsi="Times New Roman" w:cs="Times New Roman"/>
          <w:color w:val="auto"/>
          <w:highlight w:val="none"/>
        </w:rPr>
        <w:t>中心地理坐标为北纬</w:t>
      </w:r>
      <w:r>
        <w:rPr>
          <w:rFonts w:hint="default" w:ascii="Times New Roman" w:hAnsi="Times New Roman" w:cs="Times New Roman"/>
          <w:color w:val="auto"/>
          <w:highlight w:val="none"/>
          <w:lang w:eastAsia="zh-CN"/>
        </w:rPr>
        <w:t>46°</w:t>
      </w:r>
      <w:r>
        <w:rPr>
          <w:rFonts w:hint="eastAsia" w:ascii="Times New Roman" w:hAnsi="Times New Roman" w:cs="Times New Roman"/>
          <w:color w:val="auto"/>
          <w:highlight w:val="none"/>
          <w:lang w:val="en-US" w:eastAsia="zh-CN"/>
        </w:rPr>
        <w:t>30</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27.55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，东经</w:t>
      </w:r>
      <w:r>
        <w:rPr>
          <w:rFonts w:hint="default" w:ascii="Times New Roman" w:hAnsi="Times New Roman" w:cs="Times New Roman"/>
          <w:color w:val="auto"/>
          <w:highlight w:val="none"/>
          <w:lang w:eastAsia="zh-CN"/>
        </w:rPr>
        <w:t>8</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39</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53.48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eastAsia="宋体" w:cs="Times New Roman"/>
        </w:rPr>
        <w:t>本项目在厂区内现有动力车间东面的预留扩建位置新建1×90t/h中温中压循环流化床锅炉，配套新增3台称重式给煤机、1台一次风机、1台二次风机、2台罗茨风机、1台布袋除尘器、1台引风机、2台锅炉电动高压给水泵；输煤在原有的2条TD75上煤皮带机基础上新增1条同型号上煤皮带机，脱硫设备全部新增，新增1个高度暂定45m烟囱，采用烟塔合一技术，除尘除渣全部新增，堆煤场、渣厂利用原有设施可满足本项目要求，锅炉所产蒸汽全部进入汽轮机做功后在进入制糖工艺生产用汽点</w:t>
      </w:r>
      <w:r>
        <w:rPr>
          <w:rFonts w:hint="default" w:ascii="Times New Roman" w:hAnsi="Times New Roman" w:eastAsia="宋体" w:cs="Times New Roman"/>
          <w:color w:val="auto"/>
          <w:sz w:val="24"/>
          <w:szCs w:val="24"/>
          <w:highlight w:val="none"/>
        </w:rPr>
        <w:t>。</w:t>
      </w:r>
      <w:r>
        <w:rPr>
          <w:rFonts w:hint="eastAsia"/>
          <w:color w:val="auto"/>
          <w:highlight w:val="none"/>
        </w:rPr>
        <w:t>项目总投资</w:t>
      </w:r>
      <w:r>
        <w:rPr>
          <w:rFonts w:hint="eastAsia" w:cs="Times New Roman"/>
          <w:color w:val="auto"/>
          <w:kern w:val="2"/>
          <w:highlight w:val="none"/>
          <w:lang w:val="en-US" w:eastAsia="zh-CN"/>
        </w:rPr>
        <w:t>3800</w:t>
      </w:r>
      <w:r>
        <w:rPr>
          <w:rFonts w:hint="eastAsia"/>
          <w:color w:val="auto"/>
          <w:highlight w:val="none"/>
        </w:rPr>
        <w:t>万元，其中环保投资</w:t>
      </w:r>
      <w:r>
        <w:rPr>
          <w:rFonts w:hint="eastAsia"/>
          <w:color w:val="auto"/>
          <w:highlight w:val="none"/>
          <w:lang w:val="en-US" w:eastAsia="zh-CN"/>
        </w:rPr>
        <w:t>500</w:t>
      </w:r>
      <w:r>
        <w:rPr>
          <w:rFonts w:hint="eastAsia"/>
          <w:color w:val="auto"/>
          <w:highlight w:val="none"/>
        </w:rPr>
        <w:t>万元，占总投资的</w:t>
      </w:r>
      <w:r>
        <w:rPr>
          <w:rFonts w:hint="eastAsia" w:ascii="Times New Roman" w:hAnsi="Times New Roman" w:cs="Times New Roman"/>
          <w:color w:val="auto"/>
          <w:kern w:val="2"/>
          <w:highlight w:val="none"/>
          <w:lang w:val="en-US" w:eastAsia="zh-CN"/>
        </w:rPr>
        <w:t>13.16</w:t>
      </w:r>
      <w:r>
        <w:rPr>
          <w:rFonts w:hint="default" w:ascii="Times New Roman" w:hAnsi="Times New Roman" w:eastAsia="宋体" w:cs="Times New Roman"/>
          <w:color w:val="auto"/>
          <w:kern w:val="2"/>
          <w:highlight w:val="none"/>
        </w:rPr>
        <w:t>%</w:t>
      </w:r>
      <w:r>
        <w:rPr>
          <w:rFonts w:hint="eastAsia"/>
          <w:color w:val="auto"/>
          <w:highlight w:val="none"/>
        </w:rPr>
        <w:t>。</w:t>
      </w:r>
    </w:p>
    <w:p>
      <w:pPr>
        <w:pStyle w:val="5"/>
        <w:keepNext w:val="0"/>
        <w:keepLines w:val="0"/>
        <w:pageBreakBefore w:val="0"/>
        <w:widowControl w:val="0"/>
        <w:numPr>
          <w:ilvl w:val="1"/>
          <w:numId w:val="31"/>
        </w:numPr>
        <w:tabs>
          <w:tab w:val="left" w:pos="78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498" w:name="_bookmark40"/>
      <w:bookmarkEnd w:id="498"/>
      <w:bookmarkStart w:id="499" w:name="9.2_产业政策及相关规划符合性"/>
      <w:bookmarkEnd w:id="499"/>
      <w:bookmarkStart w:id="500" w:name="_Toc17064"/>
      <w:bookmarkStart w:id="501" w:name="_Toc18019"/>
      <w:bookmarkStart w:id="502" w:name="_Toc15357"/>
      <w:r>
        <w:t>产业政策及相关规划符合性</w:t>
      </w:r>
      <w:bookmarkEnd w:id="500"/>
      <w:bookmarkEnd w:id="501"/>
      <w:bookmarkEnd w:id="502"/>
    </w:p>
    <w:p>
      <w:pPr>
        <w:bidi w:val="0"/>
        <w:rPr>
          <w:color w:val="000000" w:themeColor="text1"/>
          <w:lang w:val="en-US"/>
        </w:rPr>
      </w:pPr>
      <w:r>
        <w:t>本项目为</w:t>
      </w:r>
      <w:r>
        <w:rPr>
          <w:rFonts w:hint="eastAsia"/>
          <w:lang w:eastAsia="zh-CN"/>
        </w:rPr>
        <w:t>锅炉改造项目</w:t>
      </w:r>
      <w:r>
        <w:t>，属于国家发展和改革委员会第</w:t>
      </w:r>
      <w:r>
        <w:rPr>
          <w:rFonts w:hint="eastAsia"/>
          <w:lang w:val="en-US" w:eastAsia="zh-CN"/>
        </w:rPr>
        <w:t>7</w:t>
      </w:r>
      <w:r>
        <w:t>号令《产业结构调整指导目录（20</w:t>
      </w:r>
      <w:r>
        <w:rPr>
          <w:rFonts w:hint="eastAsia"/>
          <w:lang w:val="en-US" w:eastAsia="zh-CN"/>
        </w:rPr>
        <w:t>24</w:t>
      </w:r>
      <w:r>
        <w:t>年本）》鼓励类中的“</w:t>
      </w:r>
      <w:r>
        <w:rPr>
          <w:rFonts w:hint="eastAsia"/>
          <w:lang w:eastAsia="zh-CN"/>
        </w:rPr>
        <w:t>四</w:t>
      </w:r>
      <w:r>
        <w:t>、</w:t>
      </w:r>
      <w:r>
        <w:rPr>
          <w:rFonts w:hint="eastAsia"/>
          <w:lang w:eastAsia="zh-CN"/>
        </w:rPr>
        <w:t>电力</w:t>
      </w:r>
      <w:r>
        <w:rPr>
          <w:rFonts w:hint="eastAsia" w:ascii="Times New Roman" w:hAnsi="Times New Roman"/>
          <w:lang w:val="en-US" w:eastAsia="zh-CN"/>
        </w:rPr>
        <w:t>-</w:t>
      </w:r>
      <w:r>
        <w:rPr>
          <w:rFonts w:ascii="Times New Roman" w:hAnsi="Times New Roman"/>
        </w:rPr>
        <w:t>6．火力发电低碳节能改造：燃煤发电机组二氧化碳捕集、利用与封存（CCUS）技术，超低排放、重金属脱除等多污染物协同治理技术，减污降碳协同增效技术开发与应用，火力发电机组节能降碳改造、供热改造、灵活性改造，煤电机组深度调峰安全防范技术研发与应用”，</w:t>
      </w:r>
      <w:r>
        <w:t>因此本项目符合国家产业政策。</w:t>
      </w:r>
    </w:p>
    <w:p>
      <w:pPr>
        <w:pStyle w:val="5"/>
        <w:keepNext w:val="0"/>
        <w:keepLines w:val="0"/>
        <w:pageBreakBefore w:val="0"/>
        <w:widowControl w:val="0"/>
        <w:numPr>
          <w:ilvl w:val="1"/>
          <w:numId w:val="31"/>
        </w:numPr>
        <w:tabs>
          <w:tab w:val="left" w:pos="78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503" w:name="_bookmark41"/>
      <w:bookmarkEnd w:id="503"/>
      <w:bookmarkStart w:id="504" w:name="9.3_环境质量现状"/>
      <w:bookmarkEnd w:id="504"/>
      <w:bookmarkStart w:id="505" w:name="_Toc23777"/>
      <w:bookmarkStart w:id="506" w:name="_Toc5504"/>
      <w:bookmarkStart w:id="507" w:name="_Toc28476"/>
      <w:r>
        <w:t>环境质量现状</w:t>
      </w:r>
      <w:bookmarkEnd w:id="505"/>
      <w:bookmarkEnd w:id="506"/>
      <w:bookmarkEnd w:id="507"/>
    </w:p>
    <w:p>
      <w:pPr>
        <w:pStyle w:val="6"/>
        <w:numPr>
          <w:ilvl w:val="2"/>
          <w:numId w:val="32"/>
        </w:numPr>
        <w:tabs>
          <w:tab w:val="left" w:pos="921"/>
        </w:tabs>
        <w:adjustRightInd w:val="0"/>
        <w:snapToGrid w:val="0"/>
        <w:spacing w:line="360" w:lineRule="auto"/>
        <w:ind w:left="0" w:firstLine="562" w:firstLineChars="200"/>
        <w:jc w:val="both"/>
      </w:pPr>
      <w:bookmarkStart w:id="508" w:name="9.3.1_环境空气质量现状"/>
      <w:bookmarkEnd w:id="508"/>
      <w:r>
        <w:t>环境空气质量现状</w:t>
      </w:r>
    </w:p>
    <w:p>
      <w:pPr>
        <w:pStyle w:val="41"/>
        <w:numPr>
          <w:ilvl w:val="3"/>
          <w:numId w:val="32"/>
        </w:numPr>
        <w:tabs>
          <w:tab w:val="left" w:pos="1301"/>
        </w:tabs>
        <w:adjustRightInd w:val="0"/>
        <w:snapToGrid w:val="0"/>
        <w:spacing w:before="0" w:line="360" w:lineRule="auto"/>
        <w:ind w:left="0" w:firstLine="480" w:firstLineChars="200"/>
        <w:jc w:val="both"/>
        <w:rPr>
          <w:sz w:val="24"/>
        </w:rPr>
      </w:pPr>
      <w:r>
        <w:rPr>
          <w:sz w:val="24"/>
        </w:rPr>
        <w:t>基本污染物环境质量现状</w:t>
      </w:r>
    </w:p>
    <w:p>
      <w:pPr>
        <w:pStyle w:val="15"/>
        <w:spacing w:after="0"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20</w:t>
      </w:r>
      <w:r>
        <w:rPr>
          <w:rFonts w:hint="eastAsia" w:cs="Times New Roman"/>
          <w:color w:val="000000"/>
          <w:sz w:val="24"/>
          <w:szCs w:val="24"/>
          <w:lang w:val="en-US" w:eastAsia="zh-CN"/>
        </w:rPr>
        <w:t>21</w:t>
      </w:r>
      <w:r>
        <w:rPr>
          <w:rFonts w:ascii="Times New Roman" w:hAnsi="Times New Roman" w:cs="Times New Roman"/>
          <w:color w:val="000000"/>
          <w:sz w:val="24"/>
          <w:szCs w:val="24"/>
        </w:rPr>
        <w:t>年</w:t>
      </w:r>
      <w:r>
        <w:rPr>
          <w:rFonts w:ascii="Times New Roman" w:hAnsi="Times New Roman" w:cs="Times New Roman"/>
          <w:color w:val="000000"/>
          <w:sz w:val="24"/>
        </w:rPr>
        <w:t>项目所在区域SO</w:t>
      </w:r>
      <w:r>
        <w:rPr>
          <w:rFonts w:ascii="Times New Roman" w:hAnsi="Times New Roman" w:cs="Times New Roman"/>
          <w:color w:val="000000"/>
          <w:sz w:val="24"/>
          <w:vertAlign w:val="subscript"/>
        </w:rPr>
        <w:t>2</w:t>
      </w:r>
      <w:r>
        <w:rPr>
          <w:rFonts w:ascii="Times New Roman" w:hAnsi="Times New Roman" w:cs="Times New Roman"/>
          <w:color w:val="000000"/>
          <w:sz w:val="24"/>
        </w:rPr>
        <w:t>、</w:t>
      </w:r>
      <w:r>
        <w:rPr>
          <w:rFonts w:ascii="Times New Roman" w:hAnsi="Times New Roman" w:cs="Times New Roman"/>
          <w:color w:val="000000"/>
          <w:sz w:val="24"/>
          <w:lang w:val="en-US"/>
        </w:rPr>
        <w:t>CO、O</w:t>
      </w:r>
      <w:r>
        <w:rPr>
          <w:rFonts w:ascii="Times New Roman" w:hAnsi="Times New Roman" w:cs="Times New Roman"/>
          <w:color w:val="000000"/>
          <w:sz w:val="24"/>
          <w:vertAlign w:val="subscript"/>
          <w:lang w:val="en-US"/>
        </w:rPr>
        <w:t>3</w:t>
      </w:r>
      <w:r>
        <w:rPr>
          <w:rFonts w:ascii="Times New Roman" w:hAnsi="Times New Roman" w:cs="Times New Roman"/>
          <w:color w:val="000000"/>
          <w:sz w:val="24"/>
        </w:rPr>
        <w:t>、NO</w:t>
      </w:r>
      <w:r>
        <w:rPr>
          <w:rFonts w:hint="eastAsia" w:ascii="Times New Roman" w:hAnsi="Times New Roman" w:cs="Times New Roman"/>
          <w:color w:val="000000"/>
          <w:sz w:val="24"/>
        </w:rPr>
        <w:t>、</w:t>
      </w:r>
      <w:r>
        <w:rPr>
          <w:rFonts w:ascii="Times New Roman" w:hAnsi="Times New Roman" w:cs="Times New Roman"/>
          <w:color w:val="000000"/>
          <w:sz w:val="24"/>
        </w:rPr>
        <w:t>PM</w:t>
      </w:r>
      <w:r>
        <w:rPr>
          <w:rFonts w:ascii="Times New Roman" w:hAnsi="Times New Roman" w:cs="Times New Roman"/>
          <w:color w:val="000000"/>
          <w:sz w:val="24"/>
          <w:vertAlign w:val="subscript"/>
        </w:rPr>
        <w:t>10</w:t>
      </w:r>
      <w:r>
        <w:rPr>
          <w:rFonts w:ascii="Times New Roman" w:hAnsi="Times New Roman" w:cs="Times New Roman"/>
          <w:color w:val="000000"/>
          <w:sz w:val="24"/>
        </w:rPr>
        <w:t>、PM</w:t>
      </w:r>
      <w:r>
        <w:rPr>
          <w:rFonts w:ascii="Times New Roman" w:hAnsi="Times New Roman" w:cs="Times New Roman"/>
          <w:color w:val="000000"/>
          <w:sz w:val="24"/>
          <w:vertAlign w:val="subscript"/>
          <w:lang w:val="en-US"/>
        </w:rPr>
        <w:t>2.5</w:t>
      </w:r>
      <w:r>
        <w:rPr>
          <w:rFonts w:ascii="Times New Roman" w:hAnsi="Times New Roman" w:cs="Times New Roman"/>
          <w:color w:val="000000"/>
          <w:sz w:val="24"/>
          <w:lang w:val="en-US"/>
        </w:rPr>
        <w:t>的年评价指标均为</w:t>
      </w:r>
      <w:r>
        <w:rPr>
          <w:rFonts w:hint="eastAsia" w:ascii="Times New Roman" w:hAnsi="Times New Roman" w:cs="Times New Roman"/>
          <w:color w:val="000000"/>
          <w:sz w:val="24"/>
          <w:lang w:val="en-US"/>
        </w:rPr>
        <w:t>达标，</w:t>
      </w:r>
      <w:r>
        <w:rPr>
          <w:rFonts w:ascii="Times New Roman" w:hAnsi="Times New Roman" w:cs="Times New Roman"/>
          <w:color w:val="000000"/>
          <w:sz w:val="24"/>
          <w:lang w:val="en-US"/>
        </w:rPr>
        <w:t>项目所在区域为大气环境质量达标区</w:t>
      </w:r>
      <w:r>
        <w:rPr>
          <w:rFonts w:ascii="Times New Roman" w:hAnsi="Times New Roman" w:cs="Times New Roman"/>
          <w:color w:val="000000"/>
          <w:sz w:val="24"/>
        </w:rPr>
        <w:t>。</w:t>
      </w:r>
    </w:p>
    <w:p>
      <w:pPr>
        <w:pStyle w:val="41"/>
        <w:numPr>
          <w:ilvl w:val="3"/>
          <w:numId w:val="32"/>
        </w:numPr>
        <w:tabs>
          <w:tab w:val="left" w:pos="1304"/>
        </w:tabs>
        <w:adjustRightInd w:val="0"/>
        <w:snapToGrid w:val="0"/>
        <w:spacing w:before="0" w:line="360" w:lineRule="auto"/>
        <w:ind w:left="0" w:firstLine="480" w:firstLineChars="200"/>
        <w:jc w:val="both"/>
        <w:rPr>
          <w:sz w:val="24"/>
        </w:rPr>
      </w:pPr>
      <w:r>
        <w:rPr>
          <w:sz w:val="24"/>
        </w:rPr>
        <w:t>其他污染物环境质量现状</w:t>
      </w:r>
    </w:p>
    <w:p>
      <w:pPr>
        <w:pStyle w:val="14"/>
        <w:adjustRightInd w:val="0"/>
        <w:snapToGrid w:val="0"/>
        <w:spacing w:line="360" w:lineRule="auto"/>
        <w:ind w:left="0" w:firstLine="480" w:firstLineChars="200"/>
        <w:jc w:val="both"/>
        <w:rPr>
          <w:color w:val="000000" w:themeColor="text1"/>
        </w:rPr>
      </w:pPr>
      <w:r>
        <w:rPr>
          <w:rFonts w:hint="default" w:ascii="Times New Roman" w:hAnsi="Times New Roman" w:eastAsia="宋体" w:cs="Times New Roman"/>
          <w:b w:val="0"/>
          <w:bCs/>
          <w:color w:val="auto"/>
          <w:sz w:val="24"/>
          <w:szCs w:val="24"/>
          <w:highlight w:val="none"/>
        </w:rPr>
        <w:t>项目区TSP</w:t>
      </w: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NO</w:t>
      </w:r>
      <w:r>
        <w:rPr>
          <w:rFonts w:hint="eastAsia" w:ascii="Times New Roman" w:hAnsi="Times New Roman" w:eastAsia="宋体" w:cs="Times New Roman"/>
          <w:b w:val="0"/>
          <w:bCs/>
          <w:color w:val="auto"/>
          <w:sz w:val="24"/>
          <w:szCs w:val="24"/>
          <w:highlight w:val="none"/>
          <w:vertAlign w:val="subscript"/>
          <w:lang w:val="en-US" w:eastAsia="zh-CN"/>
        </w:rPr>
        <w:t>x</w:t>
      </w:r>
      <w:r>
        <w:rPr>
          <w:rFonts w:hint="default" w:ascii="Times New Roman" w:hAnsi="Times New Roman" w:eastAsia="宋体" w:cs="Times New Roman"/>
          <w:b w:val="0"/>
          <w:bCs/>
          <w:color w:val="auto"/>
          <w:sz w:val="24"/>
          <w:szCs w:val="24"/>
          <w:highlight w:val="none"/>
        </w:rPr>
        <w:t>浓度能够满足《环境空气质量标准》（GB3095-2012）二级标准限值要求；汞及其化合物的浓度能够满足《环境空气质量标准》（GB3095-2012）附录A表A.1参考浓度限制</w:t>
      </w:r>
      <w:r>
        <w:rPr>
          <w:rFonts w:hint="eastAsia" w:ascii="Times New Roman" w:hAnsi="Times New Roman" w:eastAsia="宋体" w:cs="Times New Roman"/>
          <w:b w:val="0"/>
          <w:bCs/>
          <w:color w:val="auto"/>
          <w:sz w:val="24"/>
          <w:szCs w:val="24"/>
          <w:highlight w:val="none"/>
          <w:lang w:eastAsia="zh-CN"/>
        </w:rPr>
        <w:t>，氨浓度能够满足《</w:t>
      </w:r>
      <w:r>
        <w:rPr>
          <w:rFonts w:hint="eastAsia" w:ascii="宋体" w:hAnsi="宋体" w:eastAsia="宋体" w:cs="宋体"/>
          <w:b w:val="0"/>
          <w:bCs/>
          <w:color w:val="000000"/>
          <w:kern w:val="0"/>
          <w:sz w:val="24"/>
          <w:szCs w:val="24"/>
          <w:lang w:val="en-US" w:eastAsia="zh-CN" w:bidi="ar"/>
        </w:rPr>
        <w:t>环境影响评价技术导则大气环境</w:t>
      </w:r>
      <w:r>
        <w:rPr>
          <w:rFonts w:hint="default" w:ascii="Times New Roman" w:hAnsi="Times New Roman" w:eastAsia="宋体" w:cs="Times New Roman"/>
          <w:b w:val="0"/>
          <w:bCs/>
          <w:color w:val="000000"/>
          <w:kern w:val="0"/>
          <w:sz w:val="24"/>
          <w:szCs w:val="24"/>
          <w:lang w:val="en-US" w:eastAsia="zh-CN" w:bidi="ar"/>
        </w:rPr>
        <w:t>(HJ 2.2-2018)</w:t>
      </w:r>
      <w:r>
        <w:rPr>
          <w:rFonts w:hint="eastAsia" w:ascii="宋体" w:hAnsi="宋体" w:eastAsia="宋体" w:cs="宋体"/>
          <w:b w:val="0"/>
          <w:bCs/>
          <w:color w:val="000000"/>
          <w:kern w:val="0"/>
          <w:sz w:val="24"/>
          <w:szCs w:val="24"/>
          <w:lang w:val="en-US" w:eastAsia="zh-CN" w:bidi="ar"/>
        </w:rPr>
        <w:t>中附录</w:t>
      </w:r>
      <w:r>
        <w:rPr>
          <w:rFonts w:hint="default" w:ascii="Times New Roman" w:hAnsi="Times New Roman" w:eastAsia="宋体" w:cs="Times New Roman"/>
          <w:b w:val="0"/>
          <w:bCs/>
          <w:color w:val="000000"/>
          <w:kern w:val="0"/>
          <w:sz w:val="24"/>
          <w:szCs w:val="24"/>
          <w:lang w:val="en-US" w:eastAsia="zh-CN" w:bidi="ar"/>
        </w:rPr>
        <w:t>D</w:t>
      </w:r>
      <w:r>
        <w:rPr>
          <w:rFonts w:hint="eastAsia" w:ascii="Times New Roman" w:hAnsi="Times New Roman" w:eastAsia="宋体" w:cs="Times New Roman"/>
          <w:b w:val="0"/>
          <w:bCs/>
          <w:color w:val="auto"/>
          <w:sz w:val="24"/>
          <w:szCs w:val="24"/>
          <w:highlight w:val="none"/>
          <w:lang w:eastAsia="zh-CN"/>
        </w:rPr>
        <w:t>》参考浓度限值</w:t>
      </w:r>
      <w:r>
        <w:rPr>
          <w:rFonts w:hint="default" w:ascii="Times New Roman" w:hAnsi="Times New Roman" w:eastAsia="宋体" w:cs="Times New Roman"/>
          <w:b w:val="0"/>
          <w:bCs/>
          <w:color w:val="auto"/>
          <w:sz w:val="24"/>
          <w:szCs w:val="24"/>
          <w:highlight w:val="none"/>
        </w:rPr>
        <w:t>。</w:t>
      </w:r>
    </w:p>
    <w:p>
      <w:pPr>
        <w:pStyle w:val="6"/>
        <w:numPr>
          <w:ilvl w:val="2"/>
          <w:numId w:val="32"/>
        </w:numPr>
        <w:tabs>
          <w:tab w:val="left" w:pos="921"/>
        </w:tabs>
        <w:adjustRightInd w:val="0"/>
        <w:snapToGrid w:val="0"/>
        <w:spacing w:line="360" w:lineRule="auto"/>
        <w:ind w:left="0" w:firstLine="562" w:firstLineChars="200"/>
        <w:jc w:val="both"/>
      </w:pPr>
      <w:bookmarkStart w:id="509" w:name="9.3.2_地下水环境环境质量现状"/>
      <w:bookmarkEnd w:id="509"/>
      <w:bookmarkStart w:id="510" w:name="9.3.3_声环境"/>
      <w:bookmarkEnd w:id="510"/>
      <w:r>
        <w:t>声环境</w:t>
      </w:r>
    </w:p>
    <w:p>
      <w:pPr>
        <w:pStyle w:val="14"/>
        <w:adjustRightInd w:val="0"/>
        <w:snapToGrid w:val="0"/>
        <w:spacing w:line="360" w:lineRule="auto"/>
        <w:ind w:left="0" w:firstLine="480" w:firstLineChars="200"/>
        <w:jc w:val="both"/>
      </w:pPr>
      <w:r>
        <w:rPr>
          <w:rFonts w:ascii="Times New Roman" w:hAnsi="Times New Roman" w:cs="Times New Roman"/>
          <w:color w:val="000000"/>
        </w:rPr>
        <w:t>项目区厂界东侧、西侧、南侧和北侧监测点声环境质量监测值均符合《声环境质量标准》（GB3096-2008）中</w:t>
      </w:r>
      <w:r>
        <w:rPr>
          <w:rFonts w:hint="eastAsia" w:cs="Times New Roman"/>
          <w:color w:val="000000"/>
          <w:lang w:val="en-US" w:eastAsia="zh-CN"/>
        </w:rPr>
        <w:t>3</w:t>
      </w:r>
      <w:r>
        <w:rPr>
          <w:rFonts w:ascii="Times New Roman" w:hAnsi="Times New Roman" w:cs="Times New Roman"/>
          <w:color w:val="000000"/>
        </w:rPr>
        <w:t>类声环境功能区标准，项目区声环境质量现状较好。</w:t>
      </w:r>
    </w:p>
    <w:p>
      <w:pPr>
        <w:pStyle w:val="6"/>
        <w:numPr>
          <w:ilvl w:val="2"/>
          <w:numId w:val="32"/>
        </w:numPr>
        <w:tabs>
          <w:tab w:val="left" w:pos="921"/>
        </w:tabs>
        <w:adjustRightInd w:val="0"/>
        <w:snapToGrid w:val="0"/>
        <w:spacing w:line="360" w:lineRule="auto"/>
        <w:ind w:left="0" w:firstLine="562" w:firstLineChars="200"/>
        <w:jc w:val="both"/>
      </w:pPr>
      <w:r>
        <w:t>土壤环境</w:t>
      </w:r>
    </w:p>
    <w:p>
      <w:pPr>
        <w:pStyle w:val="14"/>
        <w:adjustRightInd w:val="0"/>
        <w:snapToGrid w:val="0"/>
        <w:spacing w:line="360" w:lineRule="auto"/>
        <w:ind w:left="0" w:firstLine="480" w:firstLineChars="200"/>
        <w:jc w:val="both"/>
      </w:pPr>
      <w:r>
        <w:rPr>
          <w:rFonts w:hint="eastAsia" w:ascii="Times New Roman" w:hAnsi="Times New Roman"/>
          <w:color w:val="auto"/>
          <w:highlight w:val="none"/>
          <w:lang w:eastAsia="zh-CN"/>
        </w:rPr>
        <w:t>项目区</w:t>
      </w:r>
      <w:r>
        <w:rPr>
          <w:rFonts w:ascii="Times New Roman" w:hAnsi="Times New Roman"/>
          <w:color w:val="auto"/>
          <w:highlight w:val="none"/>
        </w:rPr>
        <w:t>监测点的各项监测因子均满足</w:t>
      </w:r>
      <w:r>
        <w:rPr>
          <w:rFonts w:hint="eastAsia" w:ascii="Times New Roman" w:hAnsi="Times New Roman"/>
          <w:color w:val="auto"/>
          <w:highlight w:val="none"/>
          <w:lang w:val="zh-TW"/>
        </w:rPr>
        <w:t>《土壤环境质量 建设用地土壤污染风险管控标准（试行）》（GB36600-2018）中的第二类用地风险筛选值</w:t>
      </w:r>
      <w:r>
        <w:rPr>
          <w:rFonts w:ascii="Times New Roman" w:hAnsi="Times New Roman"/>
          <w:color w:val="auto"/>
          <w:highlight w:val="none"/>
        </w:rPr>
        <w:t>限值要求</w:t>
      </w:r>
      <w:r>
        <w:rPr>
          <w:rFonts w:hint="eastAsia" w:ascii="Times New Roman" w:hAnsi="Times New Roman"/>
          <w:color w:val="auto"/>
          <w:highlight w:val="none"/>
        </w:rPr>
        <w:t>。</w:t>
      </w:r>
    </w:p>
    <w:p>
      <w:pPr>
        <w:pStyle w:val="5"/>
        <w:keepNext w:val="0"/>
        <w:keepLines w:val="0"/>
        <w:pageBreakBefore w:val="0"/>
        <w:widowControl w:val="0"/>
        <w:numPr>
          <w:ilvl w:val="1"/>
          <w:numId w:val="31"/>
        </w:numPr>
        <w:tabs>
          <w:tab w:val="left" w:pos="78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511" w:name="_bookmark42"/>
      <w:bookmarkEnd w:id="511"/>
      <w:bookmarkStart w:id="512" w:name="9.4_工程分析结论"/>
      <w:bookmarkEnd w:id="512"/>
      <w:bookmarkStart w:id="513" w:name="_Toc2809"/>
      <w:r>
        <w:rPr>
          <w:rFonts w:hint="eastAsia"/>
          <w:lang w:eastAsia="zh-CN"/>
        </w:rPr>
        <w:t>环境影响评价结论</w:t>
      </w:r>
      <w:bookmarkEnd w:id="513"/>
    </w:p>
    <w:p>
      <w:pPr>
        <w:pStyle w:val="6"/>
        <w:numPr>
          <w:ilvl w:val="2"/>
          <w:numId w:val="33"/>
        </w:numPr>
        <w:tabs>
          <w:tab w:val="left" w:pos="921"/>
        </w:tabs>
        <w:adjustRightInd w:val="0"/>
        <w:snapToGrid w:val="0"/>
        <w:spacing w:line="360" w:lineRule="auto"/>
        <w:ind w:left="0" w:firstLine="562" w:firstLineChars="200"/>
        <w:jc w:val="both"/>
      </w:pPr>
      <w:bookmarkStart w:id="514" w:name="9.4.1_废气污染源"/>
      <w:bookmarkEnd w:id="514"/>
      <w:r>
        <w:rPr>
          <w:rFonts w:hint="eastAsia"/>
          <w:lang w:eastAsia="zh-CN"/>
        </w:rPr>
        <w:t>施工期环境影响分析结论</w:t>
      </w:r>
    </w:p>
    <w:p>
      <w:pPr>
        <w:pStyle w:val="14"/>
        <w:adjustRightInd w:val="0"/>
        <w:snapToGrid w:val="0"/>
        <w:spacing w:line="360" w:lineRule="auto"/>
        <w:ind w:left="0" w:firstLine="480" w:firstLineChars="200"/>
        <w:jc w:val="both"/>
        <w:rPr>
          <w:rFonts w:ascii="Times New Roman" w:hAnsi="Times New Roman"/>
          <w:color w:val="auto"/>
          <w:highlight w:val="none"/>
        </w:rPr>
      </w:pPr>
      <w:r>
        <w:rPr>
          <w:rFonts w:ascii="Times New Roman" w:hAnsi="Times New Roman"/>
          <w:color w:val="auto"/>
          <w:highlight w:val="none"/>
        </w:rPr>
        <w:t>施工期对周围环境的影响主要表现在扬尘、施工废水、噪声及固体废物等方面。本项目施工工程量较小，施工周期短，只要建设单位和施工单位认真做好施工组织工作，文明施工，并按环评要求采取相应的环保措施，则工程施工不会对环境产生明显不利影响。工程建设完成后，除永久占地为持续影响外，其余影响均属短期的、可恢复和局部的环境影响，随着施工活动的结束而消失。</w:t>
      </w:r>
    </w:p>
    <w:p>
      <w:pPr>
        <w:pStyle w:val="6"/>
        <w:numPr>
          <w:ilvl w:val="2"/>
          <w:numId w:val="33"/>
        </w:numPr>
        <w:tabs>
          <w:tab w:val="left" w:pos="921"/>
        </w:tabs>
        <w:adjustRightInd w:val="0"/>
        <w:snapToGrid w:val="0"/>
        <w:spacing w:line="360" w:lineRule="auto"/>
        <w:ind w:left="0" w:firstLine="562" w:firstLineChars="200"/>
        <w:jc w:val="both"/>
      </w:pPr>
      <w:bookmarkStart w:id="515" w:name="9.4.2_废水污染源"/>
      <w:bookmarkEnd w:id="515"/>
      <w:r>
        <w:rPr>
          <w:rFonts w:hint="eastAsia"/>
          <w:lang w:eastAsia="zh-CN"/>
        </w:rPr>
        <w:t>运营期环境影响结论</w:t>
      </w:r>
    </w:p>
    <w:p>
      <w:pPr>
        <w:pStyle w:val="14"/>
        <w:adjustRightInd w:val="0"/>
        <w:snapToGrid w:val="0"/>
        <w:spacing w:line="360" w:lineRule="auto"/>
        <w:ind w:left="0" w:firstLine="454" w:firstLineChars="200"/>
        <w:jc w:val="both"/>
        <w:rPr>
          <w:rFonts w:hint="default" w:eastAsia="宋体"/>
          <w:b/>
          <w:bCs/>
          <w:spacing w:val="-7"/>
          <w:lang w:val="en-US" w:eastAsia="zh-CN"/>
        </w:rPr>
      </w:pPr>
      <w:r>
        <w:rPr>
          <w:rFonts w:hint="eastAsia"/>
          <w:b/>
          <w:bCs/>
          <w:spacing w:val="-7"/>
          <w:lang w:val="en-US" w:eastAsia="zh-CN"/>
        </w:rPr>
        <w:t>9.4.2.1废气</w:t>
      </w:r>
    </w:p>
    <w:p>
      <w:pPr>
        <w:bidi w:val="0"/>
        <w:rPr>
          <w:rFonts w:hint="eastAsia"/>
          <w:color w:val="auto"/>
          <w:highlight w:val="none"/>
        </w:rPr>
      </w:pPr>
      <w:r>
        <w:rPr>
          <w:rFonts w:hint="eastAsia"/>
          <w:color w:val="auto"/>
          <w:highlight w:val="none"/>
        </w:rPr>
        <w:t>（1）有组织废气</w:t>
      </w:r>
    </w:p>
    <w:p>
      <w:pPr>
        <w:bidi w:val="0"/>
        <w:rPr>
          <w:rFonts w:hint="eastAsia"/>
          <w:color w:val="auto"/>
          <w:highlight w:val="none"/>
        </w:rPr>
      </w:pPr>
      <w:r>
        <w:rPr>
          <w:rFonts w:hint="eastAsia"/>
          <w:color w:val="auto"/>
          <w:highlight w:val="none"/>
        </w:rPr>
        <w:t>本项目区有组织废气是锅炉燃煤烟气。锅炉烟气经</w:t>
      </w:r>
      <w:r>
        <w:rPr>
          <w:rFonts w:hint="eastAsia"/>
          <w:color w:val="auto"/>
          <w:highlight w:val="none"/>
          <w:lang w:eastAsia="zh-CN"/>
        </w:rPr>
        <w:t>“</w:t>
      </w:r>
      <w:r>
        <w:rPr>
          <w:rFonts w:hint="eastAsia"/>
          <w:color w:val="auto"/>
          <w:highlight w:val="none"/>
        </w:rPr>
        <w:t>SNCR</w:t>
      </w:r>
      <w:r>
        <w:rPr>
          <w:color w:val="auto"/>
          <w:highlight w:val="none"/>
        </w:rPr>
        <w:t>脱硝+</w:t>
      </w:r>
      <w:r>
        <w:rPr>
          <w:rFonts w:hint="eastAsia"/>
          <w:color w:val="auto"/>
          <w:highlight w:val="none"/>
        </w:rPr>
        <w:t>布袋</w:t>
      </w:r>
      <w:r>
        <w:rPr>
          <w:color w:val="auto"/>
          <w:highlight w:val="none"/>
        </w:rPr>
        <w:t>除尘器+</w:t>
      </w:r>
      <w:r>
        <w:rPr>
          <w:rFonts w:hint="eastAsia"/>
          <w:color w:val="00B050"/>
          <w:highlight w:val="none"/>
          <w:lang w:eastAsia="zh-CN"/>
        </w:rPr>
        <w:t>石灰石膏法</w:t>
      </w:r>
      <w:r>
        <w:rPr>
          <w:color w:val="auto"/>
          <w:highlight w:val="none"/>
        </w:rPr>
        <w:t>脱硫</w:t>
      </w:r>
      <w:r>
        <w:rPr>
          <w:rFonts w:hint="eastAsia"/>
          <w:color w:val="auto"/>
          <w:highlight w:val="none"/>
          <w:lang w:eastAsia="zh-CN"/>
        </w:rPr>
        <w:t>”</w:t>
      </w:r>
      <w:r>
        <w:rPr>
          <w:rFonts w:hint="eastAsia"/>
          <w:color w:val="auto"/>
          <w:highlight w:val="none"/>
        </w:rPr>
        <w:t>处理后经</w:t>
      </w:r>
      <w:r>
        <w:rPr>
          <w:rFonts w:hint="eastAsia"/>
          <w:color w:val="auto"/>
          <w:highlight w:val="none"/>
          <w:lang w:val="en-US" w:eastAsia="zh-CN"/>
        </w:rPr>
        <w:t>45</w:t>
      </w:r>
      <w:r>
        <w:rPr>
          <w:rFonts w:hint="eastAsia"/>
          <w:color w:val="auto"/>
          <w:highlight w:val="none"/>
        </w:rPr>
        <w:t>m高排气筒排放。</w:t>
      </w:r>
    </w:p>
    <w:p>
      <w:pPr>
        <w:bidi w:val="0"/>
        <w:rPr>
          <w:rFonts w:hint="eastAsia" w:ascii="Times New Roman" w:hAnsi="Times New Roman"/>
          <w:color w:val="auto"/>
          <w:highlight w:val="none"/>
        </w:rPr>
      </w:pPr>
      <w:r>
        <w:rPr>
          <w:rFonts w:ascii="Times New Roman" w:hAnsi="Times New Roman"/>
          <w:color w:val="00B050"/>
          <w:highlight w:val="none"/>
        </w:rPr>
        <w:t>本项目锅炉烟气</w:t>
      </w:r>
      <w:r>
        <w:rPr>
          <w:rFonts w:hint="eastAsia" w:ascii="Times New Roman" w:hAnsi="Times New Roman"/>
          <w:color w:val="00B050"/>
          <w:highlight w:val="none"/>
        </w:rPr>
        <w:t>排放量为</w:t>
      </w:r>
      <w:r>
        <w:rPr>
          <w:rFonts w:hint="eastAsia"/>
          <w:color w:val="00B050"/>
          <w:highlight w:val="none"/>
          <w:lang w:val="en-US" w:eastAsia="zh-CN"/>
        </w:rPr>
        <w:t>8.56</w:t>
      </w:r>
      <w:r>
        <w:rPr>
          <w:rFonts w:ascii="Times New Roman" w:hAnsi="Times New Roman"/>
          <w:color w:val="00B050"/>
          <w:highlight w:val="none"/>
        </w:rPr>
        <w:t>×10</w:t>
      </w:r>
      <w:r>
        <w:rPr>
          <w:rFonts w:hint="eastAsia"/>
          <w:color w:val="00B050"/>
          <w:sz w:val="21"/>
          <w:szCs w:val="21"/>
          <w:highlight w:val="none"/>
          <w:vertAlign w:val="superscript"/>
        </w:rPr>
        <w:t>4</w:t>
      </w:r>
      <w:r>
        <w:rPr>
          <w:rFonts w:hint="eastAsia" w:ascii="Times New Roman" w:hAnsi="Times New Roman"/>
          <w:color w:val="00B050"/>
          <w:highlight w:val="none"/>
        </w:rPr>
        <w:t>m</w:t>
      </w:r>
      <w:r>
        <w:rPr>
          <w:rFonts w:hint="eastAsia" w:ascii="Times New Roman" w:hAnsi="Times New Roman"/>
          <w:color w:val="00B050"/>
          <w:highlight w:val="none"/>
          <w:vertAlign w:val="superscript"/>
        </w:rPr>
        <w:t>3</w:t>
      </w:r>
      <w:r>
        <w:rPr>
          <w:rFonts w:hint="eastAsia" w:ascii="Times New Roman" w:hAnsi="Times New Roman"/>
          <w:color w:val="00B050"/>
          <w:highlight w:val="none"/>
        </w:rPr>
        <w:t>/h，颗粒物的排放浓度和排放速率为</w:t>
      </w:r>
      <w:r>
        <w:rPr>
          <w:rFonts w:hint="eastAsia"/>
          <w:color w:val="00B050"/>
          <w:highlight w:val="none"/>
          <w:lang w:val="en-US" w:eastAsia="zh-CN"/>
        </w:rPr>
        <w:t>0.753</w:t>
      </w:r>
      <w:r>
        <w:rPr>
          <w:rFonts w:hint="eastAsia" w:ascii="Times New Roman" w:hAnsi="Times New Roman"/>
          <w:color w:val="00B050"/>
          <w:highlight w:val="none"/>
        </w:rPr>
        <w:t>mg/m</w:t>
      </w:r>
      <w:r>
        <w:rPr>
          <w:rFonts w:hint="eastAsia" w:ascii="Times New Roman" w:hAnsi="Times New Roman"/>
          <w:color w:val="00B050"/>
          <w:highlight w:val="none"/>
          <w:vertAlign w:val="superscript"/>
        </w:rPr>
        <w:t>3</w:t>
      </w:r>
      <w:r>
        <w:rPr>
          <w:rFonts w:hint="eastAsia" w:ascii="Times New Roman" w:hAnsi="Times New Roman"/>
          <w:color w:val="00B050"/>
          <w:highlight w:val="none"/>
        </w:rPr>
        <w:t>和</w:t>
      </w:r>
      <w:r>
        <w:rPr>
          <w:rFonts w:hint="eastAsia"/>
          <w:color w:val="00B050"/>
          <w:highlight w:val="none"/>
          <w:lang w:val="en-US" w:eastAsia="zh-CN"/>
        </w:rPr>
        <w:t>0.066</w:t>
      </w:r>
      <w:r>
        <w:rPr>
          <w:rFonts w:hint="eastAsia" w:ascii="Times New Roman" w:hAnsi="Times New Roman"/>
          <w:color w:val="00B050"/>
          <w:highlight w:val="none"/>
        </w:rPr>
        <w:t>kg/h，SO</w:t>
      </w:r>
      <w:r>
        <w:rPr>
          <w:rFonts w:hint="eastAsia" w:ascii="Times New Roman" w:hAnsi="Times New Roman"/>
          <w:color w:val="00B050"/>
          <w:highlight w:val="none"/>
          <w:vertAlign w:val="subscript"/>
        </w:rPr>
        <w:t>2</w:t>
      </w:r>
      <w:r>
        <w:rPr>
          <w:rFonts w:hint="eastAsia" w:ascii="Times New Roman" w:hAnsi="Times New Roman"/>
          <w:color w:val="00B050"/>
          <w:highlight w:val="none"/>
        </w:rPr>
        <w:t>的排放浓度和排放速率为</w:t>
      </w:r>
      <w:r>
        <w:rPr>
          <w:rFonts w:hint="eastAsia"/>
          <w:color w:val="00B050"/>
          <w:highlight w:val="none"/>
          <w:lang w:val="en-US" w:eastAsia="zh-CN"/>
        </w:rPr>
        <w:t>21.96</w:t>
      </w:r>
      <w:r>
        <w:rPr>
          <w:rFonts w:hint="eastAsia" w:ascii="Times New Roman" w:hAnsi="Times New Roman"/>
          <w:color w:val="00B050"/>
          <w:highlight w:val="none"/>
        </w:rPr>
        <w:t>mg/m</w:t>
      </w:r>
      <w:r>
        <w:rPr>
          <w:rFonts w:hint="eastAsia" w:ascii="Times New Roman" w:hAnsi="Times New Roman"/>
          <w:color w:val="00B050"/>
          <w:highlight w:val="none"/>
          <w:vertAlign w:val="superscript"/>
        </w:rPr>
        <w:t>3</w:t>
      </w:r>
      <w:r>
        <w:rPr>
          <w:rFonts w:hint="eastAsia" w:ascii="Times New Roman" w:hAnsi="Times New Roman"/>
          <w:color w:val="00B050"/>
          <w:highlight w:val="none"/>
        </w:rPr>
        <w:t>和</w:t>
      </w:r>
      <w:r>
        <w:rPr>
          <w:rFonts w:hint="eastAsia"/>
          <w:color w:val="00B050"/>
          <w:highlight w:val="none"/>
          <w:lang w:val="en-US" w:eastAsia="zh-CN"/>
        </w:rPr>
        <w:t>1.88</w:t>
      </w:r>
      <w:r>
        <w:rPr>
          <w:rFonts w:hint="eastAsia" w:ascii="Times New Roman" w:hAnsi="Times New Roman"/>
          <w:color w:val="00B050"/>
          <w:highlight w:val="none"/>
        </w:rPr>
        <w:t>kg/h，NO</w:t>
      </w:r>
      <w:r>
        <w:rPr>
          <w:rFonts w:hint="eastAsia"/>
          <w:color w:val="00B050"/>
          <w:highlight w:val="none"/>
          <w:vertAlign w:val="subscript"/>
          <w:lang w:val="en-US" w:eastAsia="zh-CN"/>
        </w:rPr>
        <w:t>X</w:t>
      </w:r>
      <w:r>
        <w:rPr>
          <w:rFonts w:hint="eastAsia" w:ascii="Times New Roman" w:hAnsi="Times New Roman"/>
          <w:color w:val="00B050"/>
          <w:highlight w:val="none"/>
        </w:rPr>
        <w:t>的排放浓度和排放速率为</w:t>
      </w:r>
      <w:r>
        <w:rPr>
          <w:rFonts w:hint="eastAsia"/>
          <w:color w:val="00B050"/>
          <w:highlight w:val="none"/>
          <w:lang w:val="en-US" w:eastAsia="zh-CN"/>
        </w:rPr>
        <w:t>60</w:t>
      </w:r>
      <w:r>
        <w:rPr>
          <w:rFonts w:hint="eastAsia" w:ascii="Times New Roman" w:hAnsi="Times New Roman"/>
          <w:color w:val="00B050"/>
          <w:highlight w:val="none"/>
        </w:rPr>
        <w:t>mg/m</w:t>
      </w:r>
      <w:r>
        <w:rPr>
          <w:rFonts w:hint="eastAsia" w:ascii="Times New Roman" w:hAnsi="Times New Roman"/>
          <w:color w:val="00B050"/>
          <w:highlight w:val="none"/>
          <w:vertAlign w:val="superscript"/>
        </w:rPr>
        <w:t>3</w:t>
      </w:r>
      <w:r>
        <w:rPr>
          <w:rFonts w:hint="eastAsia" w:ascii="Times New Roman" w:hAnsi="Times New Roman"/>
          <w:color w:val="00B050"/>
          <w:highlight w:val="none"/>
        </w:rPr>
        <w:t>和</w:t>
      </w:r>
      <w:r>
        <w:rPr>
          <w:rFonts w:hint="eastAsia"/>
          <w:color w:val="00B050"/>
          <w:highlight w:val="none"/>
          <w:lang w:val="en-US" w:eastAsia="zh-CN"/>
        </w:rPr>
        <w:t>5.13kg/h</w:t>
      </w:r>
      <w:r>
        <w:rPr>
          <w:rFonts w:hint="eastAsia" w:ascii="Times New Roman" w:hAnsi="Times New Roman"/>
          <w:color w:val="00B050"/>
          <w:highlight w:val="none"/>
        </w:rPr>
        <w:t>，</w:t>
      </w:r>
      <w:r>
        <w:rPr>
          <w:rFonts w:hint="eastAsia" w:ascii="Times New Roman" w:hAnsi="Times New Roman"/>
          <w:color w:val="auto"/>
          <w:highlight w:val="none"/>
        </w:rPr>
        <w:t>汞及其化合物的排放浓度和排放速率为</w:t>
      </w:r>
      <w:r>
        <w:rPr>
          <w:rFonts w:hint="eastAsia"/>
          <w:color w:val="auto"/>
          <w:highlight w:val="none"/>
          <w:lang w:val="en-US" w:eastAsia="zh-CN"/>
        </w:rPr>
        <w:t>0.00298</w:t>
      </w:r>
      <w:r>
        <w:rPr>
          <w:rFonts w:hint="eastAsia" w:ascii="Times New Roman" w:hAnsi="Times New Roman"/>
          <w:color w:val="auto"/>
          <w:highlight w:val="none"/>
        </w:rPr>
        <w:t>mg/m</w:t>
      </w:r>
      <w:r>
        <w:rPr>
          <w:rFonts w:hint="eastAsia" w:ascii="Times New Roman" w:hAnsi="Times New Roman"/>
          <w:color w:val="auto"/>
          <w:highlight w:val="none"/>
          <w:vertAlign w:val="superscript"/>
        </w:rPr>
        <w:t>3</w:t>
      </w:r>
      <w:r>
        <w:rPr>
          <w:rFonts w:hint="eastAsia" w:ascii="Times New Roman" w:hAnsi="Times New Roman"/>
          <w:color w:val="auto"/>
          <w:highlight w:val="none"/>
        </w:rPr>
        <w:t>和</w:t>
      </w:r>
      <w:r>
        <w:rPr>
          <w:rFonts w:hint="eastAsia"/>
          <w:color w:val="auto"/>
          <w:highlight w:val="none"/>
          <w:lang w:val="en-US" w:eastAsia="zh-CN"/>
        </w:rPr>
        <w:t>0.000262</w:t>
      </w:r>
      <w:r>
        <w:rPr>
          <w:rFonts w:hint="eastAsia" w:ascii="Times New Roman" w:hAnsi="Times New Roman"/>
          <w:color w:val="auto"/>
          <w:highlight w:val="none"/>
        </w:rPr>
        <w:t>kg/h，</w:t>
      </w:r>
      <w:r>
        <w:rPr>
          <w:rFonts w:ascii="Times New Roman" w:hAnsi="Times New Roman"/>
          <w:color w:val="auto"/>
          <w:highlight w:val="none"/>
        </w:rPr>
        <w:t>各污染物</w:t>
      </w:r>
      <w:r>
        <w:rPr>
          <w:rFonts w:hint="eastAsia"/>
          <w:color w:val="auto"/>
          <w:highlight w:val="none"/>
          <w:lang w:eastAsia="zh-CN"/>
        </w:rPr>
        <w:t>浓度均满足</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火电厂大气污染物排放标准</w:t>
      </w:r>
      <w:r>
        <w:rPr>
          <w:rFonts w:ascii="Times New Roman" w:hAnsi="Times New Roman" w:cs="Times New Roman"/>
          <w:color w:val="auto"/>
          <w:highlight w:val="none"/>
        </w:rPr>
        <w:t>》（GB</w:t>
      </w:r>
      <w:r>
        <w:rPr>
          <w:rFonts w:hint="eastAsia" w:ascii="Times New Roman" w:hAnsi="Times New Roman" w:cs="Times New Roman"/>
          <w:color w:val="auto"/>
          <w:highlight w:val="none"/>
          <w:lang w:val="en-US" w:eastAsia="zh-CN"/>
        </w:rPr>
        <w:t>13223</w:t>
      </w:r>
      <w:r>
        <w:rPr>
          <w:rFonts w:ascii="Times New Roman" w:hAnsi="Times New Roman" w:cs="Times New Roman"/>
          <w:color w:val="auto"/>
          <w:highlight w:val="none"/>
        </w:rPr>
        <w:t>-201</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cs="Times New Roman"/>
          <w:color w:val="auto"/>
          <w:highlight w:val="none"/>
          <w:lang w:eastAsia="zh-CN"/>
        </w:rPr>
        <w:t>表</w:t>
      </w:r>
      <w:r>
        <w:rPr>
          <w:rFonts w:hint="eastAsia" w:cs="Times New Roman"/>
          <w:color w:val="auto"/>
          <w:highlight w:val="none"/>
          <w:lang w:val="en-US" w:eastAsia="zh-CN"/>
        </w:rPr>
        <w:t>1</w:t>
      </w:r>
      <w:r>
        <w:rPr>
          <w:rFonts w:hint="eastAsia" w:cs="Times New Roman"/>
          <w:color w:val="auto"/>
          <w:highlight w:val="none"/>
          <w:lang w:eastAsia="zh-CN"/>
        </w:rPr>
        <w:t>火力发电锅炉及燃气轮机组大气污染物排放浓度限值中燃煤锅炉限值要求</w:t>
      </w:r>
      <w:r>
        <w:rPr>
          <w:rFonts w:hint="eastAsia" w:ascii="Times New Roman" w:hAnsi="Times New Roman"/>
          <w:color w:val="auto"/>
          <w:highlight w:val="none"/>
        </w:rPr>
        <w:t>。</w:t>
      </w:r>
    </w:p>
    <w:p>
      <w:pPr>
        <w:bidi w:val="0"/>
        <w:rPr>
          <w:color w:val="auto"/>
          <w:highlight w:val="none"/>
        </w:rPr>
      </w:pPr>
      <w:r>
        <w:rPr>
          <w:rFonts w:hint="eastAsia"/>
          <w:color w:val="auto"/>
          <w:highlight w:val="none"/>
        </w:rPr>
        <w:t>经过预测，本项目P</w:t>
      </w:r>
      <w:r>
        <w:rPr>
          <w:rFonts w:hint="eastAsia"/>
          <w:color w:val="auto"/>
          <w:highlight w:val="none"/>
          <w:vertAlign w:val="subscript"/>
        </w:rPr>
        <w:t>max</w:t>
      </w:r>
      <w:r>
        <w:rPr>
          <w:rFonts w:hint="eastAsia"/>
          <w:color w:val="auto"/>
          <w:highlight w:val="none"/>
        </w:rPr>
        <w:t>最大值出现为DA001排气筒点源排放的NO</w:t>
      </w:r>
      <w:r>
        <w:rPr>
          <w:rFonts w:hint="eastAsia"/>
          <w:color w:val="auto"/>
          <w:highlight w:val="none"/>
          <w:vertAlign w:val="subscript"/>
          <w:lang w:val="en-US" w:eastAsia="zh-CN"/>
        </w:rPr>
        <w:t>X</w:t>
      </w:r>
      <w:r>
        <w:rPr>
          <w:rFonts w:hint="eastAsia"/>
          <w:color w:val="auto"/>
          <w:highlight w:val="none"/>
          <w:lang w:val="en-US" w:eastAsia="zh-CN"/>
        </w:rPr>
        <w:t>，</w:t>
      </w:r>
      <w:r>
        <w:rPr>
          <w:rFonts w:hint="eastAsia"/>
          <w:color w:val="auto"/>
          <w:highlight w:val="none"/>
        </w:rPr>
        <w:t>P</w:t>
      </w:r>
      <w:r>
        <w:rPr>
          <w:rFonts w:hint="eastAsia"/>
          <w:color w:val="auto"/>
          <w:highlight w:val="none"/>
          <w:vertAlign w:val="subscript"/>
        </w:rPr>
        <w:t>max</w:t>
      </w:r>
      <w:r>
        <w:rPr>
          <w:rFonts w:hint="eastAsia"/>
          <w:color w:val="auto"/>
          <w:highlight w:val="none"/>
        </w:rPr>
        <w:t>值为</w:t>
      </w:r>
      <w:r>
        <w:rPr>
          <w:rFonts w:hint="eastAsia"/>
          <w:color w:val="00B050"/>
          <w:highlight w:val="none"/>
          <w:lang w:val="en-US" w:eastAsia="zh-CN"/>
        </w:rPr>
        <w:t>8.79</w:t>
      </w:r>
      <w:r>
        <w:rPr>
          <w:rFonts w:hint="eastAsia"/>
          <w:color w:val="auto"/>
          <w:highlight w:val="none"/>
          <w:lang w:val="en-US" w:eastAsia="zh-CN"/>
        </w:rPr>
        <w:t>%</w:t>
      </w:r>
      <w:r>
        <w:rPr>
          <w:rFonts w:hint="eastAsia"/>
          <w:color w:val="auto"/>
          <w:highlight w:val="none"/>
          <w:lang w:eastAsia="zh-CN"/>
        </w:rPr>
        <w:t>，</w:t>
      </w:r>
      <w:r>
        <w:rPr>
          <w:color w:val="auto"/>
          <w:highlight w:val="none"/>
        </w:rPr>
        <w:t>项目</w:t>
      </w:r>
      <w:r>
        <w:rPr>
          <w:rFonts w:hint="eastAsia"/>
          <w:color w:val="auto"/>
          <w:highlight w:val="none"/>
          <w:lang w:val="en-US" w:eastAsia="zh-CN"/>
        </w:rPr>
        <w:t>NO</w:t>
      </w:r>
      <w:r>
        <w:rPr>
          <w:rFonts w:hint="eastAsia"/>
          <w:color w:val="auto"/>
          <w:highlight w:val="none"/>
          <w:vertAlign w:val="subscript"/>
          <w:lang w:val="en-US" w:eastAsia="zh-CN"/>
        </w:rPr>
        <w:t>X</w:t>
      </w:r>
      <w:r>
        <w:rPr>
          <w:color w:val="auto"/>
          <w:highlight w:val="none"/>
        </w:rPr>
        <w:t>最大浓度出现在</w:t>
      </w:r>
      <w:r>
        <w:rPr>
          <w:rFonts w:hint="eastAsia"/>
          <w:color w:val="auto"/>
          <w:highlight w:val="none"/>
          <w:lang w:val="en-US" w:eastAsia="zh-CN"/>
        </w:rPr>
        <w:t>748</w:t>
      </w:r>
      <w:r>
        <w:rPr>
          <w:color w:val="auto"/>
          <w:highlight w:val="none"/>
        </w:rPr>
        <w:t>m处，最大浓度为</w:t>
      </w:r>
      <w:r>
        <w:rPr>
          <w:rFonts w:hint="eastAsia"/>
          <w:color w:val="00B050"/>
          <w:highlight w:val="none"/>
          <w:lang w:eastAsia="zh-CN"/>
        </w:rPr>
        <w:t>21.96</w:t>
      </w:r>
      <w:r>
        <w:rPr>
          <w:rFonts w:hint="eastAsia"/>
          <w:color w:val="auto"/>
          <w:highlight w:val="none"/>
        </w:rPr>
        <w:t>u</w:t>
      </w:r>
      <w:r>
        <w:rPr>
          <w:color w:val="auto"/>
          <w:highlight w:val="none"/>
        </w:rPr>
        <w:t>g/m</w:t>
      </w:r>
      <w:r>
        <w:rPr>
          <w:color w:val="auto"/>
          <w:highlight w:val="none"/>
          <w:vertAlign w:val="superscript"/>
        </w:rPr>
        <w:t>3</w:t>
      </w:r>
      <w:r>
        <w:rPr>
          <w:color w:val="auto"/>
          <w:highlight w:val="none"/>
        </w:rPr>
        <w:t>，最大浓度占标率为</w:t>
      </w:r>
      <w:r>
        <w:rPr>
          <w:rFonts w:hint="eastAsia"/>
          <w:color w:val="00B050"/>
          <w:highlight w:val="none"/>
          <w:lang w:val="en-US" w:eastAsia="zh-CN"/>
        </w:rPr>
        <w:t>8.79</w:t>
      </w:r>
      <w:r>
        <w:rPr>
          <w:rFonts w:hint="eastAsia"/>
          <w:color w:val="auto"/>
          <w:highlight w:val="none"/>
          <w:lang w:val="en-US" w:eastAsia="zh-CN"/>
        </w:rPr>
        <w:t>%</w:t>
      </w:r>
      <w:r>
        <w:rPr>
          <w:rFonts w:hint="eastAsia"/>
          <w:color w:val="auto"/>
          <w:highlight w:val="none"/>
        </w:rPr>
        <w:t>＜10%</w:t>
      </w:r>
      <w:r>
        <w:rPr>
          <w:rFonts w:hint="eastAsia"/>
          <w:color w:val="auto"/>
          <w:highlight w:val="none"/>
          <w:lang w:eastAsia="zh-CN"/>
        </w:rPr>
        <w:t>。</w:t>
      </w:r>
      <w:r>
        <w:rPr>
          <w:color w:val="auto"/>
          <w:highlight w:val="none"/>
        </w:rPr>
        <w:t>正常</w:t>
      </w:r>
      <w:r>
        <w:rPr>
          <w:rFonts w:hint="eastAsia"/>
          <w:color w:val="auto"/>
          <w:highlight w:val="none"/>
        </w:rPr>
        <w:t>工况</w:t>
      </w:r>
      <w:r>
        <w:rPr>
          <w:color w:val="auto"/>
          <w:highlight w:val="none"/>
        </w:rPr>
        <w:t>下</w:t>
      </w:r>
      <w:r>
        <w:rPr>
          <w:rFonts w:hint="eastAsia"/>
          <w:color w:val="auto"/>
          <w:highlight w:val="none"/>
        </w:rPr>
        <w:t>，</w:t>
      </w:r>
      <w:r>
        <w:rPr>
          <w:color w:val="auto"/>
          <w:highlight w:val="none"/>
        </w:rPr>
        <w:t>本项目大气污染物排放不会对项目周围区域的大气环境造成明显的不利影响。</w:t>
      </w:r>
    </w:p>
    <w:p>
      <w:pPr>
        <w:pStyle w:val="62"/>
        <w:jc w:val="both"/>
        <w:rPr>
          <w:rFonts w:hint="eastAsia" w:ascii="Times New Roman" w:hAnsi="Times New Roman"/>
          <w:color w:val="auto"/>
          <w:highlight w:val="none"/>
        </w:rPr>
      </w:pPr>
      <w:r>
        <w:rPr>
          <w:rFonts w:hint="eastAsia" w:ascii="Times New Roman" w:hAnsi="Times New Roman"/>
          <w:color w:val="auto"/>
          <w:highlight w:val="none"/>
        </w:rPr>
        <w:t>（2）无组织废气</w:t>
      </w:r>
    </w:p>
    <w:p>
      <w:pPr>
        <w:rPr>
          <w:spacing w:val="-7"/>
        </w:rPr>
      </w:pPr>
      <w:r>
        <w:rPr>
          <w:rFonts w:hint="eastAsia" w:ascii="Times New Roman" w:hAnsi="Times New Roman"/>
          <w:color w:val="auto"/>
          <w:highlight w:val="none"/>
        </w:rPr>
        <w:t>本</w:t>
      </w:r>
      <w:r>
        <w:rPr>
          <w:rFonts w:ascii="Times New Roman" w:hAnsi="Times New Roman"/>
          <w:color w:val="auto"/>
          <w:highlight w:val="none"/>
        </w:rPr>
        <w:t>无组织粉尘主要来自煤</w:t>
      </w:r>
      <w:r>
        <w:rPr>
          <w:rFonts w:hint="eastAsia" w:ascii="Times New Roman" w:hAnsi="Times New Roman"/>
          <w:color w:val="auto"/>
          <w:highlight w:val="none"/>
        </w:rPr>
        <w:t>、渣</w:t>
      </w:r>
      <w:r>
        <w:rPr>
          <w:rFonts w:ascii="Times New Roman" w:hAnsi="Times New Roman"/>
          <w:color w:val="auto"/>
          <w:highlight w:val="none"/>
        </w:rPr>
        <w:t>场堆煤及渣场堆渣装卸过程，</w:t>
      </w:r>
      <w:r>
        <w:rPr>
          <w:rFonts w:hint="eastAsia" w:ascii="Times New Roman" w:hAnsi="Times New Roman"/>
          <w:color w:val="auto"/>
          <w:highlight w:val="none"/>
          <w:lang w:eastAsia="zh-CN"/>
        </w:rPr>
        <w:t>项目</w:t>
      </w:r>
      <w:r>
        <w:rPr>
          <w:rFonts w:ascii="Times New Roman" w:hAnsi="Times New Roman"/>
          <w:color w:val="auto"/>
          <w:highlight w:val="none"/>
        </w:rPr>
        <w:t>建设方建设</w:t>
      </w:r>
      <w:r>
        <w:rPr>
          <w:rFonts w:hint="eastAsia" w:ascii="Times New Roman" w:hAnsi="Times New Roman"/>
          <w:color w:val="auto"/>
          <w:highlight w:val="none"/>
        </w:rPr>
        <w:t>封闭式堆煤场和渣场</w:t>
      </w:r>
      <w:r>
        <w:rPr>
          <w:rFonts w:ascii="Times New Roman" w:hAnsi="Times New Roman"/>
          <w:color w:val="auto"/>
          <w:highlight w:val="none"/>
        </w:rPr>
        <w:t>，以减少煤贮存过程中的扬尘污染。装卸过程主要是避免大风天气工作，正常情况下，厂界无组织粉尘年排放量为</w:t>
      </w:r>
      <w:r>
        <w:rPr>
          <w:rFonts w:hint="eastAsia" w:ascii="Times New Roman" w:hAnsi="Times New Roman"/>
          <w:color w:val="auto"/>
          <w:highlight w:val="none"/>
          <w:lang w:val="en-US" w:eastAsia="zh-CN"/>
        </w:rPr>
        <w:t>0.362</w:t>
      </w:r>
      <w:r>
        <w:rPr>
          <w:rFonts w:ascii="Times New Roman" w:hAnsi="Times New Roman"/>
          <w:color w:val="auto"/>
          <w:highlight w:val="none"/>
        </w:rPr>
        <w:t>t/a</w:t>
      </w:r>
      <w:r>
        <w:rPr>
          <w:rFonts w:hint="eastAsia" w:ascii="Times New Roman" w:hAnsi="Times New Roman"/>
          <w:color w:val="auto"/>
          <w:highlight w:val="none"/>
        </w:rPr>
        <w:t>，</w:t>
      </w:r>
      <w:r>
        <w:rPr>
          <w:rFonts w:ascii="Times New Roman" w:hAnsi="Times New Roman"/>
          <w:color w:val="auto"/>
          <w:highlight w:val="none"/>
        </w:rPr>
        <w:t>可以满足《大气污染物综合排放标准》（GB16297-1996）</w:t>
      </w:r>
      <w:r>
        <w:rPr>
          <w:rFonts w:hint="eastAsia" w:ascii="Times New Roman" w:hAnsi="Times New Roman"/>
          <w:color w:val="auto"/>
          <w:highlight w:val="none"/>
          <w:lang w:eastAsia="zh-CN"/>
        </w:rPr>
        <w:t>表</w:t>
      </w:r>
      <w:r>
        <w:rPr>
          <w:rFonts w:hint="eastAsia" w:ascii="Times New Roman" w:hAnsi="Times New Roman"/>
          <w:color w:val="auto"/>
          <w:highlight w:val="none"/>
          <w:lang w:val="en-US" w:eastAsia="zh-CN"/>
        </w:rPr>
        <w:t>2</w:t>
      </w:r>
      <w:r>
        <w:rPr>
          <w:rFonts w:ascii="Times New Roman" w:hAnsi="Times New Roman"/>
          <w:color w:val="auto"/>
          <w:highlight w:val="none"/>
        </w:rPr>
        <w:t>中厂界无组织粉尘监控浓度限值。</w:t>
      </w:r>
    </w:p>
    <w:p>
      <w:pPr>
        <w:rPr>
          <w:rFonts w:hint="eastAsia"/>
          <w:b/>
          <w:bCs/>
          <w:spacing w:val="-7"/>
          <w:lang w:val="en-US" w:eastAsia="zh-CN"/>
        </w:rPr>
      </w:pPr>
      <w:r>
        <w:rPr>
          <w:rFonts w:hint="eastAsia"/>
          <w:b/>
          <w:bCs/>
          <w:spacing w:val="-7"/>
          <w:lang w:val="en-US" w:eastAsia="zh-CN"/>
        </w:rPr>
        <w:t>9.4.2.2废水</w:t>
      </w:r>
    </w:p>
    <w:p>
      <w:pPr>
        <w:adjustRightInd w:val="0"/>
        <w:snapToGrid w:val="0"/>
        <w:spacing w:line="360" w:lineRule="auto"/>
        <w:ind w:left="37" w:right="104" w:firstLine="464" w:firstLineChars="20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本项目废水主要为生产废水</w:t>
      </w:r>
      <w:r>
        <w:rPr>
          <w:rFonts w:hint="eastAsia" w:ascii="宋体" w:hAnsi="宋体" w:eastAsia="宋体" w:cs="宋体"/>
          <w:color w:val="auto"/>
          <w:spacing w:val="-4"/>
          <w:sz w:val="24"/>
          <w:szCs w:val="24"/>
          <w:highlight w:val="none"/>
          <w:lang w:eastAsia="zh-CN"/>
        </w:rPr>
        <w:t>和生活污水。</w:t>
      </w:r>
      <w:r>
        <w:rPr>
          <w:rFonts w:ascii="宋体" w:hAnsi="宋体" w:eastAsia="宋体" w:cs="宋体"/>
          <w:color w:val="auto"/>
          <w:spacing w:val="4"/>
          <w:sz w:val="24"/>
          <w:szCs w:val="24"/>
          <w:highlight w:val="none"/>
        </w:rPr>
        <w:t>生产废水主要包括锅炉排污水、</w:t>
      </w:r>
      <w:r>
        <w:rPr>
          <w:rFonts w:ascii="宋体" w:hAnsi="宋体" w:eastAsia="宋体" w:cs="宋体"/>
          <w:color w:val="auto"/>
          <w:spacing w:val="-3"/>
          <w:sz w:val="24"/>
          <w:szCs w:val="24"/>
          <w:highlight w:val="none"/>
        </w:rPr>
        <w:t>循环冷却排污水、软水制备废水、脱硫废水</w:t>
      </w:r>
      <w:r>
        <w:rPr>
          <w:rFonts w:ascii="宋体" w:hAnsi="宋体" w:eastAsia="宋体" w:cs="宋体"/>
          <w:color w:val="auto"/>
          <w:spacing w:val="-7"/>
          <w:sz w:val="24"/>
          <w:szCs w:val="24"/>
          <w:highlight w:val="none"/>
        </w:rPr>
        <w:t>。</w:t>
      </w:r>
    </w:p>
    <w:p>
      <w:pPr>
        <w:rPr>
          <w:rFonts w:hint="eastAsia"/>
          <w:spacing w:val="-7"/>
          <w:lang w:val="en-US" w:eastAsia="zh-CN"/>
        </w:rPr>
      </w:pPr>
      <w:r>
        <w:rPr>
          <w:rFonts w:hint="eastAsia" w:ascii="Times New Roman" w:hAnsi="Times New Roman" w:eastAsia="宋体" w:cs="Times New Roman"/>
          <w:color w:val="auto"/>
          <w:kern w:val="2"/>
          <w:highlight w:val="none"/>
          <w:lang w:val="de-DE" w:eastAsia="zh-CN"/>
        </w:rPr>
        <w:t>本项目</w:t>
      </w:r>
      <w:r>
        <w:rPr>
          <w:rFonts w:ascii="宋体" w:hAnsi="宋体" w:eastAsia="宋体" w:cs="宋体"/>
          <w:color w:val="auto"/>
          <w:spacing w:val="4"/>
          <w:sz w:val="24"/>
          <w:szCs w:val="24"/>
          <w:highlight w:val="none"/>
        </w:rPr>
        <w:t>锅炉排污水</w:t>
      </w: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3"/>
          <w:sz w:val="24"/>
          <w:szCs w:val="24"/>
          <w:highlight w:val="none"/>
        </w:rPr>
        <w:t>循环冷却排污水、软水制备废水</w:t>
      </w:r>
      <w:r>
        <w:rPr>
          <w:rFonts w:ascii="Times New Roman" w:hAnsi="Times New Roman" w:eastAsia="宋体" w:cs="Times New Roman"/>
          <w:color w:val="auto"/>
          <w:kern w:val="2"/>
          <w:highlight w:val="none"/>
          <w:lang w:val="de-DE"/>
        </w:rPr>
        <w:t>全部排入厂区沉淀池，</w:t>
      </w:r>
      <w:r>
        <w:rPr>
          <w:rFonts w:hint="eastAsia" w:ascii="Times New Roman" w:hAnsi="Times New Roman" w:eastAsia="宋体" w:cs="Times New Roman"/>
          <w:color w:val="auto"/>
          <w:kern w:val="2"/>
          <w:highlight w:val="none"/>
          <w:lang w:val="de-DE"/>
        </w:rPr>
        <w:t>经</w:t>
      </w:r>
      <w:r>
        <w:rPr>
          <w:rFonts w:ascii="Times New Roman" w:hAnsi="Times New Roman" w:eastAsia="宋体" w:cs="Times New Roman"/>
          <w:color w:val="auto"/>
          <w:kern w:val="2"/>
          <w:highlight w:val="none"/>
          <w:lang w:val="de-DE"/>
        </w:rPr>
        <w:t>处理后可用于</w:t>
      </w:r>
      <w:r>
        <w:rPr>
          <w:rFonts w:hint="eastAsia" w:ascii="Times New Roman" w:hAnsi="Times New Roman" w:eastAsia="宋体" w:cs="Times New Roman"/>
          <w:color w:val="auto"/>
          <w:spacing w:val="-5"/>
          <w:sz w:val="24"/>
          <w:szCs w:val="24"/>
          <w:highlight w:val="none"/>
        </w:rPr>
        <w:t>除渣系统喷洒降尘</w:t>
      </w:r>
      <w:r>
        <w:rPr>
          <w:rFonts w:hint="eastAsia" w:ascii="Times New Roman" w:hAnsi="Times New Roman" w:eastAsia="宋体" w:cs="Times New Roman"/>
          <w:color w:val="auto"/>
          <w:kern w:val="2"/>
          <w:highlight w:val="none"/>
          <w:lang w:val="de-DE"/>
        </w:rPr>
        <w:t>；</w:t>
      </w:r>
      <w:r>
        <w:rPr>
          <w:rFonts w:ascii="Times New Roman" w:hAnsi="Times New Roman" w:eastAsia="宋体" w:cs="Times New Roman"/>
          <w:color w:val="auto"/>
          <w:kern w:val="2"/>
          <w:highlight w:val="none"/>
          <w:lang w:val="de-DE"/>
        </w:rPr>
        <w:t>脱</w:t>
      </w:r>
      <w:r>
        <w:rPr>
          <w:rFonts w:ascii="Times New Roman" w:hAnsi="Times New Roman" w:eastAsia="宋体" w:cs="Times New Roman"/>
          <w:color w:val="auto"/>
          <w:spacing w:val="-5"/>
          <w:sz w:val="24"/>
          <w:szCs w:val="24"/>
          <w:highlight w:val="none"/>
        </w:rPr>
        <w:t>硫废水经中和、沉淀池处理后</w:t>
      </w:r>
      <w:r>
        <w:rPr>
          <w:rFonts w:hint="eastAsia" w:ascii="Times New Roman" w:hAnsi="Times New Roman" w:eastAsia="宋体" w:cs="Times New Roman"/>
          <w:color w:val="auto"/>
          <w:spacing w:val="-5"/>
          <w:sz w:val="24"/>
          <w:szCs w:val="24"/>
          <w:highlight w:val="none"/>
          <w:lang w:eastAsia="zh-CN"/>
        </w:rPr>
        <w:t>绝大部分循环使用，</w:t>
      </w:r>
      <w:r>
        <w:rPr>
          <w:rFonts w:hint="eastAsia" w:ascii="Times New Roman" w:hAnsi="宋体" w:eastAsia="宋体" w:cs="Times New Roman"/>
          <w:color w:val="auto"/>
          <w:kern w:val="0"/>
          <w:sz w:val="24"/>
          <w:szCs w:val="24"/>
          <w:highlight w:val="none"/>
        </w:rPr>
        <w:t>除损耗外，</w:t>
      </w:r>
      <w:r>
        <w:rPr>
          <w:rFonts w:hint="eastAsia" w:ascii="Times New Roman" w:hAnsi="宋体" w:eastAsia="宋体" w:cs="Times New Roman"/>
          <w:color w:val="auto"/>
          <w:kern w:val="0"/>
          <w:sz w:val="24"/>
          <w:szCs w:val="24"/>
          <w:highlight w:val="none"/>
          <w:lang w:eastAsia="zh-CN"/>
        </w:rPr>
        <w:t>其余</w:t>
      </w:r>
      <w:r>
        <w:rPr>
          <w:rFonts w:hint="eastAsia" w:ascii="Times New Roman" w:hAnsi="宋体" w:eastAsia="宋体" w:cs="Times New Roman"/>
          <w:color w:val="auto"/>
          <w:kern w:val="0"/>
          <w:sz w:val="24"/>
          <w:szCs w:val="24"/>
          <w:highlight w:val="none"/>
        </w:rPr>
        <w:t>全部直接回用于</w:t>
      </w:r>
      <w:r>
        <w:rPr>
          <w:rFonts w:hint="eastAsia" w:ascii="Times New Roman" w:hAnsi="宋体" w:eastAsia="宋体" w:cs="Times New Roman"/>
          <w:color w:val="auto"/>
          <w:kern w:val="0"/>
          <w:sz w:val="24"/>
          <w:szCs w:val="24"/>
          <w:highlight w:val="none"/>
          <w:lang w:eastAsia="zh-CN"/>
        </w:rPr>
        <w:t>煤场抑尘</w:t>
      </w:r>
      <w:r>
        <w:rPr>
          <w:rFonts w:hint="eastAsia" w:ascii="Times New Roman" w:hAnsi="宋体" w:eastAsia="宋体" w:cs="Times New Roman"/>
          <w:color w:val="auto"/>
          <w:kern w:val="0"/>
          <w:sz w:val="24"/>
          <w:szCs w:val="24"/>
          <w:highlight w:val="none"/>
        </w:rPr>
        <w:t>，不外排</w:t>
      </w:r>
      <w:r>
        <w:rPr>
          <w:rFonts w:ascii="Times New Roman" w:hAnsi="Times New Roman" w:eastAsia="宋体" w:cs="Times New Roman"/>
          <w:color w:val="auto"/>
          <w:kern w:val="2"/>
          <w:highlight w:val="none"/>
          <w:lang w:val="de-DE"/>
        </w:rPr>
        <w:t>。</w:t>
      </w:r>
    </w:p>
    <w:p>
      <w:pPr>
        <w:rPr>
          <w:rFonts w:hint="default"/>
          <w:b/>
          <w:bCs/>
          <w:spacing w:val="-7"/>
          <w:lang w:val="en-US" w:eastAsia="zh-CN"/>
        </w:rPr>
      </w:pPr>
      <w:r>
        <w:rPr>
          <w:rFonts w:hint="eastAsia"/>
          <w:b/>
          <w:bCs/>
          <w:spacing w:val="-7"/>
          <w:lang w:val="en-US" w:eastAsia="zh-CN"/>
        </w:rPr>
        <w:t>9.4.2.3噪声</w:t>
      </w:r>
    </w:p>
    <w:p>
      <w:pPr>
        <w:rPr>
          <w:rFonts w:hint="eastAsia"/>
          <w:spacing w:val="-7"/>
          <w:lang w:val="en-US" w:eastAsia="zh-CN"/>
        </w:rPr>
      </w:pPr>
      <w:r>
        <w:rPr>
          <w:rFonts w:hint="eastAsia"/>
          <w:color w:val="auto"/>
          <w:sz w:val="24"/>
          <w:szCs w:val="24"/>
          <w:highlight w:val="none"/>
        </w:rPr>
        <w:t>本项目</w:t>
      </w:r>
      <w:r>
        <w:rPr>
          <w:color w:val="auto"/>
          <w:sz w:val="24"/>
          <w:szCs w:val="24"/>
          <w:highlight w:val="none"/>
        </w:rPr>
        <w:t>噪声主要来自风机、泵等设备，</w:t>
      </w:r>
      <w:r>
        <w:rPr>
          <w:color w:val="auto"/>
          <w:spacing w:val="-1"/>
          <w:sz w:val="24"/>
          <w:szCs w:val="24"/>
          <w:highlight w:val="none"/>
        </w:rPr>
        <w:t>通过预测，本项目设备运营噪声经衰减后到达</w:t>
      </w:r>
      <w:r>
        <w:rPr>
          <w:rFonts w:hint="eastAsia"/>
          <w:color w:val="auto"/>
          <w:spacing w:val="-1"/>
          <w:sz w:val="24"/>
          <w:szCs w:val="24"/>
          <w:highlight w:val="none"/>
        </w:rPr>
        <w:t>厂界</w:t>
      </w:r>
      <w:r>
        <w:rPr>
          <w:color w:val="auto"/>
          <w:spacing w:val="-1"/>
          <w:sz w:val="24"/>
          <w:szCs w:val="24"/>
          <w:highlight w:val="none"/>
        </w:rPr>
        <w:t>的噪声</w:t>
      </w:r>
      <w:r>
        <w:rPr>
          <w:rFonts w:hint="eastAsia"/>
          <w:color w:val="auto"/>
          <w:spacing w:val="-1"/>
          <w:sz w:val="24"/>
          <w:szCs w:val="24"/>
          <w:highlight w:val="none"/>
          <w:lang w:eastAsia="zh-CN"/>
        </w:rPr>
        <w:t>贡献</w:t>
      </w:r>
      <w:r>
        <w:rPr>
          <w:color w:val="auto"/>
          <w:spacing w:val="-7"/>
          <w:sz w:val="24"/>
          <w:szCs w:val="24"/>
          <w:highlight w:val="none"/>
        </w:rPr>
        <w:t>值满足</w:t>
      </w:r>
      <w:r>
        <w:rPr>
          <w:color w:val="auto"/>
          <w:highlight w:val="none"/>
        </w:rPr>
        <w:t>《工业企业厂界环境噪声排放标准》（GB12348－2008）中</w:t>
      </w:r>
      <w:r>
        <w:rPr>
          <w:rFonts w:hint="eastAsia"/>
          <w:color w:val="auto"/>
          <w:highlight w:val="none"/>
          <w:lang w:val="en-US" w:eastAsia="zh-CN"/>
        </w:rPr>
        <w:t>3</w:t>
      </w:r>
      <w:r>
        <w:rPr>
          <w:rFonts w:hint="eastAsia"/>
          <w:color w:val="auto"/>
          <w:highlight w:val="none"/>
        </w:rPr>
        <w:t>类</w:t>
      </w:r>
      <w:r>
        <w:rPr>
          <w:color w:val="auto"/>
          <w:highlight w:val="none"/>
        </w:rPr>
        <w:t>标准</w:t>
      </w:r>
      <w:r>
        <w:rPr>
          <w:rFonts w:hint="eastAsia"/>
          <w:color w:val="auto"/>
          <w:sz w:val="24"/>
          <w:szCs w:val="24"/>
          <w:highlight w:val="none"/>
        </w:rPr>
        <w:t>（昼间</w:t>
      </w:r>
      <w:r>
        <w:rPr>
          <w:rFonts w:hint="eastAsia"/>
          <w:color w:val="auto"/>
          <w:sz w:val="24"/>
          <w:szCs w:val="24"/>
          <w:highlight w:val="none"/>
          <w:lang w:val="en-US" w:eastAsia="zh-CN"/>
        </w:rPr>
        <w:t>65</w:t>
      </w:r>
      <w:r>
        <w:rPr>
          <w:rFonts w:hint="eastAsia"/>
          <w:color w:val="auto"/>
          <w:sz w:val="24"/>
          <w:szCs w:val="24"/>
          <w:highlight w:val="none"/>
        </w:rPr>
        <w:t>dB（A）、夜间</w:t>
      </w:r>
      <w:r>
        <w:rPr>
          <w:rFonts w:hint="eastAsia"/>
          <w:color w:val="auto"/>
          <w:sz w:val="24"/>
          <w:szCs w:val="24"/>
          <w:highlight w:val="none"/>
          <w:lang w:val="en-US" w:eastAsia="zh-CN"/>
        </w:rPr>
        <w:t>55</w:t>
      </w:r>
      <w:r>
        <w:rPr>
          <w:rFonts w:hint="eastAsia"/>
          <w:color w:val="auto"/>
          <w:sz w:val="24"/>
          <w:szCs w:val="24"/>
          <w:highlight w:val="none"/>
        </w:rPr>
        <w:t>dB（A））</w:t>
      </w:r>
      <w:r>
        <w:rPr>
          <w:color w:val="auto"/>
          <w:spacing w:val="-7"/>
          <w:sz w:val="24"/>
          <w:szCs w:val="24"/>
          <w:highlight w:val="none"/>
        </w:rPr>
        <w:t>，因此项目运营期对</w:t>
      </w:r>
      <w:r>
        <w:rPr>
          <w:color w:val="auto"/>
          <w:spacing w:val="-1"/>
          <w:sz w:val="24"/>
          <w:szCs w:val="24"/>
          <w:highlight w:val="none"/>
        </w:rPr>
        <w:t>项目区</w:t>
      </w:r>
      <w:r>
        <w:rPr>
          <w:rFonts w:hint="eastAsia"/>
          <w:color w:val="auto"/>
          <w:spacing w:val="-1"/>
          <w:sz w:val="24"/>
          <w:szCs w:val="24"/>
          <w:highlight w:val="none"/>
        </w:rPr>
        <w:t>周边声环境</w:t>
      </w:r>
      <w:r>
        <w:rPr>
          <w:color w:val="auto"/>
          <w:spacing w:val="-1"/>
          <w:sz w:val="24"/>
          <w:szCs w:val="24"/>
          <w:highlight w:val="none"/>
        </w:rPr>
        <w:t>影响较小。</w:t>
      </w:r>
    </w:p>
    <w:p>
      <w:pPr>
        <w:rPr>
          <w:rFonts w:hint="default"/>
          <w:b/>
          <w:bCs/>
          <w:spacing w:val="-7"/>
          <w:lang w:val="en-US" w:eastAsia="zh-CN"/>
        </w:rPr>
      </w:pPr>
      <w:r>
        <w:rPr>
          <w:rFonts w:hint="eastAsia"/>
          <w:b/>
          <w:bCs/>
          <w:spacing w:val="-7"/>
          <w:lang w:val="en-US" w:eastAsia="zh-CN"/>
        </w:rPr>
        <w:t>9.4.2.4固废</w:t>
      </w:r>
    </w:p>
    <w:p>
      <w:pPr>
        <w:autoSpaceDE w:val="0"/>
        <w:autoSpaceDN w:val="0"/>
        <w:spacing w:line="360" w:lineRule="auto"/>
        <w:ind w:firstLine="480" w:firstLineChars="200"/>
        <w:rPr>
          <w:rFonts w:hint="eastAsia"/>
          <w:color w:val="auto"/>
          <w:sz w:val="24"/>
          <w:szCs w:val="24"/>
          <w:highlight w:val="none"/>
        </w:rPr>
      </w:pPr>
      <w:r>
        <w:rPr>
          <w:color w:val="auto"/>
          <w:sz w:val="24"/>
          <w:szCs w:val="24"/>
          <w:highlight w:val="none"/>
        </w:rPr>
        <w:t>本</w:t>
      </w:r>
      <w:r>
        <w:rPr>
          <w:rFonts w:hint="eastAsia"/>
          <w:color w:val="auto"/>
          <w:sz w:val="24"/>
          <w:szCs w:val="24"/>
          <w:highlight w:val="none"/>
        </w:rPr>
        <w:t>项目产生的一般固废包括</w:t>
      </w:r>
      <w:r>
        <w:rPr>
          <w:color w:val="auto"/>
          <w:sz w:val="24"/>
          <w:szCs w:val="24"/>
          <w:highlight w:val="none"/>
        </w:rPr>
        <w:t>灰渣</w:t>
      </w:r>
      <w:r>
        <w:rPr>
          <w:rFonts w:hint="eastAsia"/>
          <w:color w:val="auto"/>
          <w:sz w:val="24"/>
          <w:szCs w:val="24"/>
          <w:highlight w:val="none"/>
        </w:rPr>
        <w:t>、</w:t>
      </w:r>
      <w:r>
        <w:rPr>
          <w:rFonts w:hint="eastAsia"/>
          <w:color w:val="auto"/>
          <w:sz w:val="24"/>
          <w:szCs w:val="24"/>
          <w:highlight w:val="none"/>
          <w:lang w:eastAsia="zh-CN"/>
        </w:rPr>
        <w:t>脱硫渣</w:t>
      </w:r>
      <w:r>
        <w:rPr>
          <w:color w:val="auto"/>
          <w:sz w:val="24"/>
          <w:szCs w:val="24"/>
          <w:highlight w:val="none"/>
        </w:rPr>
        <w:t>、废离子</w:t>
      </w:r>
      <w:r>
        <w:rPr>
          <w:rFonts w:hint="eastAsia"/>
          <w:color w:val="auto"/>
          <w:sz w:val="24"/>
          <w:szCs w:val="24"/>
          <w:highlight w:val="none"/>
        </w:rPr>
        <w:t>交换</w:t>
      </w:r>
      <w:r>
        <w:rPr>
          <w:color w:val="auto"/>
          <w:sz w:val="24"/>
          <w:szCs w:val="24"/>
          <w:highlight w:val="none"/>
        </w:rPr>
        <w:t>树脂</w:t>
      </w:r>
      <w:r>
        <w:rPr>
          <w:rFonts w:hint="eastAsia"/>
          <w:color w:val="auto"/>
          <w:sz w:val="24"/>
          <w:szCs w:val="24"/>
          <w:highlight w:val="none"/>
          <w:lang w:eastAsia="zh-CN"/>
        </w:rPr>
        <w:t>、</w:t>
      </w:r>
      <w:r>
        <w:rPr>
          <w:rFonts w:hint="eastAsia"/>
          <w:color w:val="auto"/>
          <w:sz w:val="24"/>
          <w:szCs w:val="24"/>
          <w:highlight w:val="none"/>
        </w:rPr>
        <w:t>废弃滤袋</w:t>
      </w:r>
      <w:r>
        <w:rPr>
          <w:rFonts w:hint="eastAsia"/>
          <w:color w:val="auto"/>
          <w:sz w:val="24"/>
          <w:szCs w:val="24"/>
          <w:highlight w:val="none"/>
          <w:lang w:eastAsia="zh-CN"/>
        </w:rPr>
        <w:t>、废润滑油及生活垃圾</w:t>
      </w:r>
      <w:r>
        <w:rPr>
          <w:rFonts w:hint="eastAsia"/>
          <w:color w:val="auto"/>
          <w:sz w:val="24"/>
          <w:szCs w:val="24"/>
          <w:highlight w:val="none"/>
        </w:rPr>
        <w:t>。</w:t>
      </w:r>
    </w:p>
    <w:p>
      <w:pPr>
        <w:rPr>
          <w:rFonts w:hint="eastAsia"/>
          <w:spacing w:val="-7"/>
          <w:lang w:val="en-US" w:eastAsia="zh-CN"/>
        </w:rPr>
      </w:pPr>
      <w:r>
        <w:rPr>
          <w:rFonts w:hint="eastAsia"/>
          <w:color w:val="auto"/>
          <w:kern w:val="0"/>
          <w:sz w:val="24"/>
          <w:szCs w:val="24"/>
          <w:highlight w:val="none"/>
          <w:lang w:bidi="ar"/>
        </w:rPr>
        <w:t>本项目产生的</w:t>
      </w:r>
      <w:r>
        <w:rPr>
          <w:rFonts w:hint="eastAsia"/>
          <w:color w:val="auto"/>
          <w:kern w:val="0"/>
          <w:sz w:val="24"/>
          <w:szCs w:val="24"/>
          <w:highlight w:val="none"/>
          <w:lang w:eastAsia="zh-CN" w:bidi="ar"/>
        </w:rPr>
        <w:t>脱硫渣</w:t>
      </w:r>
      <w:r>
        <w:rPr>
          <w:rFonts w:hint="eastAsia"/>
          <w:color w:val="auto"/>
          <w:kern w:val="0"/>
          <w:sz w:val="24"/>
          <w:szCs w:val="24"/>
          <w:highlight w:val="none"/>
          <w:lang w:bidi="ar"/>
        </w:rPr>
        <w:t>、</w:t>
      </w:r>
      <w:r>
        <w:rPr>
          <w:rFonts w:hint="eastAsia"/>
          <w:color w:val="auto"/>
          <w:kern w:val="0"/>
          <w:sz w:val="24"/>
          <w:szCs w:val="24"/>
          <w:highlight w:val="none"/>
          <w:lang w:val="en-US" w:eastAsia="zh-CN" w:bidi="ar"/>
        </w:rPr>
        <w:t>灰渣</w:t>
      </w:r>
      <w:r>
        <w:rPr>
          <w:rFonts w:hint="eastAsia"/>
          <w:color w:val="auto"/>
          <w:kern w:val="0"/>
          <w:sz w:val="24"/>
          <w:szCs w:val="24"/>
          <w:highlight w:val="none"/>
          <w:lang w:bidi="ar"/>
        </w:rPr>
        <w:t>收集暂存于灰渣场作为建筑材料外售；离子交换树脂</w:t>
      </w:r>
      <w:r>
        <w:rPr>
          <w:rFonts w:hint="eastAsia"/>
          <w:color w:val="auto"/>
          <w:kern w:val="0"/>
          <w:sz w:val="24"/>
          <w:szCs w:val="24"/>
          <w:highlight w:val="none"/>
          <w:lang w:eastAsia="zh-CN" w:bidi="ar"/>
        </w:rPr>
        <w:t>、废弃滤袋</w:t>
      </w:r>
      <w:r>
        <w:rPr>
          <w:rFonts w:hint="eastAsia"/>
          <w:color w:val="auto"/>
          <w:kern w:val="0"/>
          <w:sz w:val="24"/>
          <w:szCs w:val="24"/>
          <w:highlight w:val="none"/>
          <w:lang w:bidi="ar"/>
        </w:rPr>
        <w:t>全部由厂家回收处置</w:t>
      </w:r>
      <w:r>
        <w:rPr>
          <w:rFonts w:hint="eastAsia"/>
          <w:color w:val="auto"/>
          <w:kern w:val="0"/>
          <w:sz w:val="24"/>
          <w:szCs w:val="24"/>
          <w:highlight w:val="none"/>
          <w:lang w:eastAsia="zh-CN" w:bidi="ar"/>
        </w:rPr>
        <w:t>；废润滑油集中收集，暂存在危废间，委托有资质单位处置。</w:t>
      </w:r>
    </w:p>
    <w:p>
      <w:pPr>
        <w:pStyle w:val="5"/>
        <w:keepNext w:val="0"/>
        <w:keepLines w:val="0"/>
        <w:pageBreakBefore w:val="0"/>
        <w:widowControl w:val="0"/>
        <w:numPr>
          <w:ilvl w:val="1"/>
          <w:numId w:val="31"/>
        </w:numPr>
        <w:tabs>
          <w:tab w:val="left" w:pos="78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516" w:name="9.5_环境影响分析结论"/>
      <w:bookmarkEnd w:id="516"/>
      <w:bookmarkStart w:id="517" w:name="_bookmark43"/>
      <w:bookmarkEnd w:id="517"/>
      <w:bookmarkStart w:id="518" w:name="_Toc16517"/>
      <w:r>
        <w:rPr>
          <w:rFonts w:hint="eastAsia"/>
          <w:lang w:eastAsia="zh-CN"/>
        </w:rPr>
        <w:t>环境保护措施</w:t>
      </w:r>
      <w:bookmarkEnd w:id="518"/>
    </w:p>
    <w:p>
      <w:pPr>
        <w:pStyle w:val="6"/>
        <w:numPr>
          <w:ilvl w:val="2"/>
          <w:numId w:val="34"/>
        </w:numPr>
        <w:tabs>
          <w:tab w:val="left" w:pos="921"/>
        </w:tabs>
        <w:adjustRightInd w:val="0"/>
        <w:snapToGrid w:val="0"/>
        <w:spacing w:line="360" w:lineRule="auto"/>
        <w:ind w:left="0" w:firstLine="562" w:firstLineChars="200"/>
        <w:jc w:val="both"/>
      </w:pPr>
      <w:bookmarkStart w:id="519" w:name="9.5.1_大气环境影响"/>
      <w:bookmarkEnd w:id="519"/>
      <w:r>
        <w:rPr>
          <w:rFonts w:hint="eastAsia"/>
          <w:lang w:eastAsia="zh-CN"/>
        </w:rPr>
        <w:t>大气污染防治措施</w:t>
      </w:r>
    </w:p>
    <w:p>
      <w:pPr>
        <w:numPr>
          <w:ilvl w:val="0"/>
          <w:numId w:val="35"/>
        </w:numPr>
        <w:bidi w:val="0"/>
        <w:rPr>
          <w:rFonts w:hint="eastAsia"/>
          <w:color w:val="auto"/>
          <w:highlight w:val="none"/>
        </w:rPr>
      </w:pPr>
      <w:r>
        <w:rPr>
          <w:rFonts w:hint="eastAsia"/>
          <w:color w:val="auto"/>
          <w:highlight w:val="none"/>
        </w:rPr>
        <w:t>有组织废气</w:t>
      </w:r>
    </w:p>
    <w:p>
      <w:pPr>
        <w:bidi w:val="0"/>
        <w:rPr>
          <w:rFonts w:ascii="Times New Roman" w:hAnsi="Times New Roman" w:cs="Times New Roman"/>
          <w:color w:val="auto"/>
          <w:highlight w:val="none"/>
        </w:rPr>
      </w:pPr>
      <w:r>
        <w:rPr>
          <w:rFonts w:hint="eastAsia"/>
          <w:color w:val="auto"/>
          <w:highlight w:val="none"/>
        </w:rPr>
        <w:t>本项目有组织废气为锅炉烟气</w:t>
      </w:r>
      <w:r>
        <w:rPr>
          <w:rFonts w:hint="eastAsia"/>
          <w:color w:val="auto"/>
          <w:highlight w:val="none"/>
          <w:lang w:eastAsia="zh-CN"/>
        </w:rPr>
        <w:t>，</w:t>
      </w:r>
      <w:r>
        <w:rPr>
          <w:color w:val="auto"/>
          <w:highlight w:val="none"/>
        </w:rPr>
        <w:t>配套的烟气</w:t>
      </w:r>
      <w:r>
        <w:rPr>
          <w:rFonts w:ascii="Times New Roman" w:hAnsi="Times New Roman" w:cs="Times New Roman"/>
          <w:color w:val="auto"/>
          <w:highlight w:val="none"/>
        </w:rPr>
        <w:t>治理设备为S</w:t>
      </w:r>
      <w:r>
        <w:rPr>
          <w:rFonts w:hint="eastAsia" w:ascii="Times New Roman" w:hAnsi="Times New Roman" w:cs="Times New Roman"/>
          <w:color w:val="auto"/>
          <w:highlight w:val="none"/>
        </w:rPr>
        <w:t>N</w:t>
      </w:r>
      <w:r>
        <w:rPr>
          <w:rFonts w:ascii="Times New Roman" w:hAnsi="Times New Roman" w:cs="Times New Roman"/>
          <w:color w:val="auto"/>
          <w:highlight w:val="none"/>
        </w:rPr>
        <w:t>CR脱硝+布袋除尘+</w:t>
      </w:r>
      <w:r>
        <w:rPr>
          <w:rFonts w:hint="eastAsia" w:cs="Times New Roman"/>
          <w:color w:val="00B050"/>
          <w:highlight w:val="none"/>
          <w:lang w:eastAsia="zh-CN"/>
        </w:rPr>
        <w:t>石灰石膏法</w:t>
      </w:r>
      <w:r>
        <w:rPr>
          <w:rFonts w:ascii="Times New Roman" w:hAnsi="Times New Roman" w:cs="Times New Roman"/>
          <w:color w:val="auto"/>
          <w:highlight w:val="none"/>
        </w:rPr>
        <w:t>脱硫，先经脱硝工艺脱硝后，经布袋除尘器除尘</w:t>
      </w:r>
      <w:r>
        <w:rPr>
          <w:rFonts w:hint="eastAsia" w:ascii="Times New Roman" w:hAnsi="Times New Roman" w:cs="Times New Roman"/>
          <w:color w:val="auto"/>
          <w:highlight w:val="none"/>
        </w:rPr>
        <w:t>后，经</w:t>
      </w:r>
      <w:r>
        <w:rPr>
          <w:rFonts w:hint="eastAsia" w:cs="Times New Roman"/>
          <w:color w:val="00B050"/>
          <w:highlight w:val="none"/>
          <w:lang w:eastAsia="zh-CN"/>
        </w:rPr>
        <w:t>石灰石膏法</w:t>
      </w:r>
      <w:r>
        <w:rPr>
          <w:rFonts w:ascii="Times New Roman" w:hAnsi="Times New Roman" w:cs="Times New Roman"/>
          <w:color w:val="auto"/>
          <w:highlight w:val="none"/>
        </w:rPr>
        <w:t>脱硫，从而达到烟气达标排放。综合除尘效率≥99.</w:t>
      </w:r>
      <w:r>
        <w:rPr>
          <w:rFonts w:hint="eastAsia" w:ascii="Times New Roman" w:hAnsi="Times New Roman" w:cs="Times New Roman"/>
          <w:color w:val="auto"/>
          <w:highlight w:val="none"/>
        </w:rPr>
        <w:t>5</w:t>
      </w:r>
      <w:r>
        <w:rPr>
          <w:rFonts w:ascii="Times New Roman" w:hAnsi="Times New Roman" w:cs="Times New Roman"/>
          <w:color w:val="auto"/>
          <w:highlight w:val="none"/>
        </w:rPr>
        <w:t>%，脱硫效率≥</w:t>
      </w:r>
      <w:r>
        <w:rPr>
          <w:rFonts w:hint="eastAsia" w:ascii="Times New Roman" w:hAnsi="Times New Roman" w:cs="Times New Roman"/>
          <w:color w:val="auto"/>
          <w:highlight w:val="none"/>
        </w:rPr>
        <w:t>85</w:t>
      </w:r>
      <w:r>
        <w:rPr>
          <w:rFonts w:ascii="Times New Roman" w:hAnsi="Times New Roman" w:cs="Times New Roman"/>
          <w:color w:val="auto"/>
          <w:highlight w:val="none"/>
        </w:rPr>
        <w:t>%，脱硝效率≥</w:t>
      </w:r>
      <w:r>
        <w:rPr>
          <w:rFonts w:hint="eastAsia" w:cs="Times New Roman"/>
          <w:color w:val="auto"/>
          <w:highlight w:val="none"/>
          <w:lang w:val="en-US" w:eastAsia="zh-CN"/>
        </w:rPr>
        <w:t>4</w:t>
      </w:r>
      <w:r>
        <w:rPr>
          <w:rFonts w:ascii="Times New Roman" w:hAnsi="Times New Roman" w:cs="Times New Roman"/>
          <w:color w:val="auto"/>
          <w:highlight w:val="none"/>
        </w:rPr>
        <w:t>0%。</w:t>
      </w:r>
      <w:r>
        <w:rPr>
          <w:rFonts w:hint="eastAsia" w:cs="Times New Roman"/>
          <w:color w:val="auto"/>
          <w:highlight w:val="none"/>
          <w:lang w:eastAsia="zh-CN"/>
        </w:rPr>
        <w:t>颗粒物</w:t>
      </w:r>
      <w:r>
        <w:rPr>
          <w:rFonts w:ascii="Times New Roman" w:hAnsi="Times New Roman" w:cs="Times New Roman"/>
          <w:color w:val="auto"/>
          <w:highlight w:val="none"/>
        </w:rPr>
        <w:t>、NO</w:t>
      </w:r>
      <w:r>
        <w:rPr>
          <w:rFonts w:hint="eastAsia" w:cs="Times New Roman"/>
          <w:color w:val="auto"/>
          <w:highlight w:val="none"/>
          <w:vertAlign w:val="subscript"/>
          <w:lang w:val="en-US" w:eastAsia="zh-CN"/>
        </w:rPr>
        <w:t>X</w:t>
      </w:r>
      <w:r>
        <w:rPr>
          <w:rFonts w:ascii="Times New Roman" w:hAnsi="Times New Roman" w:cs="Times New Roman"/>
          <w:color w:val="auto"/>
          <w:highlight w:val="none"/>
        </w:rPr>
        <w:t>、SO</w:t>
      </w:r>
      <w:r>
        <w:rPr>
          <w:rFonts w:ascii="Times New Roman" w:hAnsi="Times New Roman" w:cs="Times New Roman"/>
          <w:color w:val="auto"/>
          <w:highlight w:val="none"/>
          <w:vertAlign w:val="subscript"/>
        </w:rPr>
        <w:t>2</w:t>
      </w:r>
      <w:r>
        <w:rPr>
          <w:rFonts w:hint="eastAsia" w:ascii="Times New Roman" w:hAnsi="Times New Roman" w:cs="Times New Roman"/>
          <w:color w:val="auto"/>
          <w:highlight w:val="none"/>
        </w:rPr>
        <w:t>、</w:t>
      </w:r>
      <w:r>
        <w:rPr>
          <w:rFonts w:hint="eastAsia" w:cs="Times New Roman"/>
          <w:color w:val="auto"/>
          <w:highlight w:val="none"/>
          <w:lang w:eastAsia="zh-CN"/>
        </w:rPr>
        <w:t>汞及其化合物</w:t>
      </w:r>
      <w:r>
        <w:rPr>
          <w:rFonts w:ascii="Times New Roman" w:hAnsi="Times New Roman" w:cs="Times New Roman"/>
          <w:color w:val="auto"/>
          <w:highlight w:val="none"/>
        </w:rPr>
        <w:t>均能满足《</w:t>
      </w:r>
      <w:r>
        <w:rPr>
          <w:rFonts w:hint="eastAsia" w:ascii="Times New Roman" w:hAnsi="Times New Roman" w:cs="Times New Roman"/>
          <w:color w:val="auto"/>
          <w:highlight w:val="none"/>
          <w:lang w:eastAsia="zh-CN"/>
        </w:rPr>
        <w:t>火电厂大气污染物排放标准</w:t>
      </w:r>
      <w:r>
        <w:rPr>
          <w:rFonts w:ascii="Times New Roman" w:hAnsi="Times New Roman" w:cs="Times New Roman"/>
          <w:color w:val="auto"/>
          <w:highlight w:val="none"/>
        </w:rPr>
        <w:t>》（GB</w:t>
      </w:r>
      <w:r>
        <w:rPr>
          <w:rFonts w:hint="eastAsia" w:ascii="Times New Roman" w:hAnsi="Times New Roman" w:cs="Times New Roman"/>
          <w:color w:val="auto"/>
          <w:highlight w:val="none"/>
          <w:lang w:val="en-US" w:eastAsia="zh-CN"/>
        </w:rPr>
        <w:t>13223</w:t>
      </w:r>
      <w:r>
        <w:rPr>
          <w:rFonts w:ascii="Times New Roman" w:hAnsi="Times New Roman" w:cs="Times New Roman"/>
          <w:color w:val="auto"/>
          <w:highlight w:val="none"/>
        </w:rPr>
        <w:t>-201</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cs="Times New Roman"/>
          <w:color w:val="auto"/>
          <w:highlight w:val="none"/>
          <w:lang w:eastAsia="zh-CN"/>
        </w:rPr>
        <w:t>表</w:t>
      </w:r>
      <w:r>
        <w:rPr>
          <w:rFonts w:hint="eastAsia" w:cs="Times New Roman"/>
          <w:color w:val="auto"/>
          <w:highlight w:val="none"/>
          <w:lang w:val="en-US" w:eastAsia="zh-CN"/>
        </w:rPr>
        <w:t>1</w:t>
      </w:r>
      <w:r>
        <w:rPr>
          <w:rFonts w:hint="eastAsia" w:cs="Times New Roman"/>
          <w:color w:val="auto"/>
          <w:highlight w:val="none"/>
          <w:lang w:eastAsia="zh-CN"/>
        </w:rPr>
        <w:t>火力发电锅炉及燃气轮机组大气污染物排放浓度限值中燃煤锅炉限值</w:t>
      </w:r>
      <w:r>
        <w:rPr>
          <w:rFonts w:ascii="Times New Roman" w:hAnsi="Times New Roman" w:cs="Times New Roman"/>
          <w:color w:val="auto"/>
          <w:highlight w:val="none"/>
        </w:rPr>
        <w:t>要求后</w:t>
      </w:r>
      <w:r>
        <w:rPr>
          <w:rFonts w:ascii="Times New Roman" w:hAnsi="Times New Roman" w:cs="Times New Roman"/>
          <w:color w:val="auto"/>
          <w:highlight w:val="none"/>
          <w:lang w:val="en-GB"/>
        </w:rPr>
        <w:t>经</w:t>
      </w:r>
      <w:r>
        <w:rPr>
          <w:rFonts w:hint="eastAsia" w:cs="Times New Roman"/>
          <w:color w:val="auto"/>
          <w:highlight w:val="none"/>
          <w:lang w:val="en-US" w:eastAsia="zh-CN"/>
        </w:rPr>
        <w:t>45</w:t>
      </w:r>
      <w:r>
        <w:rPr>
          <w:rFonts w:ascii="Times New Roman" w:hAnsi="Times New Roman" w:cs="Times New Roman"/>
          <w:color w:val="auto"/>
          <w:highlight w:val="none"/>
          <w:lang w:val="en-GB"/>
        </w:rPr>
        <w:t>m高的烟囱排放</w:t>
      </w:r>
      <w:r>
        <w:rPr>
          <w:rFonts w:ascii="Times New Roman" w:hAnsi="Times New Roman" w:cs="Times New Roman"/>
          <w:color w:val="auto"/>
          <w:highlight w:val="none"/>
        </w:rPr>
        <w:t>。</w:t>
      </w:r>
    </w:p>
    <w:p>
      <w:pPr>
        <w:bidi w:val="0"/>
        <w:rPr>
          <w:rFonts w:hint="eastAsia"/>
          <w:color w:val="auto"/>
          <w:highlight w:val="none"/>
        </w:rPr>
      </w:pPr>
      <w:r>
        <w:rPr>
          <w:rFonts w:hint="eastAsia" w:ascii="Times New Roman" w:hAnsi="Times New Roman" w:cs="Times New Roman"/>
          <w:color w:val="auto"/>
          <w:spacing w:val="-2"/>
          <w:highlight w:val="none"/>
        </w:rPr>
        <w:t>本项目烟气治理采用</w:t>
      </w:r>
      <w:r>
        <w:rPr>
          <w:rFonts w:ascii="Times New Roman" w:hAnsi="Times New Roman" w:cs="Times New Roman"/>
          <w:color w:val="auto"/>
          <w:spacing w:val="-3"/>
          <w:highlight w:val="none"/>
        </w:rPr>
        <w:t>《排污许可证申</w:t>
      </w:r>
      <w:r>
        <w:rPr>
          <w:rFonts w:ascii="Times New Roman" w:hAnsi="Times New Roman" w:cs="Times New Roman"/>
          <w:color w:val="auto"/>
          <w:spacing w:val="-2"/>
          <w:highlight w:val="none"/>
        </w:rPr>
        <w:t>请与核发技术规范</w:t>
      </w:r>
      <w:r>
        <w:rPr>
          <w:rFonts w:ascii="Times New Roman" w:hAnsi="Times New Roman" w:cs="Times New Roman"/>
          <w:color w:val="auto"/>
          <w:spacing w:val="43"/>
          <w:highlight w:val="none"/>
        </w:rPr>
        <w:t xml:space="preserve"> </w:t>
      </w:r>
      <w:r>
        <w:rPr>
          <w:rFonts w:ascii="Times New Roman" w:hAnsi="Times New Roman" w:cs="Times New Roman"/>
          <w:color w:val="auto"/>
          <w:spacing w:val="-2"/>
          <w:highlight w:val="none"/>
        </w:rPr>
        <w:t>锅炉》</w:t>
      </w:r>
      <w:r>
        <w:rPr>
          <w:rFonts w:hint="eastAsia" w:cs="Times New Roman"/>
          <w:color w:val="auto"/>
          <w:spacing w:val="-2"/>
          <w:highlight w:val="none"/>
          <w:lang w:eastAsia="zh-CN"/>
        </w:rPr>
        <w:t>（</w:t>
      </w:r>
      <w:r>
        <w:rPr>
          <w:rFonts w:ascii="Times New Roman" w:hAnsi="Times New Roman" w:cs="Times New Roman"/>
          <w:color w:val="auto"/>
          <w:spacing w:val="-2"/>
          <w:highlight w:val="none"/>
        </w:rPr>
        <w:t>HJ991-2018</w:t>
      </w:r>
      <w:r>
        <w:rPr>
          <w:rFonts w:hint="eastAsia" w:cs="Times New Roman"/>
          <w:color w:val="auto"/>
          <w:spacing w:val="-2"/>
          <w:highlight w:val="none"/>
          <w:lang w:eastAsia="zh-CN"/>
        </w:rPr>
        <w:t>）</w:t>
      </w:r>
      <w:r>
        <w:rPr>
          <w:rFonts w:ascii="Times New Roman" w:hAnsi="Times New Roman" w:cs="Times New Roman"/>
          <w:color w:val="auto"/>
          <w:highlight w:val="none"/>
        </w:rPr>
        <w:t>和《工业锅炉污染防治可行技术指南》（HJ1178-2021）</w:t>
      </w:r>
      <w:r>
        <w:rPr>
          <w:rFonts w:ascii="Times New Roman" w:hAnsi="Times New Roman" w:cs="Times New Roman"/>
          <w:color w:val="auto"/>
          <w:spacing w:val="3"/>
          <w:highlight w:val="none"/>
        </w:rPr>
        <w:t>中推荐技术</w:t>
      </w:r>
      <w:r>
        <w:rPr>
          <w:rFonts w:hint="eastAsia" w:ascii="Times New Roman" w:hAnsi="Times New Roman" w:cs="Times New Roman"/>
          <w:color w:val="auto"/>
          <w:spacing w:val="3"/>
          <w:highlight w:val="none"/>
        </w:rPr>
        <w:t>。本项目锅炉房烟囱高度</w:t>
      </w:r>
      <w:r>
        <w:rPr>
          <w:rFonts w:hint="eastAsia" w:cs="Times New Roman"/>
          <w:color w:val="auto"/>
          <w:spacing w:val="3"/>
          <w:highlight w:val="none"/>
          <w:lang w:val="en-US" w:eastAsia="zh-CN"/>
        </w:rPr>
        <w:t>45</w:t>
      </w:r>
      <w:r>
        <w:rPr>
          <w:rFonts w:hint="eastAsia" w:ascii="Times New Roman" w:hAnsi="Times New Roman" w:cs="Times New Roman"/>
          <w:color w:val="auto"/>
          <w:spacing w:val="3"/>
          <w:highlight w:val="none"/>
        </w:rPr>
        <w:t>m，满足《锅炉大气污染物排放标准》（GB13271-2014）中燃煤锅炉房烟囱高度的规定。</w:t>
      </w:r>
    </w:p>
    <w:p>
      <w:pPr>
        <w:numPr>
          <w:ilvl w:val="0"/>
          <w:numId w:val="35"/>
        </w:numPr>
        <w:bidi w:val="0"/>
        <w:rPr>
          <w:rFonts w:hint="eastAsia"/>
          <w:color w:val="auto"/>
          <w:highlight w:val="none"/>
        </w:rPr>
      </w:pPr>
      <w:r>
        <w:rPr>
          <w:rFonts w:hint="eastAsia"/>
          <w:color w:val="auto"/>
          <w:highlight w:val="none"/>
        </w:rPr>
        <w:t>无组织废气</w:t>
      </w:r>
    </w:p>
    <w:p>
      <w:pPr>
        <w:pStyle w:val="14"/>
        <w:adjustRightInd w:val="0"/>
        <w:snapToGrid w:val="0"/>
        <w:spacing w:line="360" w:lineRule="auto"/>
        <w:ind w:left="0" w:firstLine="480" w:firstLineChars="200"/>
        <w:jc w:val="both"/>
        <w:rPr>
          <w:spacing w:val="-16"/>
          <w:position w:val="2"/>
        </w:rPr>
      </w:pPr>
      <w:r>
        <w:rPr>
          <w:color w:val="auto"/>
          <w:highlight w:val="none"/>
        </w:rPr>
        <w:t>煤堆场设置全封闭式煤场，定时进行喷洒，保持湿度，避免二次污染。</w:t>
      </w:r>
      <w:r>
        <w:rPr>
          <w:rFonts w:hint="eastAsia"/>
          <w:color w:val="auto"/>
          <w:highlight w:val="none"/>
        </w:rPr>
        <w:t>项目区</w:t>
      </w:r>
      <w:r>
        <w:rPr>
          <w:color w:val="auto"/>
          <w:highlight w:val="none"/>
        </w:rPr>
        <w:t>四周设置绿化带，可有效减轻堆场扬尘影响，经以上措施处理后煤堆场和渣场扬尘对厂区及敏感点的影响很小。</w:t>
      </w:r>
    </w:p>
    <w:p>
      <w:pPr>
        <w:pStyle w:val="6"/>
        <w:numPr>
          <w:ilvl w:val="2"/>
          <w:numId w:val="34"/>
        </w:numPr>
        <w:tabs>
          <w:tab w:val="left" w:pos="921"/>
        </w:tabs>
        <w:adjustRightInd w:val="0"/>
        <w:snapToGrid w:val="0"/>
        <w:spacing w:line="360" w:lineRule="auto"/>
        <w:ind w:left="0" w:firstLine="562" w:firstLineChars="200"/>
        <w:jc w:val="both"/>
      </w:pPr>
      <w:bookmarkStart w:id="520" w:name="9.5.2_水环境影响"/>
      <w:bookmarkEnd w:id="520"/>
      <w:r>
        <w:t>水</w:t>
      </w:r>
      <w:r>
        <w:rPr>
          <w:rFonts w:hint="eastAsia"/>
          <w:lang w:eastAsia="zh-CN"/>
        </w:rPr>
        <w:t>污染防治措施</w:t>
      </w:r>
    </w:p>
    <w:p>
      <w:pPr>
        <w:pStyle w:val="14"/>
        <w:adjustRightInd w:val="0"/>
        <w:snapToGrid w:val="0"/>
        <w:spacing w:line="360" w:lineRule="auto"/>
        <w:ind w:left="0" w:firstLine="480" w:firstLineChars="200"/>
        <w:jc w:val="both"/>
      </w:pPr>
      <w:r>
        <w:rPr>
          <w:rFonts w:hint="eastAsia" w:ascii="Times New Roman" w:hAnsi="Times New Roman"/>
          <w:color w:val="auto"/>
          <w:kern w:val="2"/>
          <w:highlight w:val="none"/>
          <w:lang w:val="de-DE" w:eastAsia="zh-CN"/>
        </w:rPr>
        <w:t>本项目</w:t>
      </w:r>
      <w:r>
        <w:rPr>
          <w:rFonts w:ascii="宋体" w:hAnsi="宋体" w:cs="宋体"/>
          <w:color w:val="auto"/>
          <w:spacing w:val="4"/>
          <w:sz w:val="24"/>
          <w:szCs w:val="24"/>
          <w:highlight w:val="none"/>
        </w:rPr>
        <w:t>锅炉排污水</w:t>
      </w:r>
      <w:r>
        <w:rPr>
          <w:rFonts w:hint="eastAsia" w:ascii="宋体" w:hAnsi="宋体" w:cs="宋体"/>
          <w:color w:val="auto"/>
          <w:spacing w:val="4"/>
          <w:sz w:val="24"/>
          <w:szCs w:val="24"/>
          <w:highlight w:val="none"/>
          <w:lang w:eastAsia="zh-CN"/>
        </w:rPr>
        <w:t>、</w:t>
      </w:r>
      <w:r>
        <w:rPr>
          <w:rFonts w:ascii="宋体" w:hAnsi="宋体" w:cs="宋体"/>
          <w:color w:val="auto"/>
          <w:spacing w:val="-3"/>
          <w:sz w:val="24"/>
          <w:szCs w:val="24"/>
          <w:highlight w:val="none"/>
        </w:rPr>
        <w:t>循环冷却排污水、软水制备废水</w:t>
      </w:r>
      <w:r>
        <w:rPr>
          <w:rFonts w:ascii="Times New Roman" w:hAnsi="Times New Roman"/>
          <w:color w:val="auto"/>
          <w:kern w:val="2"/>
          <w:highlight w:val="none"/>
          <w:lang w:val="de-DE"/>
        </w:rPr>
        <w:t>全部排入厂区沉淀池，</w:t>
      </w:r>
      <w:r>
        <w:rPr>
          <w:rFonts w:hint="eastAsia" w:ascii="Times New Roman" w:hAnsi="Times New Roman"/>
          <w:color w:val="auto"/>
          <w:kern w:val="2"/>
          <w:highlight w:val="none"/>
          <w:lang w:val="de-DE"/>
        </w:rPr>
        <w:t>经</w:t>
      </w:r>
      <w:r>
        <w:rPr>
          <w:rFonts w:ascii="Times New Roman" w:hAnsi="Times New Roman"/>
          <w:color w:val="auto"/>
          <w:kern w:val="2"/>
          <w:highlight w:val="none"/>
          <w:lang w:val="de-DE"/>
        </w:rPr>
        <w:t>处理后可用于</w:t>
      </w:r>
      <w:r>
        <w:rPr>
          <w:rFonts w:hint="eastAsia"/>
          <w:color w:val="auto"/>
          <w:spacing w:val="-5"/>
          <w:sz w:val="24"/>
          <w:szCs w:val="24"/>
          <w:highlight w:val="none"/>
        </w:rPr>
        <w:t>除渣系统喷洒降尘</w:t>
      </w:r>
      <w:r>
        <w:rPr>
          <w:rFonts w:hint="eastAsia" w:ascii="Times New Roman" w:hAnsi="Times New Roman"/>
          <w:color w:val="auto"/>
          <w:kern w:val="2"/>
          <w:highlight w:val="none"/>
          <w:lang w:val="de-DE"/>
        </w:rPr>
        <w:t>；</w:t>
      </w:r>
      <w:r>
        <w:rPr>
          <w:rFonts w:ascii="Times New Roman" w:hAnsi="Times New Roman"/>
          <w:color w:val="auto"/>
          <w:kern w:val="2"/>
          <w:highlight w:val="none"/>
          <w:lang w:val="de-DE"/>
        </w:rPr>
        <w:t>脱硫废水经</w:t>
      </w:r>
      <w:r>
        <w:rPr>
          <w:rFonts w:hint="eastAsia" w:ascii="Times New Roman" w:hAnsi="Times New Roman"/>
          <w:color w:val="auto"/>
          <w:kern w:val="2"/>
          <w:highlight w:val="none"/>
          <w:lang w:val="de-DE" w:eastAsia="zh-CN"/>
        </w:rPr>
        <w:t>脱硫废水处理系统</w:t>
      </w:r>
      <w:r>
        <w:rPr>
          <w:rFonts w:ascii="Times New Roman" w:hAnsi="Times New Roman"/>
          <w:color w:val="auto"/>
          <w:kern w:val="2"/>
          <w:highlight w:val="none"/>
          <w:lang w:val="de-DE"/>
        </w:rPr>
        <w:t>处理后回用脱硫系统</w:t>
      </w:r>
      <w:r>
        <w:rPr>
          <w:rFonts w:hint="eastAsia" w:ascii="Times New Roman" w:hAnsi="Times New Roman"/>
          <w:color w:val="auto"/>
          <w:kern w:val="2"/>
          <w:highlight w:val="none"/>
          <w:lang w:val="de-DE"/>
        </w:rPr>
        <w:t>循环使用，</w:t>
      </w:r>
      <w:r>
        <w:rPr>
          <w:rFonts w:hint="eastAsia" w:ascii="Times New Roman" w:hAnsi="Times New Roman"/>
          <w:color w:val="auto"/>
          <w:kern w:val="2"/>
          <w:highlight w:val="none"/>
          <w:lang w:val="de-DE" w:eastAsia="zh-CN"/>
        </w:rPr>
        <w:t>极少量用于煤场抑尘，</w:t>
      </w:r>
      <w:r>
        <w:rPr>
          <w:rFonts w:hint="eastAsia" w:ascii="Times New Roman" w:hAnsi="Times New Roman"/>
          <w:color w:val="auto"/>
          <w:kern w:val="2"/>
          <w:highlight w:val="none"/>
          <w:lang w:val="de-DE"/>
        </w:rPr>
        <w:t>不外排</w:t>
      </w:r>
      <w:r>
        <w:rPr>
          <w:rFonts w:ascii="Times New Roman" w:hAnsi="Times New Roman"/>
          <w:color w:val="auto"/>
          <w:kern w:val="2"/>
          <w:highlight w:val="none"/>
          <w:lang w:val="de-DE"/>
        </w:rPr>
        <w:t>。</w:t>
      </w:r>
    </w:p>
    <w:p>
      <w:pPr>
        <w:pStyle w:val="6"/>
        <w:numPr>
          <w:ilvl w:val="2"/>
          <w:numId w:val="34"/>
        </w:numPr>
        <w:tabs>
          <w:tab w:val="left" w:pos="921"/>
        </w:tabs>
        <w:adjustRightInd w:val="0"/>
        <w:snapToGrid w:val="0"/>
        <w:spacing w:line="360" w:lineRule="auto"/>
        <w:ind w:left="0" w:firstLine="562" w:firstLineChars="200"/>
        <w:jc w:val="both"/>
      </w:pPr>
      <w:bookmarkStart w:id="521" w:name="9.5.3_声环境影响"/>
      <w:bookmarkEnd w:id="521"/>
      <w:r>
        <w:rPr>
          <w:rFonts w:hint="eastAsia"/>
          <w:lang w:eastAsia="zh-CN"/>
        </w:rPr>
        <w:t>噪声污染防治措施</w:t>
      </w:r>
    </w:p>
    <w:p>
      <w:pPr>
        <w:pStyle w:val="14"/>
        <w:adjustRightInd w:val="0"/>
        <w:snapToGrid w:val="0"/>
        <w:spacing w:line="360" w:lineRule="auto"/>
        <w:ind w:left="0" w:firstLine="480" w:firstLineChars="200"/>
        <w:jc w:val="both"/>
      </w:pPr>
      <w:r>
        <w:rPr>
          <w:color w:val="auto"/>
          <w:highlight w:val="none"/>
        </w:rPr>
        <w:t>正常生产过程中，风机、泵等设备产生的噪声经过消声、屏蔽等降噪措施后，项目区厂界噪声均满足《工业企业厂界环境噪声排放标准》</w:t>
      </w:r>
      <w:r>
        <w:rPr>
          <w:rFonts w:hint="eastAsia"/>
          <w:color w:val="auto"/>
          <w:highlight w:val="none"/>
          <w:lang w:eastAsia="zh-CN"/>
        </w:rPr>
        <w:t>（</w:t>
      </w:r>
      <w:r>
        <w:rPr>
          <w:color w:val="auto"/>
          <w:highlight w:val="none"/>
        </w:rPr>
        <w:t>GB12348-2008</w:t>
      </w:r>
      <w:r>
        <w:rPr>
          <w:rFonts w:hint="eastAsia"/>
          <w:color w:val="auto"/>
          <w:highlight w:val="none"/>
          <w:lang w:eastAsia="zh-CN"/>
        </w:rPr>
        <w:t>）</w:t>
      </w:r>
      <w:r>
        <w:rPr>
          <w:rFonts w:hint="eastAsia"/>
          <w:color w:val="auto"/>
          <w:highlight w:val="none"/>
          <w:lang w:val="en-US" w:eastAsia="zh-CN"/>
        </w:rPr>
        <w:t>3</w:t>
      </w:r>
      <w:r>
        <w:rPr>
          <w:color w:val="auto"/>
          <w:highlight w:val="none"/>
        </w:rPr>
        <w:t>类标准要求，故对周围声环境影响不大。</w:t>
      </w:r>
    </w:p>
    <w:p>
      <w:pPr>
        <w:pStyle w:val="6"/>
        <w:numPr>
          <w:ilvl w:val="2"/>
          <w:numId w:val="34"/>
        </w:numPr>
        <w:tabs>
          <w:tab w:val="left" w:pos="921"/>
        </w:tabs>
        <w:adjustRightInd w:val="0"/>
        <w:snapToGrid w:val="0"/>
        <w:spacing w:line="360" w:lineRule="auto"/>
        <w:ind w:left="0" w:firstLine="562" w:firstLineChars="200"/>
        <w:jc w:val="both"/>
      </w:pPr>
      <w:bookmarkStart w:id="522" w:name="9.5.4_固体废物影响"/>
      <w:bookmarkEnd w:id="522"/>
      <w:r>
        <w:t>固体废物</w:t>
      </w:r>
      <w:r>
        <w:rPr>
          <w:rFonts w:hint="eastAsia"/>
          <w:lang w:eastAsia="zh-CN"/>
        </w:rPr>
        <w:t>污染防治措施</w:t>
      </w:r>
    </w:p>
    <w:p>
      <w:pPr>
        <w:pStyle w:val="14"/>
        <w:adjustRightInd w:val="0"/>
        <w:snapToGrid w:val="0"/>
        <w:spacing w:line="360" w:lineRule="auto"/>
        <w:ind w:left="0" w:firstLine="480" w:firstLineChars="200"/>
        <w:jc w:val="both"/>
      </w:pPr>
      <w:r>
        <w:rPr>
          <w:rFonts w:hint="eastAsia"/>
          <w:color w:val="auto"/>
          <w:kern w:val="0"/>
          <w:sz w:val="24"/>
          <w:szCs w:val="24"/>
          <w:highlight w:val="none"/>
          <w:lang w:bidi="ar"/>
        </w:rPr>
        <w:t>本项目产生的</w:t>
      </w:r>
      <w:r>
        <w:rPr>
          <w:rFonts w:hint="eastAsia"/>
          <w:color w:val="auto"/>
          <w:kern w:val="0"/>
          <w:sz w:val="24"/>
          <w:szCs w:val="24"/>
          <w:highlight w:val="none"/>
          <w:lang w:eastAsia="zh-CN" w:bidi="ar"/>
        </w:rPr>
        <w:t>脱硫渣</w:t>
      </w:r>
      <w:r>
        <w:rPr>
          <w:rFonts w:hint="eastAsia"/>
          <w:color w:val="auto"/>
          <w:kern w:val="0"/>
          <w:sz w:val="24"/>
          <w:szCs w:val="24"/>
          <w:highlight w:val="none"/>
          <w:lang w:bidi="ar"/>
        </w:rPr>
        <w:t>、</w:t>
      </w:r>
      <w:r>
        <w:rPr>
          <w:rFonts w:hint="eastAsia"/>
          <w:color w:val="auto"/>
          <w:kern w:val="0"/>
          <w:sz w:val="24"/>
          <w:szCs w:val="24"/>
          <w:highlight w:val="none"/>
          <w:lang w:val="en-US" w:eastAsia="zh-CN" w:bidi="ar"/>
        </w:rPr>
        <w:t>灰渣</w:t>
      </w:r>
      <w:r>
        <w:rPr>
          <w:rFonts w:hint="eastAsia"/>
          <w:color w:val="auto"/>
          <w:kern w:val="0"/>
          <w:sz w:val="24"/>
          <w:szCs w:val="24"/>
          <w:highlight w:val="none"/>
          <w:lang w:bidi="ar"/>
        </w:rPr>
        <w:t>收集暂存于灰渣场作为建筑材料外售；离子交换树脂</w:t>
      </w:r>
      <w:r>
        <w:rPr>
          <w:rFonts w:hint="eastAsia"/>
          <w:color w:val="auto"/>
          <w:kern w:val="0"/>
          <w:sz w:val="24"/>
          <w:szCs w:val="24"/>
          <w:highlight w:val="none"/>
          <w:lang w:eastAsia="zh-CN" w:bidi="ar"/>
        </w:rPr>
        <w:t>、废弃滤袋</w:t>
      </w:r>
      <w:r>
        <w:rPr>
          <w:rFonts w:hint="eastAsia"/>
          <w:color w:val="auto"/>
          <w:kern w:val="0"/>
          <w:sz w:val="24"/>
          <w:szCs w:val="24"/>
          <w:highlight w:val="none"/>
          <w:lang w:bidi="ar"/>
        </w:rPr>
        <w:t>全部由厂家回收处置</w:t>
      </w:r>
      <w:r>
        <w:rPr>
          <w:rFonts w:hint="eastAsia"/>
          <w:color w:val="auto"/>
          <w:kern w:val="0"/>
          <w:sz w:val="24"/>
          <w:szCs w:val="24"/>
          <w:highlight w:val="none"/>
          <w:lang w:eastAsia="zh-CN" w:bidi="ar"/>
        </w:rPr>
        <w:t>；废润滑油集中收集，暂存在危废间，委托有资质单位处置。</w:t>
      </w:r>
    </w:p>
    <w:p>
      <w:pPr>
        <w:pStyle w:val="5"/>
        <w:keepNext w:val="0"/>
        <w:keepLines w:val="0"/>
        <w:pageBreakBefore w:val="0"/>
        <w:widowControl w:val="0"/>
        <w:numPr>
          <w:ilvl w:val="1"/>
          <w:numId w:val="31"/>
        </w:numPr>
        <w:tabs>
          <w:tab w:val="left" w:pos="78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523" w:name="_bookmark44"/>
      <w:bookmarkEnd w:id="523"/>
      <w:bookmarkStart w:id="524" w:name="9.6_污染防治措施"/>
      <w:bookmarkEnd w:id="524"/>
      <w:bookmarkStart w:id="525" w:name="_Toc32264"/>
      <w:r>
        <w:rPr>
          <w:rFonts w:hint="eastAsia"/>
          <w:lang w:eastAsia="zh-CN"/>
        </w:rPr>
        <w:t>环境管理与监测</w:t>
      </w:r>
      <w:bookmarkEnd w:id="525"/>
    </w:p>
    <w:p>
      <w:pPr>
        <w:pStyle w:val="14"/>
        <w:adjustRightInd w:val="0"/>
        <w:snapToGrid w:val="0"/>
        <w:spacing w:line="360" w:lineRule="auto"/>
        <w:ind w:left="0" w:firstLine="480" w:firstLineChars="200"/>
        <w:jc w:val="both"/>
        <w:rPr>
          <w:spacing w:val="-8"/>
        </w:rPr>
      </w:pPr>
      <w:bookmarkStart w:id="526" w:name="9.6.1_大气环境保护措施"/>
      <w:bookmarkEnd w:id="526"/>
      <w:r>
        <w:rPr>
          <w:color w:val="auto"/>
          <w:highlight w:val="none"/>
        </w:rPr>
        <w:t>为了缓解建设项目生产运行期对环境构成的不良影响，在采取环保治理工程措施解决建设项目环境影响的同时，必须制定全面的企业环境管理计划，以保证项目的环境保护制度化和系统化，保证项目环保工作持久开展，保证项目能够持续发展生产。对生产过程中产生的或可能发生的环境问题进行深入细致的研究，制定合理的污染治理方案，使环保措施落到实处并真正发挥效用，将环境风险降到最低，达到环境保护的目的。</w:t>
      </w:r>
    </w:p>
    <w:p>
      <w:pPr>
        <w:pStyle w:val="5"/>
        <w:keepNext w:val="0"/>
        <w:keepLines w:val="0"/>
        <w:pageBreakBefore w:val="0"/>
        <w:widowControl w:val="0"/>
        <w:numPr>
          <w:ilvl w:val="1"/>
          <w:numId w:val="31"/>
        </w:numPr>
        <w:tabs>
          <w:tab w:val="left" w:pos="78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527" w:name="_bookmark45"/>
      <w:bookmarkEnd w:id="527"/>
      <w:bookmarkStart w:id="528" w:name="9.7_总量控制"/>
      <w:bookmarkEnd w:id="528"/>
      <w:bookmarkStart w:id="529" w:name="_Toc445"/>
      <w:r>
        <w:rPr>
          <w:rFonts w:hint="eastAsia"/>
          <w:lang w:eastAsia="zh-CN"/>
        </w:rPr>
        <w:t>环境风险评价结论</w:t>
      </w:r>
      <w:bookmarkEnd w:id="529"/>
    </w:p>
    <w:p>
      <w:pPr>
        <w:pStyle w:val="14"/>
        <w:adjustRightInd w:val="0"/>
        <w:snapToGrid w:val="0"/>
        <w:spacing w:line="360" w:lineRule="auto"/>
        <w:ind w:left="0" w:firstLine="480" w:firstLineChars="200"/>
        <w:jc w:val="both"/>
      </w:pPr>
      <w:r>
        <w:rPr>
          <w:color w:val="auto"/>
          <w:highlight w:val="none"/>
        </w:rPr>
        <w:t>本项目风险影响范围小，其环境风险在可接受范围之内。建设单位严格落实设计及环评提出的各项风险防范措施和应急预案，其环境风险水平是可以接受的；企业应编制突发环境事件应急预案，在当地</w:t>
      </w:r>
      <w:r>
        <w:rPr>
          <w:rFonts w:hint="eastAsia"/>
          <w:color w:val="auto"/>
          <w:highlight w:val="none"/>
          <w:lang w:eastAsia="zh-CN"/>
        </w:rPr>
        <w:t>生态环境部门</w:t>
      </w:r>
      <w:r>
        <w:rPr>
          <w:color w:val="auto"/>
          <w:highlight w:val="none"/>
        </w:rPr>
        <w:t>备案。</w:t>
      </w:r>
    </w:p>
    <w:p>
      <w:pPr>
        <w:pStyle w:val="5"/>
        <w:keepNext w:val="0"/>
        <w:keepLines w:val="0"/>
        <w:pageBreakBefore w:val="0"/>
        <w:widowControl w:val="0"/>
        <w:numPr>
          <w:ilvl w:val="1"/>
          <w:numId w:val="31"/>
        </w:numPr>
        <w:tabs>
          <w:tab w:val="left" w:pos="780"/>
        </w:tabs>
        <w:kinsoku/>
        <w:wordWrap/>
        <w:overflowPunct/>
        <w:topLinePunct w:val="0"/>
        <w:autoSpaceDE w:val="0"/>
        <w:autoSpaceDN w:val="0"/>
        <w:bidi w:val="0"/>
        <w:adjustRightInd w:val="0"/>
        <w:snapToGrid w:val="0"/>
        <w:spacing w:line="360" w:lineRule="auto"/>
        <w:ind w:left="0" w:firstLine="643" w:firstLineChars="200"/>
        <w:jc w:val="both"/>
        <w:textAlignment w:val="auto"/>
      </w:pPr>
      <w:bookmarkStart w:id="530" w:name="9.8_公众参与结论"/>
      <w:bookmarkEnd w:id="530"/>
      <w:bookmarkStart w:id="531" w:name="_bookmark46"/>
      <w:bookmarkEnd w:id="531"/>
      <w:bookmarkStart w:id="532" w:name="_Toc32212"/>
      <w:r>
        <w:rPr>
          <w:rFonts w:hint="eastAsia"/>
          <w:lang w:eastAsia="zh-CN"/>
        </w:rPr>
        <w:t>总量指标结论</w:t>
      </w:r>
      <w:bookmarkEnd w:id="532"/>
    </w:p>
    <w:p>
      <w:pPr>
        <w:pageBreakBefore w:val="0"/>
        <w:kinsoku/>
        <w:wordWrap/>
        <w:overflowPunct/>
        <w:topLinePunct w:val="0"/>
        <w:bidi w:val="0"/>
        <w:adjustRightInd w:val="0"/>
        <w:snapToGrid w:val="0"/>
        <w:ind w:lef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现有</w:t>
      </w:r>
      <w:r>
        <w:rPr>
          <w:rFonts w:hint="default" w:ascii="Times New Roman" w:hAnsi="Times New Roman" w:cs="Times New Roman"/>
          <w:color w:val="auto"/>
          <w:highlight w:val="none"/>
          <w:lang w:eastAsia="zh-CN"/>
        </w:rPr>
        <w:t>锅炉房</w:t>
      </w:r>
      <w:r>
        <w:rPr>
          <w:rFonts w:hint="default" w:ascii="Times New Roman" w:hAnsi="Times New Roman" w:cs="Times New Roman"/>
          <w:color w:val="auto"/>
          <w:highlight w:val="none"/>
        </w:rPr>
        <w:t>排污许可证大气污染物总量控制</w:t>
      </w:r>
      <w:r>
        <w:rPr>
          <w:rFonts w:hint="default" w:ascii="Times New Roman" w:hAnsi="Times New Roman" w:cs="Times New Roman"/>
          <w:color w:val="auto"/>
          <w:highlight w:val="none"/>
          <w:lang w:eastAsia="zh-CN"/>
        </w:rPr>
        <w:t>指标</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r>
        <w:rPr>
          <w:rFonts w:hint="default" w:ascii="Times New Roman" w:hAnsi="Times New Roman" w:cs="Times New Roman"/>
          <w:color w:val="auto"/>
          <w:highlight w:val="none"/>
          <w:lang w:eastAsia="zh-CN"/>
        </w:rPr>
        <w:t>为</w:t>
      </w:r>
      <w:r>
        <w:rPr>
          <w:rFonts w:hint="eastAsia" w:ascii="Times New Roman" w:hAnsi="Times New Roman" w:cs="Times New Roman"/>
          <w:color w:val="auto"/>
          <w:highlight w:val="none"/>
          <w:lang w:val="en-US" w:eastAsia="zh-CN"/>
        </w:rPr>
        <w:t>246.4</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rPr>
        <w:t>。</w:t>
      </w:r>
    </w:p>
    <w:p>
      <w:pPr>
        <w:pageBreakBefore w:val="0"/>
        <w:kinsoku/>
        <w:wordWrap/>
        <w:overflowPunct/>
        <w:topLinePunct w:val="0"/>
        <w:bidi w:val="0"/>
        <w:adjustRightInd w:val="0"/>
        <w:snapToGrid w:val="0"/>
        <w:ind w:left="0" w:firstLine="480" w:firstLineChars="200"/>
        <w:jc w:val="both"/>
        <w:textAlignment w:val="auto"/>
        <w:rPr>
          <w:rFonts w:hint="default" w:ascii="Times New Roman" w:hAnsi="Times New Roman" w:cs="Times New Roman"/>
          <w:color w:val="00B050"/>
          <w:highlight w:val="none"/>
          <w:lang w:val="en-US" w:eastAsia="zh-CN"/>
        </w:rPr>
      </w:pPr>
      <w:r>
        <w:rPr>
          <w:rFonts w:hint="default" w:ascii="Times New Roman" w:hAnsi="Times New Roman" w:cs="Times New Roman"/>
          <w:color w:val="00B050"/>
          <w:highlight w:val="none"/>
        </w:rPr>
        <w:t>本</w:t>
      </w:r>
      <w:r>
        <w:rPr>
          <w:rFonts w:hint="default" w:ascii="Times New Roman" w:hAnsi="Times New Roman" w:cs="Times New Roman"/>
          <w:color w:val="00B050"/>
          <w:highlight w:val="none"/>
          <w:lang w:eastAsia="zh-CN"/>
        </w:rPr>
        <w:t>项目</w:t>
      </w:r>
      <w:r>
        <w:rPr>
          <w:rFonts w:hint="default" w:ascii="Times New Roman" w:hAnsi="Times New Roman" w:cs="Times New Roman"/>
          <w:color w:val="00B050"/>
          <w:highlight w:val="none"/>
        </w:rPr>
        <w:t>NO</w:t>
      </w:r>
      <w:r>
        <w:rPr>
          <w:rFonts w:hint="default" w:ascii="Times New Roman" w:hAnsi="Times New Roman" w:cs="Times New Roman"/>
          <w:color w:val="00B050"/>
          <w:highlight w:val="none"/>
          <w:vertAlign w:val="subscript"/>
          <w:lang w:val="en-US" w:eastAsia="zh-CN"/>
        </w:rPr>
        <w:t>X</w:t>
      </w:r>
      <w:r>
        <w:rPr>
          <w:rFonts w:hint="default" w:ascii="Times New Roman" w:hAnsi="Times New Roman" w:cs="Times New Roman"/>
          <w:color w:val="00B050"/>
          <w:highlight w:val="none"/>
        </w:rPr>
        <w:t>的排放量为</w:t>
      </w:r>
      <w:r>
        <w:rPr>
          <w:rFonts w:hint="eastAsia" w:cs="Times New Roman"/>
          <w:color w:val="00B050"/>
          <w:highlight w:val="none"/>
          <w:lang w:val="en-US" w:eastAsia="zh-CN"/>
        </w:rPr>
        <w:t>20.94</w:t>
      </w:r>
      <w:r>
        <w:rPr>
          <w:rFonts w:hint="default" w:ascii="Times New Roman" w:hAnsi="Times New Roman" w:cs="Times New Roman"/>
          <w:color w:val="00B050"/>
          <w:highlight w:val="none"/>
          <w:lang w:val="en-US" w:eastAsia="zh-CN"/>
        </w:rPr>
        <w:t>t/a</w:t>
      </w:r>
      <w:r>
        <w:rPr>
          <w:rFonts w:hint="default" w:ascii="Times New Roman" w:hAnsi="Times New Roman" w:cs="Times New Roman"/>
          <w:color w:val="00B050"/>
          <w:highlight w:val="none"/>
          <w:lang w:eastAsia="zh-CN"/>
        </w:rPr>
        <w:t>。</w:t>
      </w:r>
    </w:p>
    <w:p>
      <w:pPr>
        <w:pStyle w:val="14"/>
        <w:adjustRightInd w:val="0"/>
        <w:snapToGrid w:val="0"/>
        <w:spacing w:line="360" w:lineRule="auto"/>
        <w:ind w:left="0" w:firstLine="480" w:firstLineChars="200"/>
        <w:jc w:val="both"/>
        <w:rPr>
          <w:spacing w:val="-4"/>
        </w:rPr>
      </w:pPr>
      <w:r>
        <w:rPr>
          <w:rFonts w:hint="default" w:ascii="Times New Roman" w:hAnsi="Times New Roman" w:cs="Times New Roman"/>
          <w:color w:val="auto"/>
          <w:highlight w:val="none"/>
          <w:lang w:val="en-US" w:eastAsia="zh-CN"/>
        </w:rPr>
        <w:t>本次新建的1台</w:t>
      </w:r>
      <w:r>
        <w:rPr>
          <w:rFonts w:hint="eastAsia" w:ascii="Times New Roman" w:hAnsi="Times New Roman" w:cs="Times New Roman"/>
          <w:color w:val="auto"/>
          <w:highlight w:val="none"/>
          <w:lang w:val="en-US" w:eastAsia="zh-CN"/>
        </w:rPr>
        <w:t>90t/h</w:t>
      </w:r>
      <w:r>
        <w:rPr>
          <w:rFonts w:hint="default" w:ascii="Times New Roman" w:hAnsi="Times New Roman" w:cs="Times New Roman"/>
          <w:color w:val="auto"/>
          <w:highlight w:val="none"/>
          <w:lang w:val="en-US" w:eastAsia="zh-CN"/>
        </w:rPr>
        <w:t>燃煤锅炉建成后，</w:t>
      </w:r>
      <w:r>
        <w:rPr>
          <w:rFonts w:hint="default" w:ascii="Times New Roman" w:hAnsi="Times New Roman" w:cs="Times New Roman"/>
          <w:color w:val="00B050"/>
          <w:highlight w:val="none"/>
          <w:lang w:val="en-US" w:eastAsia="zh-CN"/>
        </w:rPr>
        <w:t>NO</w:t>
      </w:r>
      <w:r>
        <w:rPr>
          <w:rFonts w:hint="default" w:ascii="Times New Roman" w:hAnsi="Times New Roman" w:cs="Times New Roman"/>
          <w:color w:val="00B050"/>
          <w:highlight w:val="none"/>
          <w:vertAlign w:val="subscript"/>
          <w:lang w:val="en-US" w:eastAsia="zh-CN"/>
        </w:rPr>
        <w:t>X</w:t>
      </w:r>
      <w:r>
        <w:rPr>
          <w:rFonts w:hint="default" w:ascii="Times New Roman" w:hAnsi="Times New Roman" w:cs="Times New Roman"/>
          <w:color w:val="00B050"/>
          <w:highlight w:val="none"/>
          <w:lang w:val="en-US" w:eastAsia="zh-CN"/>
        </w:rPr>
        <w:t>的排放量为</w:t>
      </w:r>
      <w:r>
        <w:rPr>
          <w:rFonts w:hint="eastAsia" w:cs="Times New Roman"/>
          <w:color w:val="00B050"/>
          <w:highlight w:val="none"/>
          <w:lang w:val="en-US" w:eastAsia="zh-CN"/>
        </w:rPr>
        <w:t>20.94</w:t>
      </w:r>
      <w:r>
        <w:rPr>
          <w:rFonts w:hint="default" w:ascii="Times New Roman" w:hAnsi="Times New Roman" w:cs="Times New Roman"/>
          <w:color w:val="00B050"/>
          <w:highlight w:val="none"/>
          <w:lang w:val="en-US" w:eastAsia="zh-CN"/>
        </w:rPr>
        <w:t>t/a，</w:t>
      </w:r>
      <w:r>
        <w:rPr>
          <w:rFonts w:hint="default" w:ascii="Times New Roman" w:hAnsi="Times New Roman" w:cs="Times New Roman"/>
          <w:color w:val="auto"/>
          <w:highlight w:val="none"/>
          <w:lang w:val="en-US" w:eastAsia="zh-CN"/>
        </w:rPr>
        <w:t>现有总量指标完全可以满足本项目建设需求。因此，本项目无需申请总量。</w:t>
      </w:r>
    </w:p>
    <w:p>
      <w:pPr>
        <w:pStyle w:val="14"/>
        <w:keepNext w:val="0"/>
        <w:keepLines w:val="0"/>
        <w:pageBreakBefore w:val="0"/>
        <w:widowControl w:val="0"/>
        <w:kinsoku/>
        <w:wordWrap/>
        <w:overflowPunct/>
        <w:topLinePunct w:val="0"/>
        <w:autoSpaceDE w:val="0"/>
        <w:autoSpaceDN w:val="0"/>
        <w:bidi w:val="0"/>
        <w:adjustRightInd w:val="0"/>
        <w:snapToGrid w:val="0"/>
        <w:spacing w:line="360" w:lineRule="auto"/>
        <w:ind w:left="0" w:firstLine="643" w:firstLineChars="200"/>
        <w:jc w:val="both"/>
        <w:textAlignment w:val="auto"/>
        <w:outlineLvl w:val="1"/>
        <w:rPr>
          <w:rFonts w:hint="default" w:ascii="Times New Roman" w:hAnsi="Times New Roman" w:eastAsia="宋体" w:cs="宋体"/>
          <w:b/>
          <w:bCs/>
          <w:sz w:val="32"/>
          <w:szCs w:val="32"/>
          <w:lang w:val="en-US" w:eastAsia="zh-CN" w:bidi="zh-CN"/>
        </w:rPr>
      </w:pPr>
      <w:bookmarkStart w:id="533" w:name="_Toc31"/>
      <w:r>
        <w:rPr>
          <w:rFonts w:hint="eastAsia" w:ascii="Times New Roman" w:hAnsi="Times New Roman" w:eastAsia="宋体" w:cs="宋体"/>
          <w:b/>
          <w:bCs/>
          <w:sz w:val="32"/>
          <w:szCs w:val="32"/>
          <w:lang w:val="en-US" w:eastAsia="zh-CN" w:bidi="zh-CN"/>
        </w:rPr>
        <w:t>9.9</w:t>
      </w:r>
      <w:r>
        <w:rPr>
          <w:rFonts w:hint="eastAsia" w:ascii="Times New Roman" w:hAnsi="Times New Roman" w:cs="宋体"/>
          <w:b/>
          <w:bCs/>
          <w:sz w:val="32"/>
          <w:szCs w:val="32"/>
          <w:lang w:val="en-US" w:eastAsia="zh-CN" w:bidi="zh-CN"/>
        </w:rPr>
        <w:t xml:space="preserve">  </w:t>
      </w:r>
      <w:r>
        <w:rPr>
          <w:rFonts w:hint="eastAsia" w:ascii="Times New Roman" w:hAnsi="Times New Roman" w:eastAsia="宋体" w:cs="宋体"/>
          <w:b/>
          <w:bCs/>
          <w:sz w:val="32"/>
          <w:szCs w:val="32"/>
          <w:lang w:val="en-US" w:eastAsia="zh-CN" w:bidi="zh-CN"/>
        </w:rPr>
        <w:t>公众参与</w:t>
      </w:r>
      <w:bookmarkEnd w:id="533"/>
    </w:p>
    <w:p>
      <w:pPr>
        <w:pStyle w:val="14"/>
        <w:adjustRightInd w:val="0"/>
        <w:snapToGrid w:val="0"/>
        <w:spacing w:line="360" w:lineRule="auto"/>
        <w:ind w:left="0" w:firstLine="464" w:firstLineChars="200"/>
        <w:jc w:val="both"/>
      </w:pPr>
      <w:r>
        <w:rPr>
          <w:spacing w:val="-4"/>
        </w:rPr>
        <w:t>按照生态环境部发布的《环境影响评价公众参与办法》</w:t>
      </w:r>
      <w:r>
        <w:t>（</w:t>
      </w:r>
      <w:r>
        <w:rPr>
          <w:spacing w:val="-15"/>
        </w:rPr>
        <w:t xml:space="preserve">部令第 </w:t>
      </w:r>
      <w:r>
        <w:rPr>
          <w:rFonts w:ascii="Times New Roman" w:eastAsia="Times New Roman"/>
        </w:rPr>
        <w:t xml:space="preserve">4 </w:t>
      </w:r>
      <w:r>
        <w:t>号</w:t>
      </w:r>
      <w:r>
        <w:rPr>
          <w:spacing w:val="-20"/>
        </w:rPr>
        <w:t>），</w:t>
      </w:r>
      <w:r>
        <w:rPr>
          <w:rFonts w:hint="eastAsia"/>
          <w:spacing w:val="-15"/>
          <w:lang w:eastAsia="zh-CN"/>
        </w:rPr>
        <w:t>中粮糖业控股股份有限公司额敏糖业分公司</w:t>
      </w:r>
      <w:r>
        <w:rPr>
          <w:spacing w:val="-7"/>
        </w:rPr>
        <w:t>在环评单位的协助下，先后在</w:t>
      </w:r>
      <w:r>
        <w:rPr>
          <w:rFonts w:hint="eastAsia"/>
          <w:spacing w:val="-7"/>
          <w:lang w:eastAsia="zh-CN"/>
        </w:rPr>
        <w:t>新疆生态环境保护产业协会网站</w:t>
      </w:r>
      <w:r>
        <w:rPr>
          <w:spacing w:val="-7"/>
        </w:rPr>
        <w:t>发布三次网络公示，向公众告知本项目的建设情况。项目在公示期间，均</w:t>
      </w:r>
      <w:r>
        <w:t>未收到反馈意见。</w:t>
      </w:r>
    </w:p>
    <w:p>
      <w:pPr>
        <w:pStyle w:val="14"/>
        <w:adjustRightInd w:val="0"/>
        <w:snapToGrid w:val="0"/>
        <w:spacing w:line="360" w:lineRule="auto"/>
        <w:ind w:left="0" w:firstLine="436" w:firstLineChars="200"/>
        <w:jc w:val="both"/>
      </w:pPr>
      <w:r>
        <w:rPr>
          <w:spacing w:val="-11"/>
        </w:rPr>
        <w:t>征求意见稿</w:t>
      </w:r>
      <w:r>
        <w:rPr>
          <w:rFonts w:hint="eastAsia"/>
          <w:spacing w:val="-11"/>
          <w:lang w:eastAsia="zh-CN"/>
        </w:rPr>
        <w:t>以及拟报批稿</w:t>
      </w:r>
      <w:r>
        <w:rPr>
          <w:spacing w:val="-11"/>
        </w:rPr>
        <w:t>公示期间，在</w:t>
      </w:r>
      <w:r>
        <w:rPr>
          <w:rFonts w:hint="eastAsia"/>
          <w:spacing w:val="-7"/>
          <w:lang w:eastAsia="zh-CN"/>
        </w:rPr>
        <w:t>新疆生态环境保护产业协会网站</w:t>
      </w:r>
      <w:r>
        <w:rPr>
          <w:spacing w:val="-11"/>
        </w:rPr>
        <w:t>进行本项</w:t>
      </w:r>
      <w:r>
        <w:rPr>
          <w:spacing w:val="-4"/>
        </w:rPr>
        <w:t>目环境影响报告书</w:t>
      </w:r>
      <w:r>
        <w:t>征求意见稿</w:t>
      </w:r>
      <w:r>
        <w:rPr>
          <w:spacing w:val="-4"/>
        </w:rPr>
        <w:t>及</w:t>
      </w:r>
      <w:r>
        <w:rPr>
          <w:rFonts w:hint="eastAsia"/>
          <w:spacing w:val="-4"/>
          <w:lang w:eastAsia="zh-CN"/>
        </w:rPr>
        <w:t>拟报批稿</w:t>
      </w:r>
      <w:r>
        <w:rPr>
          <w:spacing w:val="-4"/>
        </w:rPr>
        <w:t>的公告，同期在</w:t>
      </w:r>
      <w:r>
        <w:rPr>
          <w:rFonts w:hint="eastAsia"/>
          <w:spacing w:val="-4"/>
          <w:lang w:eastAsia="zh-CN"/>
        </w:rPr>
        <w:t>塔城日报</w:t>
      </w:r>
      <w:r>
        <w:rPr>
          <w:spacing w:val="-4"/>
        </w:rPr>
        <w:t>对项目环境影响报告书的环境影响评价信息进行了</w:t>
      </w:r>
      <w:r>
        <w:rPr>
          <w:rFonts w:hint="eastAsia"/>
          <w:spacing w:val="-4"/>
          <w:lang w:eastAsia="zh-CN"/>
        </w:rPr>
        <w:t>二</w:t>
      </w:r>
      <w:r>
        <w:rPr>
          <w:spacing w:val="-4"/>
        </w:rPr>
        <w:t>期报纸公告，在距</w:t>
      </w:r>
      <w:r>
        <w:rPr>
          <w:spacing w:val="-6"/>
        </w:rPr>
        <w:t>离项目最近的乡政府和村委会张贴了公示。在此期间，未收到公众反馈的本项目</w:t>
      </w:r>
      <w:r>
        <w:t>关于环境保护方面的意见。</w:t>
      </w:r>
    </w:p>
    <w:p>
      <w:pPr>
        <w:pStyle w:val="5"/>
        <w:keepNext w:val="0"/>
        <w:keepLines w:val="0"/>
        <w:pageBreakBefore w:val="0"/>
        <w:widowControl w:val="0"/>
        <w:numPr>
          <w:ilvl w:val="0"/>
          <w:numId w:val="0"/>
        </w:numPr>
        <w:tabs>
          <w:tab w:val="left" w:pos="780"/>
        </w:tabs>
        <w:kinsoku/>
        <w:wordWrap/>
        <w:overflowPunct/>
        <w:topLinePunct w:val="0"/>
        <w:autoSpaceDE w:val="0"/>
        <w:autoSpaceDN w:val="0"/>
        <w:bidi w:val="0"/>
        <w:adjustRightInd w:val="0"/>
        <w:snapToGrid w:val="0"/>
        <w:spacing w:line="360" w:lineRule="auto"/>
        <w:ind w:leftChars="200"/>
        <w:jc w:val="both"/>
        <w:textAlignment w:val="auto"/>
      </w:pPr>
      <w:bookmarkStart w:id="534" w:name="_bookmark47"/>
      <w:bookmarkEnd w:id="534"/>
      <w:bookmarkStart w:id="535" w:name="9.9_综合评价结论"/>
      <w:bookmarkEnd w:id="535"/>
      <w:bookmarkStart w:id="536" w:name="_Toc23569"/>
      <w:bookmarkStart w:id="537" w:name="_Toc12760"/>
      <w:bookmarkStart w:id="538" w:name="_Toc12540"/>
      <w:r>
        <w:rPr>
          <w:rFonts w:hint="eastAsia"/>
          <w:lang w:val="en-US" w:eastAsia="zh-CN"/>
        </w:rPr>
        <w:t xml:space="preserve">9.10  </w:t>
      </w:r>
      <w:r>
        <w:t>综合评价结论</w:t>
      </w:r>
      <w:bookmarkEnd w:id="536"/>
      <w:bookmarkEnd w:id="537"/>
      <w:bookmarkEnd w:id="538"/>
    </w:p>
    <w:p>
      <w:pPr>
        <w:pStyle w:val="14"/>
        <w:adjustRightInd w:val="0"/>
        <w:snapToGrid w:val="0"/>
        <w:spacing w:line="360" w:lineRule="auto"/>
        <w:ind w:left="0" w:firstLine="480" w:firstLineChars="200"/>
        <w:jc w:val="both"/>
      </w:pPr>
      <w:r>
        <w:rPr>
          <w:color w:val="auto"/>
          <w:highlight w:val="none"/>
        </w:rPr>
        <w:t>综合分析结果表明，本项目符合</w:t>
      </w:r>
      <w:r>
        <w:rPr>
          <w:rFonts w:hint="eastAsia"/>
          <w:color w:val="auto"/>
          <w:highlight w:val="none"/>
        </w:rPr>
        <w:t>地区</w:t>
      </w:r>
      <w:r>
        <w:rPr>
          <w:color w:val="auto"/>
          <w:highlight w:val="none"/>
        </w:rPr>
        <w:t>规划，厂址选择合理、符合产业政策；各项污染物能够达标排放；环境风险水平在可接受的程度内；通过公众参与分析，当地群众支持该项目建设。但考虑项目在建设过程中的不确定因素，项目建设过程中须认真落实环境保护</w:t>
      </w:r>
      <w:r>
        <w:rPr>
          <w:rFonts w:hint="eastAsia"/>
          <w:color w:val="auto"/>
          <w:highlight w:val="none"/>
          <w:lang w:eastAsia="zh-CN"/>
        </w:rPr>
        <w:t>“</w:t>
      </w:r>
      <w:r>
        <w:rPr>
          <w:color w:val="auto"/>
          <w:highlight w:val="none"/>
        </w:rPr>
        <w:t>三同时</w:t>
      </w:r>
      <w:r>
        <w:rPr>
          <w:rFonts w:hint="eastAsia"/>
          <w:color w:val="auto"/>
          <w:highlight w:val="none"/>
          <w:lang w:eastAsia="zh-CN"/>
        </w:rPr>
        <w:t>”制度</w:t>
      </w:r>
      <w:r>
        <w:rPr>
          <w:color w:val="auto"/>
          <w:highlight w:val="none"/>
        </w:rPr>
        <w:t>，严格落实设计和环评报告提出的污染防治措施和环境保护措施，并加强环保设施的运行维护和管理，保证各种环保设施的正常运行和污染物长期稳定达标排放。在落实并保证以上条件实施的前提下，从环保角度分析，该项目建设是可行的。</w:t>
      </w:r>
    </w:p>
    <w:p>
      <w:pPr>
        <w:pStyle w:val="5"/>
        <w:keepNext w:val="0"/>
        <w:keepLines w:val="0"/>
        <w:pageBreakBefore w:val="0"/>
        <w:widowControl w:val="0"/>
        <w:numPr>
          <w:ilvl w:val="0"/>
          <w:numId w:val="0"/>
        </w:numPr>
        <w:tabs>
          <w:tab w:val="left" w:pos="940"/>
        </w:tabs>
        <w:kinsoku/>
        <w:wordWrap/>
        <w:overflowPunct/>
        <w:topLinePunct w:val="0"/>
        <w:autoSpaceDE w:val="0"/>
        <w:autoSpaceDN w:val="0"/>
        <w:bidi w:val="0"/>
        <w:adjustRightInd w:val="0"/>
        <w:snapToGrid w:val="0"/>
        <w:spacing w:line="360" w:lineRule="auto"/>
        <w:ind w:leftChars="200"/>
        <w:jc w:val="both"/>
        <w:textAlignment w:val="auto"/>
      </w:pPr>
      <w:bookmarkStart w:id="539" w:name="_bookmark48"/>
      <w:bookmarkEnd w:id="539"/>
      <w:bookmarkStart w:id="540" w:name="9.10_对策与建议"/>
      <w:bookmarkEnd w:id="540"/>
      <w:bookmarkStart w:id="541" w:name="_Toc29889"/>
      <w:bookmarkStart w:id="542" w:name="_Toc17931"/>
      <w:bookmarkStart w:id="543" w:name="_Toc25815"/>
      <w:r>
        <w:rPr>
          <w:rFonts w:hint="eastAsia"/>
          <w:lang w:val="en-US" w:eastAsia="zh-CN"/>
        </w:rPr>
        <w:t xml:space="preserve">9.11  </w:t>
      </w:r>
      <w:r>
        <w:t>对策与建议</w:t>
      </w:r>
      <w:bookmarkEnd w:id="541"/>
      <w:bookmarkEnd w:id="542"/>
      <w:bookmarkEnd w:id="543"/>
    </w:p>
    <w:p>
      <w:pPr>
        <w:pStyle w:val="62"/>
        <w:rPr>
          <w:rFonts w:ascii="Times New Roman" w:hAnsi="Times New Roman"/>
          <w:color w:val="auto"/>
          <w:kern w:val="2"/>
          <w:highlight w:val="none"/>
        </w:rPr>
      </w:pPr>
      <w:r>
        <w:rPr>
          <w:rFonts w:ascii="Times New Roman" w:hAnsi="Times New Roman"/>
          <w:color w:val="auto"/>
          <w:kern w:val="2"/>
          <w:highlight w:val="none"/>
        </w:rPr>
        <w:t>（1）除尘、脱硫、脱硝设备运行的正常是保证锅炉排放颗粒物和SO</w:t>
      </w:r>
      <w:r>
        <w:rPr>
          <w:rFonts w:ascii="Times New Roman" w:hAnsi="Times New Roman"/>
          <w:color w:val="auto"/>
          <w:kern w:val="2"/>
          <w:highlight w:val="none"/>
          <w:vertAlign w:val="subscript"/>
        </w:rPr>
        <w:t>2</w:t>
      </w:r>
      <w:r>
        <w:rPr>
          <w:rFonts w:ascii="Times New Roman" w:hAnsi="Times New Roman"/>
          <w:color w:val="auto"/>
          <w:kern w:val="2"/>
          <w:highlight w:val="none"/>
        </w:rPr>
        <w:t>、NO</w:t>
      </w:r>
      <w:r>
        <w:rPr>
          <w:rFonts w:hint="eastAsia" w:ascii="Times New Roman" w:hAnsi="Times New Roman"/>
          <w:color w:val="auto"/>
          <w:kern w:val="2"/>
          <w:highlight w:val="none"/>
          <w:vertAlign w:val="subscript"/>
          <w:lang w:val="en-US" w:eastAsia="zh-CN"/>
        </w:rPr>
        <w:t>X</w:t>
      </w:r>
      <w:r>
        <w:rPr>
          <w:rFonts w:ascii="Times New Roman" w:hAnsi="Times New Roman"/>
          <w:color w:val="auto"/>
          <w:kern w:val="2"/>
          <w:highlight w:val="none"/>
        </w:rPr>
        <w:t>污染物是否达标的关键，所以要严格按照除尘器、脱硫、脱硝设施的操作规程进行操作，确保污染物达标排放。</w:t>
      </w:r>
    </w:p>
    <w:p>
      <w:pPr>
        <w:pStyle w:val="62"/>
        <w:rPr>
          <w:rFonts w:ascii="Times New Roman" w:hAnsi="Times New Roman"/>
          <w:color w:val="auto"/>
          <w:kern w:val="2"/>
          <w:highlight w:val="none"/>
        </w:rPr>
      </w:pPr>
      <w:r>
        <w:rPr>
          <w:rFonts w:ascii="Times New Roman" w:hAnsi="Times New Roman"/>
          <w:color w:val="auto"/>
          <w:kern w:val="2"/>
          <w:highlight w:val="none"/>
        </w:rPr>
        <w:t>（2）对环保设施一定要实行</w:t>
      </w:r>
      <w:r>
        <w:rPr>
          <w:rFonts w:hint="eastAsia" w:ascii="Times New Roman" w:hAnsi="Times New Roman"/>
          <w:color w:val="auto"/>
          <w:kern w:val="2"/>
          <w:highlight w:val="none"/>
          <w:lang w:eastAsia="zh-CN"/>
        </w:rPr>
        <w:t>“</w:t>
      </w:r>
      <w:r>
        <w:rPr>
          <w:rFonts w:ascii="Times New Roman" w:hAnsi="Times New Roman"/>
          <w:color w:val="auto"/>
          <w:kern w:val="2"/>
          <w:highlight w:val="none"/>
        </w:rPr>
        <w:t>三同时</w:t>
      </w:r>
      <w:r>
        <w:rPr>
          <w:rFonts w:hint="eastAsia" w:ascii="Times New Roman" w:hAnsi="Times New Roman"/>
          <w:color w:val="auto"/>
          <w:kern w:val="2"/>
          <w:highlight w:val="none"/>
          <w:lang w:eastAsia="zh-CN"/>
        </w:rPr>
        <w:t>”制度</w:t>
      </w:r>
      <w:r>
        <w:rPr>
          <w:rFonts w:ascii="Times New Roman" w:hAnsi="Times New Roman"/>
          <w:color w:val="auto"/>
          <w:kern w:val="2"/>
          <w:highlight w:val="none"/>
        </w:rPr>
        <w:t>，在工程生产期，要加强各项污染控制设施的运行管理，实行定期维护、检修和考核制度，确保设施完好率，并使其正常稳定运转发挥效用。</w:t>
      </w:r>
    </w:p>
    <w:p>
      <w:pPr>
        <w:pStyle w:val="62"/>
        <w:rPr>
          <w:rFonts w:ascii="Times New Roman" w:hAnsi="Times New Roman"/>
          <w:color w:val="auto"/>
          <w:kern w:val="2"/>
          <w:highlight w:val="none"/>
        </w:rPr>
      </w:pPr>
      <w:r>
        <w:rPr>
          <w:rFonts w:ascii="Times New Roman" w:hAnsi="Times New Roman"/>
          <w:color w:val="auto"/>
          <w:kern w:val="2"/>
          <w:highlight w:val="none"/>
        </w:rPr>
        <w:t>（</w:t>
      </w:r>
      <w:r>
        <w:rPr>
          <w:rFonts w:hint="eastAsia" w:ascii="Times New Roman" w:hAnsi="Times New Roman"/>
          <w:color w:val="auto"/>
          <w:kern w:val="2"/>
          <w:highlight w:val="none"/>
          <w:lang w:val="en-US" w:eastAsia="zh-CN"/>
        </w:rPr>
        <w:t>3</w:t>
      </w:r>
      <w:r>
        <w:rPr>
          <w:rFonts w:ascii="Times New Roman" w:hAnsi="Times New Roman"/>
          <w:color w:val="auto"/>
          <w:kern w:val="2"/>
          <w:highlight w:val="none"/>
        </w:rPr>
        <w:t>）建立设备管理网络体系，形成保证设备正常运行和正常维修保养的一系列程序，确保设备完好，确保达标排放。</w:t>
      </w:r>
    </w:p>
    <w:p>
      <w:pPr>
        <w:pStyle w:val="62"/>
        <w:rPr>
          <w:rFonts w:ascii="Times New Roman" w:hAnsi="Times New Roman"/>
          <w:color w:val="auto"/>
          <w:kern w:val="2"/>
          <w:highlight w:val="none"/>
        </w:rPr>
      </w:pPr>
      <w:r>
        <w:rPr>
          <w:rFonts w:ascii="Times New Roman" w:hAnsi="Times New Roman"/>
          <w:color w:val="auto"/>
          <w:kern w:val="2"/>
          <w:highlight w:val="none"/>
        </w:rPr>
        <w:t>（</w:t>
      </w:r>
      <w:r>
        <w:rPr>
          <w:rFonts w:hint="eastAsia" w:ascii="Times New Roman" w:hAnsi="Times New Roman"/>
          <w:color w:val="auto"/>
          <w:kern w:val="2"/>
          <w:highlight w:val="none"/>
          <w:lang w:val="en-US" w:eastAsia="zh-CN"/>
        </w:rPr>
        <w:t>4</w:t>
      </w:r>
      <w:r>
        <w:rPr>
          <w:rFonts w:ascii="Times New Roman" w:hAnsi="Times New Roman"/>
          <w:color w:val="auto"/>
          <w:kern w:val="2"/>
          <w:highlight w:val="none"/>
        </w:rPr>
        <w:t>）建立健全安全环保规章制度</w:t>
      </w:r>
      <w:r>
        <w:rPr>
          <w:rFonts w:hint="eastAsia" w:ascii="Times New Roman" w:hAnsi="Times New Roman"/>
          <w:color w:val="auto"/>
          <w:kern w:val="2"/>
          <w:highlight w:val="none"/>
          <w:lang w:eastAsia="zh-CN"/>
        </w:rPr>
        <w:t>、</w:t>
      </w:r>
      <w:r>
        <w:rPr>
          <w:rFonts w:ascii="Times New Roman" w:hAnsi="Times New Roman"/>
          <w:color w:val="auto"/>
          <w:kern w:val="2"/>
          <w:highlight w:val="none"/>
        </w:rPr>
        <w:t>事故应急</w:t>
      </w:r>
      <w:r>
        <w:rPr>
          <w:rFonts w:hint="eastAsia" w:ascii="Times New Roman" w:hAnsi="Times New Roman"/>
          <w:color w:val="auto"/>
          <w:kern w:val="2"/>
          <w:highlight w:val="none"/>
          <w:lang w:eastAsia="zh-CN"/>
        </w:rPr>
        <w:t>体系</w:t>
      </w:r>
      <w:r>
        <w:rPr>
          <w:rFonts w:ascii="Times New Roman" w:hAnsi="Times New Roman"/>
          <w:color w:val="auto"/>
          <w:kern w:val="2"/>
          <w:highlight w:val="none"/>
        </w:rPr>
        <w:t>，加强职工安全环保知识教育，杜绝各种污染事故和火灾的发生。</w:t>
      </w:r>
    </w:p>
    <w:p>
      <w:pPr>
        <w:keepNext w:val="0"/>
        <w:keepLines w:val="0"/>
        <w:widowControl/>
        <w:suppressLineNumbers w:val="0"/>
        <w:jc w:val="left"/>
        <w:rPr>
          <w:rFonts w:hint="eastAsia" w:ascii="Times New Roman" w:hAnsi="Times New Roman" w:eastAsia="宋体"/>
          <w:color w:val="0000FF"/>
          <w:kern w:val="2"/>
          <w:highlight w:val="none"/>
          <w:lang w:eastAsia="zh-CN"/>
        </w:rPr>
      </w:pPr>
      <w:r>
        <w:rPr>
          <w:rFonts w:hint="eastAsia" w:ascii="Times New Roman" w:hAnsi="Times New Roman"/>
          <w:color w:val="0000FF"/>
          <w:kern w:val="2"/>
          <w:highlight w:val="none"/>
          <w:lang w:eastAsia="zh-CN"/>
        </w:rPr>
        <w:t>（</w:t>
      </w:r>
      <w:r>
        <w:rPr>
          <w:rFonts w:hint="eastAsia" w:ascii="Times New Roman" w:hAnsi="Times New Roman"/>
          <w:color w:val="0000FF"/>
          <w:kern w:val="2"/>
          <w:highlight w:val="none"/>
          <w:lang w:val="en-US" w:eastAsia="zh-CN"/>
        </w:rPr>
        <w:t>5</w:t>
      </w:r>
      <w:r>
        <w:rPr>
          <w:rFonts w:hint="eastAsia" w:ascii="Times New Roman" w:hAnsi="Times New Roman"/>
          <w:color w:val="0000FF"/>
          <w:kern w:val="2"/>
          <w:highlight w:val="none"/>
          <w:lang w:eastAsia="zh-CN"/>
        </w:rPr>
        <w:t>）</w:t>
      </w:r>
      <w:r>
        <w:rPr>
          <w:rFonts w:hint="eastAsia"/>
          <w:color w:val="0000FF"/>
          <w:kern w:val="2"/>
          <w:highlight w:val="none"/>
          <w:lang w:eastAsia="zh-CN"/>
        </w:rPr>
        <w:t>在企业经济条件允许情况下，尽快实施超低排放改造，</w:t>
      </w:r>
      <w:r>
        <w:rPr>
          <w:rFonts w:hint="default" w:ascii="Times New Roman" w:hAnsi="Times New Roman" w:eastAsia="宋体" w:cs="Times New Roman"/>
          <w:color w:val="0000FF"/>
          <w:kern w:val="0"/>
          <w:sz w:val="24"/>
          <w:szCs w:val="24"/>
          <w:lang w:val="en-US" w:eastAsia="zh-CN" w:bidi="ar"/>
        </w:rPr>
        <w:t>满足《关于印发&lt;全面实施燃煤电厂超低排放和节能改造工作方案&gt;的通知》(环发〔2015〕164号)中燃煤电厂大气污染物超低排放控制</w:t>
      </w:r>
      <w:r>
        <w:rPr>
          <w:rFonts w:hint="eastAsia" w:ascii="Times New Roman" w:hAnsi="Times New Roman" w:eastAsia="宋体" w:cs="Times New Roman"/>
          <w:color w:val="0000FF"/>
          <w:kern w:val="0"/>
          <w:sz w:val="24"/>
          <w:szCs w:val="24"/>
          <w:lang w:val="en-US" w:eastAsia="zh-CN" w:bidi="ar"/>
        </w:rPr>
        <w:t>要求</w:t>
      </w:r>
      <w:r>
        <w:rPr>
          <w:rFonts w:hint="default" w:ascii="Times New Roman" w:hAnsi="Times New Roman" w:eastAsia="宋体" w:cs="Times New Roman"/>
          <w:color w:val="0000FF"/>
          <w:kern w:val="0"/>
          <w:sz w:val="24"/>
          <w:szCs w:val="24"/>
          <w:lang w:val="en-US" w:eastAsia="zh-CN" w:bidi="ar"/>
        </w:rPr>
        <w:t>。</w:t>
      </w:r>
      <w:bookmarkStart w:id="544" w:name="_GoBack"/>
      <w:bookmarkEnd w:id="544"/>
    </w:p>
    <w:sectPr>
      <w:headerReference r:id="rId27" w:type="default"/>
      <w:footerReference r:id="rId29" w:type="default"/>
      <w:headerReference r:id="rId28" w:type="even"/>
      <w:footerReference r:id="rId30" w:type="even"/>
      <w:pgSz w:w="11910" w:h="16840"/>
      <w:pgMar w:top="1440" w:right="1803" w:bottom="1440" w:left="1803" w:header="896" w:footer="1088" w:gutter="0"/>
      <w:pgBorders>
        <w:top w:val="none" w:sz="0" w:space="0"/>
        <w:left w:val="none" w:sz="0" w:space="0"/>
        <w:bottom w:val="none" w:sz="0" w:space="0"/>
        <w:right w:val="none" w:sz="0" w:space="0"/>
      </w:pgBorders>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康简宋">
    <w:altName w:val="宋体"/>
    <w:panose1 w:val="00000000000000000000"/>
    <w:charset w:val="01"/>
    <w:family w:val="auto"/>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宋体-方正超大字符集">
    <w:altName w:val="宋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imesNewRomanPSMT">
    <w:altName w:val="Times New Roman"/>
    <w:panose1 w:val="00000000000000000000"/>
    <w:charset w:val="00"/>
    <w:family w:val="roman"/>
    <w:pitch w:val="default"/>
    <w:sig w:usb0="00000000" w:usb1="00000000" w:usb2="00000010" w:usb3="00000000" w:csb0="0006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17" o:spid="_x0000_s2117" o:spt="202" type="#_x0000_t202" style="position:absolute;left:0pt;margin-top:0pt;height:144pt;width:144pt;mso-position-horizontal:center;mso-position-horizontal-relative:margin;mso-wrap-style:none;z-index:251680768;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104</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18" o:spid="_x0000_s2118" o:spt="202" type="#_x0000_t202" style="position:absolute;left:0pt;margin-top:0pt;height:144pt;width:144pt;mso-position-horizontal:center;mso-position-horizontal-relative:margin;mso-wrap-style:none;z-index:251681792;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105</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19" o:spid="_x0000_s2119"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106</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22" o:spid="_x0000_s2122" o:spt="202" type="#_x0000_t202" style="position:absolute;left:0pt;margin-top:0pt;height:144pt;width:144pt;mso-position-horizontal:center;mso-position-horizontal-relative:margin;mso-wrap-style:none;z-index:251683840;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153</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23" o:spid="_x0000_s2123" o:spt="202" type="#_x0000_t202" style="position:absolute;left:0pt;margin-top:0pt;height:144pt;width:144pt;mso-position-horizontal:center;mso-position-horizontal-relative:margin;mso-wrap-style:none;z-index:251684864;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152</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24" o:spid="_x0000_s2124" o:spt="202" type="#_x0000_t202" style="position:absolute;left:0pt;margin-top:0pt;height:144pt;width:144pt;mso-position-horizontal:center;mso-position-horizontal-relative:margin;mso-wrap-style:none;z-index:251685888;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175</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25" o:spid="_x0000_s2125" o:spt="202" type="#_x0000_t202" style="position:absolute;left:0pt;margin-top:0pt;height:144pt;width:144pt;mso-position-horizontal:center;mso-position-horizontal-relative:margin;mso-wrap-style:none;z-index:251686912;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176</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26" o:spid="_x0000_s2126" o:spt="202" type="#_x0000_t202" style="position:absolute;left:0pt;margin-top:0pt;height:144pt;width:144pt;mso-position-horizontal:center;mso-position-horizontal-relative:margin;mso-wrap-style:none;z-index:251687936;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185</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27" o:spid="_x0000_s2127" o:spt="202" type="#_x0000_t202" style="position:absolute;left:0pt;margin-top:0pt;height:144pt;width:144pt;mso-position-horizontal:center;mso-position-horizontal-relative:margin;mso-wrap-style:none;z-index:251688960;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184</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31" o:spid="_x0000_s2131" o:spt="202" type="#_x0000_t202" style="position:absolute;left:0pt;margin-top:0pt;height:144pt;width:144pt;mso-position-horizontal:center;mso-position-horizontal-relative:margin;mso-wrap-style:none;z-index:251689984;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199</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32" o:spid="_x0000_s2132" o:spt="202" type="#_x0000_t202" style="position:absolute;left:0pt;margin-top:0pt;height:144pt;width:144pt;mso-position-horizontal:center;mso-position-horizontal-relative:margin;mso-wrap-style:none;z-index:251691008;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200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08" o:spid="_x0000_s2108"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13</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09" o:spid="_x0000_s2109" o:spt="202" type="#_x0000_t202" style="position:absolute;left:0pt;margin-top:0pt;height:144pt;width:144pt;mso-position-horizontal:center;mso-position-horizontal-relative:margin;mso-wrap-style:none;z-index:251674624;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10" o:spid="_x0000_s2110" o:spt="202" type="#_x0000_t202" style="position:absolute;left:0pt;margin-top:0pt;height:144pt;width:144pt;mso-position-horizontal:center;mso-position-horizontal-relative:margin;mso-wrap-style:none;z-index:251675648;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23</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11" o:spid="_x0000_s2111" o:spt="202" type="#_x0000_t202" style="position:absolute;left:0pt;margin-top:0pt;height:144pt;width:144pt;mso-position-horizontal:center;mso-position-horizontal-relative:margin;mso-wrap-style:none;z-index:251676672;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22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12" o:spid="_x0000_s2112"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41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13" o:spid="_x0000_s2113" o:spt="202" type="#_x0000_t202" style="position:absolute;left:0pt;margin-top:0pt;height:144pt;width:144pt;mso-position-horizontal:center;mso-position-horizontal-relative:margin;mso-wrap-style:none;z-index:251678720;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40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rPr>
        <w:sz w:val="20"/>
      </w:rPr>
      <w:pict>
        <v:shape id="_x0000_s2116" o:spid="_x0000_s2116" o:spt="202" type="#_x0000_t202" style="position:absolute;left:0pt;margin-top:0pt;height:144pt;width:144pt;mso-position-horizontal:center;mso-position-horizontal-relative:margin;mso-wrap-style:none;z-index:251679744;mso-width-relative:page;mso-height-relative:page;" filled="f" stroked="f" coordsize="21600,21600">
          <v:path/>
          <v:fill on="f" focussize="0,0"/>
          <v:stroke on="f" joinstyle="miter"/>
          <v:imagedata o:title=""/>
          <o:lock v:ext="edit"/>
          <v:textbox inset="0mm,0mm,0mm,0mm" style="mso-fit-shape-to-text:t;">
            <w:txbxContent>
              <w:p>
                <w:pPr>
                  <w:pStyle w:val="21"/>
                </w:pPr>
                <w:r>
                  <w:fldChar w:fldCharType="begin"/>
                </w:r>
                <w:r>
                  <w:instrText xml:space="preserve"> PAGE  \* MERGEFORMAT </w:instrText>
                </w:r>
                <w:r>
                  <w:fldChar w:fldCharType="separate"/>
                </w:r>
                <w:r>
                  <w:t>103</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pict>
        <v:shape id="_x0000_s2049" o:spid="_x0000_s2049" o:spt="202" type="#_x0000_t202" style="position:absolute;left:0pt;margin-left:93.45pt;margin-top:44.6pt;height:13.95pt;width:411.3pt;mso-position-horizontal-relative:page;mso-position-vertical-relative:page;z-index:-251651072;mso-width-relative:page;mso-height-relative:page;" filled="f" stroked="f" coordsize="21600,21600">
          <v:path/>
          <v:fill on="f" focussize="0,0"/>
          <v:stroke on="f"/>
          <v:imagedata o:title=""/>
          <o:lock v:ext="edit" aspectratio="f"/>
          <v:textbox inset="0mm,0mm,0mm,0mm">
            <w:txbxContent>
              <w:p>
                <w:r>
                  <w:rPr>
                    <w:rFonts w:hint="eastAsia"/>
                    <w:color w:val="000000" w:themeColor="text1"/>
                    <w:sz w:val="18"/>
                    <w:lang w:eastAsia="zh-CN"/>
                  </w:rPr>
                  <w:t>中粮糖业控股股份有限公司额敏糖业分公司90吨/小时锅炉技改项目</w:t>
                </w:r>
                <w:r>
                  <w:rPr>
                    <w:rFonts w:hint="eastAsia"/>
                    <w:color w:val="000000" w:themeColor="text1"/>
                    <w:sz w:val="18"/>
                  </w:rPr>
                  <w:t>环境影响报告书</w:t>
                </w:r>
              </w:p>
              <w:p/>
            </w:txbxContent>
          </v:textbox>
        </v:shape>
      </w:pict>
    </w:r>
    <w:r>
      <w:pict>
        <v:line id="_x0000_s2050" o:spid="_x0000_s2050" o:spt="20" style="position:absolute;left:0pt;margin-left:90pt;margin-top:56.4pt;height:0pt;width:415.3pt;mso-position-horizontal-relative:page;mso-position-vertical-relative:page;z-index:-251652096;mso-width-relative:page;mso-height-relative:page;" coordsize="21600,21600">
          <v:path arrowok="t"/>
          <v:fill focussize="0,0"/>
          <v:stroke weight="0.48pt"/>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pict>
        <v:shape id="_x0000_s2052" o:spid="_x0000_s2052" o:spt="202" type="#_x0000_t202" style="position:absolute;left:0pt;margin-left:90.9pt;margin-top:43.85pt;height:14.75pt;width:406.2pt;mso-position-horizontal-relative:page;mso-position-vertical-relative:page;z-index:-251653120;mso-width-relative:page;mso-height-relative:page;" filled="f" stroked="f" coordsize="21600,21600">
          <v:path/>
          <v:fill on="f" focussize="0,0"/>
          <v:stroke on="f"/>
          <v:imagedata o:title=""/>
          <o:lock v:ext="edit" aspectratio="f"/>
          <v:textbox inset="0mm,0mm,0mm,0mm">
            <w:txbxContent>
              <w:p>
                <w:pPr>
                  <w:ind w:left="0" w:leftChars="0" w:firstLine="0" w:firstLineChars="0"/>
                </w:pPr>
                <w:r>
                  <w:rPr>
                    <w:rFonts w:hint="eastAsia"/>
                    <w:color w:val="000000" w:themeColor="text1"/>
                    <w:sz w:val="18"/>
                    <w:lang w:eastAsia="zh-CN"/>
                  </w:rPr>
                  <w:t>中粮糖业控股股份有限公司额敏糖业分公司90吨/小时锅炉技改项目</w:t>
                </w:r>
                <w:r>
                  <w:rPr>
                    <w:rFonts w:hint="eastAsia"/>
                    <w:color w:val="000000" w:themeColor="text1"/>
                    <w:sz w:val="18"/>
                  </w:rPr>
                  <w:t>环境影响报告书</w:t>
                </w:r>
              </w:p>
              <w:p/>
            </w:txbxContent>
          </v:textbox>
        </v:shape>
      </w:pict>
    </w:r>
    <w:r>
      <w:pict>
        <v:line id="_x0000_s2053" o:spid="_x0000_s2053" o:spt="20" style="position:absolute;left:0pt;margin-left:90pt;margin-top:56.4pt;height:0pt;width:415.3pt;mso-position-horizontal-relative:page;mso-position-vertical-relative:page;z-index:-251654144;mso-width-relative:page;mso-height-relative:page;" coordsize="21600,21600">
          <v:path arrowok="t"/>
          <v:fill focussize="0,0"/>
          <v:stroke weight="0.48pt"/>
          <v:imagedata o:title=""/>
          <o:lock v:ext="edit"/>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pict>
        <v:shape id="_x0000_s2067" o:spid="_x0000_s2067" o:spt="202" type="#_x0000_t202" style="position:absolute;left:0pt;margin-left:93.45pt;margin-top:45.35pt;height:14.05pt;width:411.4pt;mso-position-horizontal-relative:page;mso-position-vertical-relative:page;z-index:-251648000;mso-width-relative:page;mso-height-relative:page;" filled="f" stroked="f" coordsize="21600,21600">
          <v:path/>
          <v:fill on="f" focussize="0,0"/>
          <v:stroke on="f"/>
          <v:imagedata o:title=""/>
          <o:lock v:ext="edit" aspectratio="f"/>
          <v:textbox inset="0mm,0mm,0mm,0mm">
            <w:txbxContent>
              <w:p>
                <w:r>
                  <w:rPr>
                    <w:rFonts w:hint="eastAsia"/>
                    <w:color w:val="000000" w:themeColor="text1"/>
                    <w:sz w:val="18"/>
                    <w:lang w:eastAsia="zh-CN"/>
                  </w:rPr>
                  <w:t>中粮糖业控股股份有限公司额敏糖业分公司90吨/小时锅炉技改项目</w:t>
                </w:r>
                <w:r>
                  <w:rPr>
                    <w:rFonts w:hint="eastAsia"/>
                    <w:color w:val="000000" w:themeColor="text1"/>
                    <w:sz w:val="18"/>
                  </w:rPr>
                  <w:t>环境影响报告书</w:t>
                </w:r>
              </w:p>
            </w:txbxContent>
          </v:textbox>
        </v:shape>
      </w:pict>
    </w:r>
    <w:r>
      <w:pict>
        <v:line id="_x0000_s2066" o:spid="_x0000_s2066" o:spt="20" style="position:absolute;left:0pt;margin-left:90pt;margin-top:56.4pt;height:0pt;width:415.3pt;mso-position-horizontal-relative:page;mso-position-vertical-relative:page;z-index:-251649024;mso-width-relative:page;mso-height-relative:page;" coordsize="21600,21600">
          <v:path arrowok="t"/>
          <v:fill focussize="0,0"/>
          <v:stroke weight="0.48pt"/>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pict>
        <v:shape id="_x0000_s2070" o:spid="_x0000_s2070" o:spt="202" type="#_x0000_t202" style="position:absolute;left:0pt;margin-left:92.65pt;margin-top:45.35pt;height:15.45pt;width:411.4pt;mso-position-horizontal-relative:page;mso-position-vertical-relative:page;z-index:-251650048;mso-width-relative:page;mso-height-relative:page;" filled="f" stroked="f" coordsize="21600,21600">
          <v:path/>
          <v:fill on="f" focussize="0,0"/>
          <v:stroke on="f"/>
          <v:imagedata o:title=""/>
          <o:lock v:ext="edit" aspectratio="f"/>
          <v:textbox inset="0mm,0mm,0mm,0mm">
            <w:txbxContent>
              <w:p>
                <w:pPr>
                  <w:spacing w:line="220" w:lineRule="exact"/>
                  <w:ind w:left="20"/>
                  <w:rPr>
                    <w:sz w:val="18"/>
                  </w:rPr>
                </w:pPr>
                <w:r>
                  <w:rPr>
                    <w:rFonts w:hint="eastAsia"/>
                    <w:color w:val="000000" w:themeColor="text1"/>
                    <w:sz w:val="18"/>
                    <w:lang w:eastAsia="zh-CN"/>
                  </w:rPr>
                  <w:t>中粮糖业控股股份有限公司额敏糖业分公司90吨/小时锅炉技改项目</w:t>
                </w:r>
                <w:r>
                  <w:rPr>
                    <w:rFonts w:hint="eastAsia"/>
                    <w:color w:val="000000" w:themeColor="text1"/>
                    <w:sz w:val="18"/>
                  </w:rPr>
                  <w:t>环境影响报告书</w:t>
                </w:r>
              </w:p>
            </w:txbxContent>
          </v:textbox>
        </v:shape>
      </w:pict>
    </w:r>
    <w:r>
      <w:pict>
        <v:line id="_x0000_s2135" o:spid="_x0000_s2135" o:spt="20" style="position:absolute;left:0pt;flip:y;margin-left:90pt;margin-top:57.75pt;height:0.05pt;width:417.65pt;mso-position-horizontal-relative:page;mso-position-vertical-relative:page;z-index:-251624448;mso-width-relative:page;mso-height-relative:page;" filled="f" stroked="t" coordsize="21600,21600">
          <v:path arrowok="t"/>
          <v:fill on="f" focussize="0,0"/>
          <v:stroke weight="0.48pt" color="#000000"/>
          <v:imagedata o:title=""/>
          <o:lock v:ext="edit" aspectratio="f"/>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pict>
        <v:shape id="_x0000_s2096" o:spid="_x0000_s2096" o:spt="202" type="#_x0000_t202" style="position:absolute;left:0pt;margin-left:93.45pt;margin-top:45.35pt;height:11.8pt;width:413pt;mso-position-horizontal-relative:page;mso-position-vertical-relative:page;z-index:-251645952;mso-width-relative:page;mso-height-relative:page;" filled="f" stroked="f" coordsize="21600,21600">
          <v:path/>
          <v:fill on="f" focussize="0,0"/>
          <v:stroke on="f"/>
          <v:imagedata o:title=""/>
          <o:lock v:ext="edit" aspectratio="f"/>
          <v:textbox inset="0mm,0mm,0mm,0mm">
            <w:txbxContent>
              <w:p>
                <w:r>
                  <w:rPr>
                    <w:rFonts w:hint="eastAsia"/>
                    <w:color w:val="000000" w:themeColor="text1"/>
                    <w:sz w:val="18"/>
                    <w:lang w:eastAsia="zh-CN"/>
                  </w:rPr>
                  <w:t>中粮糖业控股股份有限公司额敏糖业分公司90吨/小时锅炉技改项目</w:t>
                </w:r>
                <w:r>
                  <w:rPr>
                    <w:rFonts w:hint="eastAsia"/>
                    <w:color w:val="000000" w:themeColor="text1"/>
                    <w:sz w:val="18"/>
                  </w:rPr>
                  <w:t>环境影响报告书</w:t>
                </w:r>
              </w:p>
            </w:txbxContent>
          </v:textbox>
        </v:shape>
      </w:pict>
    </w:r>
    <w:r>
      <w:pict>
        <v:line id="_x0000_s2097" o:spid="_x0000_s2097" o:spt="20" style="position:absolute;left:0pt;margin-left:90pt;margin-top:56.4pt;height:0pt;width:415.3pt;mso-position-horizontal-relative:page;mso-position-vertical-relative:page;z-index:-251646976;mso-width-relative:page;mso-height-relative:page;" coordsize="21600,21600">
          <v:path arrowok="t"/>
          <v:fill focussize="0,0"/>
          <v:stroke weight="0.48pt"/>
          <v:imagedata o:title=""/>
          <o:lock v:ext="edit"/>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14" w:lineRule="auto"/>
      <w:ind w:left="0"/>
      <w:rPr>
        <w:sz w:val="20"/>
      </w:rPr>
    </w:pPr>
    <w:r>
      <w:pict>
        <v:shape id="_x0000_s2100" o:spid="_x0000_s2100" o:spt="202" type="#_x0000_t202" style="position:absolute;left:0pt;margin-left:89.65pt;margin-top:44.55pt;height:16.25pt;width:415.1pt;mso-position-horizontal-relative:page;mso-position-vertical-relative:page;z-index:-251643904;mso-width-relative:page;mso-height-relative:page;" filled="f" stroked="f" coordsize="21600,21600">
          <v:path/>
          <v:fill on="f" focussize="0,0"/>
          <v:stroke on="f"/>
          <v:imagedata o:title=""/>
          <o:lock v:ext="edit" aspectratio="f"/>
          <v:textbox inset="0mm,0mm,0mm,0mm">
            <w:txbxContent>
              <w:p>
                <w:r>
                  <w:rPr>
                    <w:rFonts w:hint="eastAsia"/>
                    <w:color w:val="000000" w:themeColor="text1"/>
                    <w:sz w:val="18"/>
                    <w:lang w:eastAsia="zh-CN"/>
                  </w:rPr>
                  <w:t>中粮糖业控股股份有限公司额敏糖业分公司90吨/小时锅炉技改项目</w:t>
                </w:r>
                <w:r>
                  <w:rPr>
                    <w:rFonts w:hint="eastAsia"/>
                    <w:color w:val="000000" w:themeColor="text1"/>
                    <w:sz w:val="18"/>
                  </w:rPr>
                  <w:t>环境影响报告书</w:t>
                </w:r>
              </w:p>
            </w:txbxContent>
          </v:textbox>
        </v:shape>
      </w:pict>
    </w:r>
    <w:r>
      <w:pict>
        <v:line id="_x0000_s2099" o:spid="_x0000_s2099" o:spt="20" style="position:absolute;left:0pt;margin-left:90pt;margin-top:56.4pt;height:0pt;width:415.3pt;mso-position-horizontal-relative:page;mso-position-vertical-relative:page;z-index:-251644928;mso-width-relative:page;mso-height-relative:page;" coordsize="21600,21600">
          <v:path arrowok="t"/>
          <v:fill focussize="0,0"/>
          <v:stroke weight="0.48pt"/>
          <v:imagedata o:title=""/>
          <o:lock v:ext="edit"/>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30711"/>
    <w:multiLevelType w:val="multilevel"/>
    <w:tmpl w:val="85D30711"/>
    <w:lvl w:ilvl="0" w:tentative="0">
      <w:start w:val="2"/>
      <w:numFmt w:val="decimal"/>
      <w:lvlText w:val="%1"/>
      <w:lvlJc w:val="left"/>
      <w:pPr>
        <w:ind w:left="1099" w:hanging="560"/>
        <w:jc w:val="left"/>
      </w:pPr>
      <w:rPr>
        <w:rFonts w:hint="default"/>
        <w:lang w:val="zh-CN" w:eastAsia="zh-CN" w:bidi="zh-CN"/>
      </w:rPr>
    </w:lvl>
    <w:lvl w:ilvl="1" w:tentative="0">
      <w:start w:val="7"/>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suff w:val="space"/>
      <w:lvlText w:val="（%4）"/>
      <w:lvlJc w:val="left"/>
      <w:pPr>
        <w:ind w:left="0" w:firstLine="4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1">
    <w:nsid w:val="8812220D"/>
    <w:multiLevelType w:val="multilevel"/>
    <w:tmpl w:val="8812220D"/>
    <w:lvl w:ilvl="0" w:tentative="0">
      <w:start w:val="8"/>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righ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suff w:val="space"/>
      <w:lvlText w:val="（%4）"/>
      <w:lvlJc w:val="left"/>
      <w:pPr>
        <w:ind w:left="0" w:firstLine="4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326" w:hanging="601"/>
      </w:pPr>
      <w:rPr>
        <w:rFonts w:hint="default"/>
        <w:lang w:val="zh-CN" w:eastAsia="zh-CN" w:bidi="zh-CN"/>
      </w:rPr>
    </w:lvl>
    <w:lvl w:ilvl="5" w:tentative="0">
      <w:start w:val="0"/>
      <w:numFmt w:val="bullet"/>
      <w:lvlText w:val="•"/>
      <w:lvlJc w:val="left"/>
      <w:pPr>
        <w:ind w:left="3413" w:hanging="601"/>
      </w:pPr>
      <w:rPr>
        <w:rFonts w:hint="default"/>
        <w:lang w:val="zh-CN" w:eastAsia="zh-CN" w:bidi="zh-CN"/>
      </w:rPr>
    </w:lvl>
    <w:lvl w:ilvl="6" w:tentative="0">
      <w:start w:val="0"/>
      <w:numFmt w:val="bullet"/>
      <w:lvlText w:val="•"/>
      <w:lvlJc w:val="left"/>
      <w:pPr>
        <w:ind w:left="4499" w:hanging="601"/>
      </w:pPr>
      <w:rPr>
        <w:rFonts w:hint="default"/>
        <w:lang w:val="zh-CN" w:eastAsia="zh-CN" w:bidi="zh-CN"/>
      </w:rPr>
    </w:lvl>
    <w:lvl w:ilvl="7" w:tentative="0">
      <w:start w:val="0"/>
      <w:numFmt w:val="bullet"/>
      <w:lvlText w:val="•"/>
      <w:lvlJc w:val="left"/>
      <w:pPr>
        <w:ind w:left="5586" w:hanging="601"/>
      </w:pPr>
      <w:rPr>
        <w:rFonts w:hint="default"/>
        <w:lang w:val="zh-CN" w:eastAsia="zh-CN" w:bidi="zh-CN"/>
      </w:rPr>
    </w:lvl>
    <w:lvl w:ilvl="8" w:tentative="0">
      <w:start w:val="0"/>
      <w:numFmt w:val="bullet"/>
      <w:lvlText w:val="•"/>
      <w:lvlJc w:val="left"/>
      <w:pPr>
        <w:ind w:left="6672" w:hanging="601"/>
      </w:pPr>
      <w:rPr>
        <w:rFonts w:hint="default"/>
        <w:lang w:val="zh-CN" w:eastAsia="zh-CN" w:bidi="zh-CN"/>
      </w:rPr>
    </w:lvl>
  </w:abstractNum>
  <w:abstractNum w:abstractNumId="2">
    <w:nsid w:val="9239341B"/>
    <w:multiLevelType w:val="multilevel"/>
    <w:tmpl w:val="9239341B"/>
    <w:lvl w:ilvl="0" w:tentative="0">
      <w:start w:val="1"/>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140" w:hanging="600"/>
        <w:jc w:val="left"/>
      </w:pPr>
      <w:rPr>
        <w:rFonts w:hint="default"/>
        <w:b/>
        <w:bCs/>
        <w:w w:val="99"/>
        <w:lang w:val="zh-CN" w:eastAsia="zh-CN" w:bidi="zh-CN"/>
      </w:rPr>
    </w:lvl>
    <w:lvl w:ilvl="3" w:tentative="0">
      <w:start w:val="1"/>
      <w:numFmt w:val="decimal"/>
      <w:lvlText w:val="（%4）"/>
      <w:lvlJc w:val="left"/>
      <w:pPr>
        <w:ind w:left="1621" w:hanging="60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735" w:hanging="600"/>
      </w:pPr>
      <w:rPr>
        <w:rFonts w:hint="default"/>
        <w:lang w:val="zh-CN" w:eastAsia="zh-CN" w:bidi="zh-CN"/>
      </w:rPr>
    </w:lvl>
    <w:lvl w:ilvl="5" w:tentative="0">
      <w:start w:val="0"/>
      <w:numFmt w:val="bullet"/>
      <w:lvlText w:val="•"/>
      <w:lvlJc w:val="left"/>
      <w:pPr>
        <w:ind w:left="3850" w:hanging="600"/>
      </w:pPr>
      <w:rPr>
        <w:rFonts w:hint="default"/>
        <w:lang w:val="zh-CN" w:eastAsia="zh-CN" w:bidi="zh-CN"/>
      </w:rPr>
    </w:lvl>
    <w:lvl w:ilvl="6" w:tentative="0">
      <w:start w:val="0"/>
      <w:numFmt w:val="bullet"/>
      <w:lvlText w:val="•"/>
      <w:lvlJc w:val="left"/>
      <w:pPr>
        <w:ind w:left="4965" w:hanging="600"/>
      </w:pPr>
      <w:rPr>
        <w:rFonts w:hint="default"/>
        <w:lang w:val="zh-CN" w:eastAsia="zh-CN" w:bidi="zh-CN"/>
      </w:rPr>
    </w:lvl>
    <w:lvl w:ilvl="7" w:tentative="0">
      <w:start w:val="0"/>
      <w:numFmt w:val="bullet"/>
      <w:lvlText w:val="•"/>
      <w:lvlJc w:val="left"/>
      <w:pPr>
        <w:ind w:left="6080" w:hanging="600"/>
      </w:pPr>
      <w:rPr>
        <w:rFonts w:hint="default"/>
        <w:lang w:val="zh-CN" w:eastAsia="zh-CN" w:bidi="zh-CN"/>
      </w:rPr>
    </w:lvl>
    <w:lvl w:ilvl="8" w:tentative="0">
      <w:start w:val="0"/>
      <w:numFmt w:val="bullet"/>
      <w:lvlText w:val="•"/>
      <w:lvlJc w:val="left"/>
      <w:pPr>
        <w:ind w:left="7195" w:hanging="600"/>
      </w:pPr>
      <w:rPr>
        <w:rFonts w:hint="default"/>
        <w:lang w:val="zh-CN" w:eastAsia="zh-CN" w:bidi="zh-CN"/>
      </w:rPr>
    </w:lvl>
  </w:abstractNum>
  <w:abstractNum w:abstractNumId="3">
    <w:nsid w:val="9EEAB082"/>
    <w:multiLevelType w:val="multilevel"/>
    <w:tmpl w:val="9EEAB082"/>
    <w:lvl w:ilvl="0" w:tentative="0">
      <w:start w:val="1"/>
      <w:numFmt w:val="decimal"/>
      <w:suff w:val="space"/>
      <w:lvlText w:val="（%1）"/>
      <w:lvlJc w:val="left"/>
      <w:pPr>
        <w:ind w:left="0" w:firstLine="40"/>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4">
    <w:nsid w:val="B1EBEFEE"/>
    <w:multiLevelType w:val="multilevel"/>
    <w:tmpl w:val="B1EBEFEE"/>
    <w:lvl w:ilvl="0" w:tentative="0">
      <w:start w:val="2"/>
      <w:numFmt w:val="decimal"/>
      <w:lvlText w:val="%1"/>
      <w:lvlJc w:val="left"/>
      <w:pPr>
        <w:ind w:left="1320" w:hanging="780"/>
        <w:jc w:val="left"/>
      </w:pPr>
      <w:rPr>
        <w:rFonts w:hint="default"/>
        <w:lang w:val="zh-CN" w:eastAsia="zh-CN" w:bidi="zh-CN"/>
      </w:rPr>
    </w:lvl>
    <w:lvl w:ilvl="1" w:tentative="0">
      <w:start w:val="4"/>
      <w:numFmt w:val="decimal"/>
      <w:lvlText w:val="%1.%2"/>
      <w:lvlJc w:val="left"/>
      <w:pPr>
        <w:ind w:left="1320" w:hanging="780"/>
        <w:jc w:val="left"/>
      </w:pPr>
      <w:rPr>
        <w:rFonts w:hint="default"/>
        <w:lang w:val="zh-CN" w:eastAsia="zh-CN" w:bidi="zh-CN"/>
      </w:rPr>
    </w:lvl>
    <w:lvl w:ilvl="2" w:tentative="0">
      <w:start w:val="2"/>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suff w:val="space"/>
      <w:lvlText w:val="（%5）"/>
      <w:lvlJc w:val="left"/>
      <w:pPr>
        <w:ind w:left="0" w:firstLine="40"/>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5">
    <w:nsid w:val="C6F6E335"/>
    <w:multiLevelType w:val="singleLevel"/>
    <w:tmpl w:val="C6F6E335"/>
    <w:lvl w:ilvl="0" w:tentative="0">
      <w:start w:val="1"/>
      <w:numFmt w:val="decimal"/>
      <w:suff w:val="nothing"/>
      <w:lvlText w:val="（%1）"/>
      <w:lvlJc w:val="left"/>
    </w:lvl>
  </w:abstractNum>
  <w:abstractNum w:abstractNumId="6">
    <w:nsid w:val="D201B42A"/>
    <w:multiLevelType w:val="singleLevel"/>
    <w:tmpl w:val="D201B42A"/>
    <w:lvl w:ilvl="0" w:tentative="0">
      <w:start w:val="1"/>
      <w:numFmt w:val="decimal"/>
      <w:suff w:val="nothing"/>
      <w:lvlText w:val="（%1）"/>
      <w:lvlJc w:val="left"/>
    </w:lvl>
  </w:abstractNum>
  <w:abstractNum w:abstractNumId="7">
    <w:nsid w:val="D23D25D4"/>
    <w:multiLevelType w:val="multilevel"/>
    <w:tmpl w:val="D23D25D4"/>
    <w:lvl w:ilvl="0" w:tentative="0">
      <w:start w:val="1"/>
      <w:numFmt w:val="decimal"/>
      <w:suff w:val="space"/>
      <w:lvlText w:val="（%1）"/>
      <w:lvlJc w:val="left"/>
      <w:pPr>
        <w:ind w:left="0" w:firstLine="40"/>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8">
    <w:nsid w:val="D2704171"/>
    <w:multiLevelType w:val="singleLevel"/>
    <w:tmpl w:val="D2704171"/>
    <w:lvl w:ilvl="0" w:tentative="0">
      <w:start w:val="1"/>
      <w:numFmt w:val="decimal"/>
      <w:suff w:val="nothing"/>
      <w:lvlText w:val="（%1）"/>
      <w:lvlJc w:val="left"/>
    </w:lvl>
  </w:abstractNum>
  <w:abstractNum w:abstractNumId="9">
    <w:nsid w:val="D8DAD578"/>
    <w:multiLevelType w:val="multilevel"/>
    <w:tmpl w:val="D8DAD578"/>
    <w:lvl w:ilvl="0" w:tentative="0">
      <w:start w:val="1"/>
      <w:numFmt w:val="decimal"/>
      <w:suff w:val="space"/>
      <w:lvlText w:val="（%1）"/>
      <w:lvlJc w:val="left"/>
      <w:pPr>
        <w:ind w:left="0" w:firstLine="40"/>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10">
    <w:nsid w:val="DA343F72"/>
    <w:multiLevelType w:val="singleLevel"/>
    <w:tmpl w:val="DA343F72"/>
    <w:lvl w:ilvl="0" w:tentative="0">
      <w:start w:val="1"/>
      <w:numFmt w:val="decimal"/>
      <w:suff w:val="nothing"/>
      <w:lvlText w:val="（%1）"/>
      <w:lvlJc w:val="left"/>
    </w:lvl>
  </w:abstractNum>
  <w:abstractNum w:abstractNumId="11">
    <w:nsid w:val="DE5FD2E5"/>
    <w:multiLevelType w:val="multilevel"/>
    <w:tmpl w:val="DE5FD2E5"/>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4"/>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suff w:val="space"/>
      <w:lvlText w:val="（%5）"/>
      <w:lvlJc w:val="left"/>
      <w:pPr>
        <w:ind w:left="0" w:firstLine="40"/>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12">
    <w:nsid w:val="EC181D8F"/>
    <w:multiLevelType w:val="singleLevel"/>
    <w:tmpl w:val="EC181D8F"/>
    <w:lvl w:ilvl="0" w:tentative="0">
      <w:start w:val="1"/>
      <w:numFmt w:val="decimal"/>
      <w:suff w:val="nothing"/>
      <w:lvlText w:val="（%1）"/>
      <w:lvlJc w:val="left"/>
    </w:lvl>
  </w:abstractNum>
  <w:abstractNum w:abstractNumId="13">
    <w:nsid w:val="F3A33954"/>
    <w:multiLevelType w:val="multilevel"/>
    <w:tmpl w:val="F3A33954"/>
    <w:lvl w:ilvl="0" w:tentative="0">
      <w:start w:val="9"/>
      <w:numFmt w:val="decimal"/>
      <w:lvlText w:val="%1"/>
      <w:lvlJc w:val="left"/>
      <w:pPr>
        <w:ind w:left="920" w:hanging="701"/>
        <w:jc w:val="left"/>
      </w:pPr>
      <w:rPr>
        <w:rFonts w:hint="default"/>
        <w:lang w:val="zh-CN" w:eastAsia="zh-CN" w:bidi="zh-CN"/>
      </w:rPr>
    </w:lvl>
    <w:lvl w:ilvl="1" w:tentative="0">
      <w:start w:val="5"/>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97" w:hanging="701"/>
      </w:pPr>
      <w:rPr>
        <w:rFonts w:hint="default"/>
        <w:lang w:val="zh-CN" w:eastAsia="zh-CN" w:bidi="zh-CN"/>
      </w:rPr>
    </w:lvl>
    <w:lvl w:ilvl="4" w:tentative="0">
      <w:start w:val="0"/>
      <w:numFmt w:val="bullet"/>
      <w:lvlText w:val="•"/>
      <w:lvlJc w:val="left"/>
      <w:pPr>
        <w:ind w:left="4090" w:hanging="701"/>
      </w:pPr>
      <w:rPr>
        <w:rFonts w:hint="default"/>
        <w:lang w:val="zh-CN" w:eastAsia="zh-CN" w:bidi="zh-CN"/>
      </w:rPr>
    </w:lvl>
    <w:lvl w:ilvl="5" w:tentative="0">
      <w:start w:val="0"/>
      <w:numFmt w:val="bullet"/>
      <w:lvlText w:val="•"/>
      <w:lvlJc w:val="left"/>
      <w:pPr>
        <w:ind w:left="4883" w:hanging="701"/>
      </w:pPr>
      <w:rPr>
        <w:rFonts w:hint="default"/>
        <w:lang w:val="zh-CN" w:eastAsia="zh-CN" w:bidi="zh-CN"/>
      </w:rPr>
    </w:lvl>
    <w:lvl w:ilvl="6" w:tentative="0">
      <w:start w:val="0"/>
      <w:numFmt w:val="bullet"/>
      <w:lvlText w:val="•"/>
      <w:lvlJc w:val="left"/>
      <w:pPr>
        <w:ind w:left="5675" w:hanging="701"/>
      </w:pPr>
      <w:rPr>
        <w:rFonts w:hint="default"/>
        <w:lang w:val="zh-CN" w:eastAsia="zh-CN" w:bidi="zh-CN"/>
      </w:rPr>
    </w:lvl>
    <w:lvl w:ilvl="7" w:tentative="0">
      <w:start w:val="0"/>
      <w:numFmt w:val="bullet"/>
      <w:lvlText w:val="•"/>
      <w:lvlJc w:val="left"/>
      <w:pPr>
        <w:ind w:left="6468" w:hanging="701"/>
      </w:pPr>
      <w:rPr>
        <w:rFonts w:hint="default"/>
        <w:lang w:val="zh-CN" w:eastAsia="zh-CN" w:bidi="zh-CN"/>
      </w:rPr>
    </w:lvl>
    <w:lvl w:ilvl="8" w:tentative="0">
      <w:start w:val="0"/>
      <w:numFmt w:val="bullet"/>
      <w:lvlText w:val="•"/>
      <w:lvlJc w:val="left"/>
      <w:pPr>
        <w:ind w:left="7260" w:hanging="701"/>
      </w:pPr>
      <w:rPr>
        <w:rFonts w:hint="default"/>
        <w:lang w:val="zh-CN" w:eastAsia="zh-CN" w:bidi="zh-CN"/>
      </w:rPr>
    </w:lvl>
  </w:abstractNum>
  <w:abstractNum w:abstractNumId="14">
    <w:nsid w:val="F4A942FE"/>
    <w:multiLevelType w:val="multilevel"/>
    <w:tmpl w:val="F4A942FE"/>
    <w:lvl w:ilvl="0" w:tentative="0">
      <w:start w:val="9"/>
      <w:numFmt w:val="decimal"/>
      <w:lvlText w:val="%1"/>
      <w:lvlJc w:val="left"/>
      <w:pPr>
        <w:ind w:left="920" w:hanging="701"/>
        <w:jc w:val="left"/>
      </w:pPr>
      <w:rPr>
        <w:rFonts w:hint="default"/>
        <w:lang w:val="zh-CN" w:eastAsia="zh-CN" w:bidi="zh-CN"/>
      </w:rPr>
    </w:lvl>
    <w:lvl w:ilvl="1" w:tentative="0">
      <w:start w:val="3"/>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815" w:hanging="601"/>
      </w:pPr>
      <w:rPr>
        <w:rFonts w:hint="default"/>
        <w:lang w:val="zh-CN" w:eastAsia="zh-CN" w:bidi="zh-CN"/>
      </w:rPr>
    </w:lvl>
    <w:lvl w:ilvl="5" w:tentative="0">
      <w:start w:val="0"/>
      <w:numFmt w:val="bullet"/>
      <w:lvlText w:val="•"/>
      <w:lvlJc w:val="left"/>
      <w:pPr>
        <w:ind w:left="4653" w:hanging="601"/>
      </w:pPr>
      <w:rPr>
        <w:rFonts w:hint="default"/>
        <w:lang w:val="zh-CN" w:eastAsia="zh-CN" w:bidi="zh-CN"/>
      </w:rPr>
    </w:lvl>
    <w:lvl w:ilvl="6" w:tentative="0">
      <w:start w:val="0"/>
      <w:numFmt w:val="bullet"/>
      <w:lvlText w:val="•"/>
      <w:lvlJc w:val="left"/>
      <w:pPr>
        <w:ind w:left="5492" w:hanging="601"/>
      </w:pPr>
      <w:rPr>
        <w:rFonts w:hint="default"/>
        <w:lang w:val="zh-CN" w:eastAsia="zh-CN" w:bidi="zh-CN"/>
      </w:rPr>
    </w:lvl>
    <w:lvl w:ilvl="7" w:tentative="0">
      <w:start w:val="0"/>
      <w:numFmt w:val="bullet"/>
      <w:lvlText w:val="•"/>
      <w:lvlJc w:val="left"/>
      <w:pPr>
        <w:ind w:left="6330" w:hanging="601"/>
      </w:pPr>
      <w:rPr>
        <w:rFonts w:hint="default"/>
        <w:lang w:val="zh-CN" w:eastAsia="zh-CN" w:bidi="zh-CN"/>
      </w:rPr>
    </w:lvl>
    <w:lvl w:ilvl="8" w:tentative="0">
      <w:start w:val="0"/>
      <w:numFmt w:val="bullet"/>
      <w:lvlText w:val="•"/>
      <w:lvlJc w:val="left"/>
      <w:pPr>
        <w:ind w:left="7169" w:hanging="601"/>
      </w:pPr>
      <w:rPr>
        <w:rFonts w:hint="default"/>
        <w:lang w:val="zh-CN" w:eastAsia="zh-CN" w:bidi="zh-CN"/>
      </w:rPr>
    </w:lvl>
  </w:abstractNum>
  <w:abstractNum w:abstractNumId="15">
    <w:nsid w:val="F4B5D9F5"/>
    <w:multiLevelType w:val="multilevel"/>
    <w:tmpl w:val="F4B5D9F5"/>
    <w:lvl w:ilvl="0" w:tentative="0">
      <w:start w:val="1"/>
      <w:numFmt w:val="decimal"/>
      <w:lvlText w:val="%1"/>
      <w:lvlJc w:val="left"/>
      <w:pPr>
        <w:ind w:left="1099" w:hanging="560"/>
        <w:jc w:val="left"/>
      </w:pPr>
      <w:rPr>
        <w:rFonts w:hint="default"/>
        <w:lang w:val="zh-CN" w:eastAsia="zh-CN" w:bidi="zh-CN"/>
      </w:rPr>
    </w:lvl>
    <w:lvl w:ilvl="1" w:tentative="0">
      <w:start w:val="5"/>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3）"/>
      <w:lvlJc w:val="left"/>
      <w:pPr>
        <w:ind w:left="1621"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354" w:hanging="601"/>
      </w:pPr>
      <w:rPr>
        <w:rFonts w:hint="default"/>
        <w:lang w:val="zh-CN" w:eastAsia="zh-CN" w:bidi="zh-CN"/>
      </w:rPr>
    </w:lvl>
    <w:lvl w:ilvl="4" w:tentative="0">
      <w:start w:val="0"/>
      <w:numFmt w:val="bullet"/>
      <w:lvlText w:val="•"/>
      <w:lvlJc w:val="left"/>
      <w:pPr>
        <w:ind w:left="4222" w:hanging="601"/>
      </w:pPr>
      <w:rPr>
        <w:rFonts w:hint="default"/>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16">
    <w:nsid w:val="F628684F"/>
    <w:multiLevelType w:val="multilevel"/>
    <w:tmpl w:val="F628684F"/>
    <w:lvl w:ilvl="0" w:tentative="0">
      <w:start w:val="1"/>
      <w:numFmt w:val="decimal"/>
      <w:suff w:val="space"/>
      <w:lvlText w:val="（%1）"/>
      <w:lvlJc w:val="left"/>
      <w:pPr>
        <w:ind w:left="0" w:firstLine="40"/>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7">
    <w:nsid w:val="FB6F4756"/>
    <w:multiLevelType w:val="multilevel"/>
    <w:tmpl w:val="FB6F4756"/>
    <w:lvl w:ilvl="0" w:tentative="0">
      <w:start w:val="1"/>
      <w:numFmt w:val="decimal"/>
      <w:suff w:val="space"/>
      <w:lvlText w:val="（%1）"/>
      <w:lvlJc w:val="left"/>
      <w:pPr>
        <w:ind w:left="0" w:firstLine="40"/>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00" w:hanging="601"/>
      </w:pPr>
      <w:rPr>
        <w:rFonts w:hint="default"/>
        <w:lang w:val="zh-CN" w:eastAsia="zh-CN" w:bidi="zh-CN"/>
      </w:rPr>
    </w:lvl>
    <w:lvl w:ilvl="2" w:tentative="0">
      <w:start w:val="0"/>
      <w:numFmt w:val="bullet"/>
      <w:lvlText w:val="•"/>
      <w:lvlJc w:val="left"/>
      <w:pPr>
        <w:ind w:left="3181" w:hanging="601"/>
      </w:pPr>
      <w:rPr>
        <w:rFonts w:hint="default"/>
        <w:lang w:val="zh-CN" w:eastAsia="zh-CN" w:bidi="zh-CN"/>
      </w:rPr>
    </w:lvl>
    <w:lvl w:ilvl="3" w:tentative="0">
      <w:start w:val="0"/>
      <w:numFmt w:val="bullet"/>
      <w:lvlText w:val="•"/>
      <w:lvlJc w:val="left"/>
      <w:pPr>
        <w:ind w:left="3961" w:hanging="601"/>
      </w:pPr>
      <w:rPr>
        <w:rFonts w:hint="default"/>
        <w:lang w:val="zh-CN" w:eastAsia="zh-CN" w:bidi="zh-CN"/>
      </w:rPr>
    </w:lvl>
    <w:lvl w:ilvl="4" w:tentative="0">
      <w:start w:val="0"/>
      <w:numFmt w:val="bullet"/>
      <w:lvlText w:val="•"/>
      <w:lvlJc w:val="left"/>
      <w:pPr>
        <w:ind w:left="4742" w:hanging="601"/>
      </w:pPr>
      <w:rPr>
        <w:rFonts w:hint="default"/>
        <w:lang w:val="zh-CN" w:eastAsia="zh-CN" w:bidi="zh-CN"/>
      </w:rPr>
    </w:lvl>
    <w:lvl w:ilvl="5" w:tentative="0">
      <w:start w:val="0"/>
      <w:numFmt w:val="bullet"/>
      <w:lvlText w:val="•"/>
      <w:lvlJc w:val="left"/>
      <w:pPr>
        <w:ind w:left="5523" w:hanging="601"/>
      </w:pPr>
      <w:rPr>
        <w:rFonts w:hint="default"/>
        <w:lang w:val="zh-CN" w:eastAsia="zh-CN" w:bidi="zh-CN"/>
      </w:rPr>
    </w:lvl>
    <w:lvl w:ilvl="6" w:tentative="0">
      <w:start w:val="0"/>
      <w:numFmt w:val="bullet"/>
      <w:lvlText w:val="•"/>
      <w:lvlJc w:val="left"/>
      <w:pPr>
        <w:ind w:left="6303" w:hanging="601"/>
      </w:pPr>
      <w:rPr>
        <w:rFonts w:hint="default"/>
        <w:lang w:val="zh-CN" w:eastAsia="zh-CN" w:bidi="zh-CN"/>
      </w:rPr>
    </w:lvl>
    <w:lvl w:ilvl="7" w:tentative="0">
      <w:start w:val="0"/>
      <w:numFmt w:val="bullet"/>
      <w:lvlText w:val="•"/>
      <w:lvlJc w:val="left"/>
      <w:pPr>
        <w:ind w:left="7084"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18">
    <w:nsid w:val="FE1380CB"/>
    <w:multiLevelType w:val="singleLevel"/>
    <w:tmpl w:val="FE1380CB"/>
    <w:lvl w:ilvl="0" w:tentative="0">
      <w:start w:val="1"/>
      <w:numFmt w:val="decimal"/>
      <w:suff w:val="nothing"/>
      <w:lvlText w:val="（%1）"/>
      <w:lvlJc w:val="left"/>
    </w:lvl>
  </w:abstractNum>
  <w:abstractNum w:abstractNumId="19">
    <w:nsid w:val="03417351"/>
    <w:multiLevelType w:val="multilevel"/>
    <w:tmpl w:val="03417351"/>
    <w:lvl w:ilvl="0" w:tentative="0">
      <w:start w:val="7"/>
      <w:numFmt w:val="decimal"/>
      <w:lvlText w:val="%1"/>
      <w:lvlJc w:val="left"/>
      <w:pPr>
        <w:ind w:left="1099" w:hanging="560"/>
        <w:jc w:val="left"/>
      </w:pPr>
      <w:rPr>
        <w:rFonts w:hint="default"/>
        <w:lang w:val="zh-CN" w:eastAsia="zh-CN" w:bidi="zh-CN"/>
      </w:rPr>
    </w:lvl>
    <w:lvl w:ilvl="1" w:tentative="0">
      <w:start w:val="2"/>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suff w:val="space"/>
      <w:lvlText w:val="（%3）"/>
      <w:lvlJc w:val="left"/>
      <w:pPr>
        <w:ind w:left="0" w:firstLine="40"/>
        <w:jc w:val="left"/>
      </w:pPr>
      <w:rPr>
        <w:rFonts w:hint="default" w:ascii="宋体" w:hAnsi="宋体" w:eastAsia="宋体" w:cs="宋体"/>
        <w:spacing w:val="-12"/>
        <w:w w:val="100"/>
        <w:sz w:val="22"/>
        <w:szCs w:val="22"/>
        <w:lang w:val="zh-CN" w:eastAsia="zh-CN" w:bidi="zh-CN"/>
      </w:rPr>
    </w:lvl>
    <w:lvl w:ilvl="3" w:tentative="0">
      <w:start w:val="0"/>
      <w:numFmt w:val="bullet"/>
      <w:lvlText w:val="•"/>
      <w:lvlJc w:val="left"/>
      <w:pPr>
        <w:ind w:left="2950" w:hanging="601"/>
      </w:pPr>
      <w:rPr>
        <w:rFonts w:hint="default"/>
        <w:lang w:val="zh-CN" w:eastAsia="zh-CN" w:bidi="zh-CN"/>
      </w:rPr>
    </w:lvl>
    <w:lvl w:ilvl="4" w:tentative="0">
      <w:start w:val="0"/>
      <w:numFmt w:val="bullet"/>
      <w:lvlText w:val="•"/>
      <w:lvlJc w:val="left"/>
      <w:pPr>
        <w:ind w:left="3875" w:hanging="601"/>
      </w:pPr>
      <w:rPr>
        <w:rFonts w:hint="default"/>
        <w:lang w:val="zh-CN" w:eastAsia="zh-CN" w:bidi="zh-CN"/>
      </w:rPr>
    </w:lvl>
    <w:lvl w:ilvl="5" w:tentative="0">
      <w:start w:val="0"/>
      <w:numFmt w:val="bullet"/>
      <w:lvlText w:val="•"/>
      <w:lvlJc w:val="left"/>
      <w:pPr>
        <w:ind w:left="4800" w:hanging="601"/>
      </w:pPr>
      <w:rPr>
        <w:rFonts w:hint="default"/>
        <w:lang w:val="zh-CN" w:eastAsia="zh-CN" w:bidi="zh-CN"/>
      </w:rPr>
    </w:lvl>
    <w:lvl w:ilvl="6" w:tentative="0">
      <w:start w:val="0"/>
      <w:numFmt w:val="bullet"/>
      <w:lvlText w:val="•"/>
      <w:lvlJc w:val="left"/>
      <w:pPr>
        <w:ind w:left="5725" w:hanging="601"/>
      </w:pPr>
      <w:rPr>
        <w:rFonts w:hint="default"/>
        <w:lang w:val="zh-CN" w:eastAsia="zh-CN" w:bidi="zh-CN"/>
      </w:rPr>
    </w:lvl>
    <w:lvl w:ilvl="7" w:tentative="0">
      <w:start w:val="0"/>
      <w:numFmt w:val="bullet"/>
      <w:lvlText w:val="•"/>
      <w:lvlJc w:val="left"/>
      <w:pPr>
        <w:ind w:left="6650" w:hanging="601"/>
      </w:pPr>
      <w:rPr>
        <w:rFonts w:hint="default"/>
        <w:lang w:val="zh-CN" w:eastAsia="zh-CN" w:bidi="zh-CN"/>
      </w:rPr>
    </w:lvl>
    <w:lvl w:ilvl="8" w:tentative="0">
      <w:start w:val="0"/>
      <w:numFmt w:val="bullet"/>
      <w:lvlText w:val="•"/>
      <w:lvlJc w:val="left"/>
      <w:pPr>
        <w:ind w:left="7575" w:hanging="601"/>
      </w:pPr>
      <w:rPr>
        <w:rFonts w:hint="default"/>
        <w:lang w:val="zh-CN" w:eastAsia="zh-CN" w:bidi="zh-CN"/>
      </w:rPr>
    </w:lvl>
  </w:abstractNum>
  <w:abstractNum w:abstractNumId="20">
    <w:nsid w:val="0386A390"/>
    <w:multiLevelType w:val="singleLevel"/>
    <w:tmpl w:val="0386A390"/>
    <w:lvl w:ilvl="0" w:tentative="0">
      <w:start w:val="1"/>
      <w:numFmt w:val="decimal"/>
      <w:suff w:val="nothing"/>
      <w:lvlText w:val="（%1）"/>
      <w:lvlJc w:val="left"/>
    </w:lvl>
  </w:abstractNum>
  <w:abstractNum w:abstractNumId="21">
    <w:nsid w:val="0BF32674"/>
    <w:multiLevelType w:val="multilevel"/>
    <w:tmpl w:val="0BF32674"/>
    <w:lvl w:ilvl="0" w:tentative="0">
      <w:start w:val="6"/>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suff w:val="space"/>
      <w:lvlText w:val="（%4）"/>
      <w:lvlJc w:val="left"/>
      <w:pPr>
        <w:ind w:left="420" w:hanging="38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22">
    <w:nsid w:val="0EA7B54A"/>
    <w:multiLevelType w:val="multilevel"/>
    <w:tmpl w:val="0EA7B54A"/>
    <w:lvl w:ilvl="0" w:tentative="0">
      <w:start w:val="6"/>
      <w:numFmt w:val="decimal"/>
      <w:lvlText w:val="%1"/>
      <w:lvlJc w:val="left"/>
      <w:pPr>
        <w:ind w:left="1320" w:hanging="780"/>
        <w:jc w:val="left"/>
      </w:pPr>
      <w:rPr>
        <w:rFonts w:hint="default"/>
        <w:lang w:val="zh-CN" w:eastAsia="zh-CN" w:bidi="zh-CN"/>
      </w:rPr>
    </w:lvl>
    <w:lvl w:ilvl="1" w:tentative="0">
      <w:start w:val="2"/>
      <w:numFmt w:val="decimal"/>
      <w:lvlText w:val="%1.%2"/>
      <w:lvlJc w:val="left"/>
      <w:pPr>
        <w:ind w:left="1320" w:hanging="780"/>
        <w:jc w:val="left"/>
      </w:pPr>
      <w:rPr>
        <w:rFonts w:hint="default"/>
        <w:lang w:val="zh-CN" w:eastAsia="zh-CN" w:bidi="zh-CN"/>
      </w:rPr>
    </w:lvl>
    <w:lvl w:ilvl="2" w:tentative="0">
      <w:start w:val="1"/>
      <w:numFmt w:val="decimal"/>
      <w:lvlText w:val="%1.%2.%3"/>
      <w:lvlJc w:val="left"/>
      <w:pPr>
        <w:ind w:left="1320" w:hanging="780"/>
        <w:jc w:val="left"/>
      </w:pPr>
      <w:rPr>
        <w:rFonts w:hint="default"/>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suff w:val="space"/>
      <w:lvlText w:val="（%5）"/>
      <w:lvlJc w:val="left"/>
      <w:pPr>
        <w:ind w:left="0" w:firstLine="40"/>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5089" w:hanging="601"/>
      </w:pPr>
      <w:rPr>
        <w:rFonts w:hint="default"/>
        <w:lang w:val="zh-CN" w:eastAsia="zh-CN" w:bidi="zh-CN"/>
      </w:rPr>
    </w:lvl>
    <w:lvl w:ilvl="6" w:tentative="0">
      <w:start w:val="0"/>
      <w:numFmt w:val="bullet"/>
      <w:lvlText w:val="•"/>
      <w:lvlJc w:val="left"/>
      <w:pPr>
        <w:ind w:left="5956" w:hanging="601"/>
      </w:pPr>
      <w:rPr>
        <w:rFonts w:hint="default"/>
        <w:lang w:val="zh-CN" w:eastAsia="zh-CN" w:bidi="zh-CN"/>
      </w:rPr>
    </w:lvl>
    <w:lvl w:ilvl="7" w:tentative="0">
      <w:start w:val="0"/>
      <w:numFmt w:val="bullet"/>
      <w:lvlText w:val="•"/>
      <w:lvlJc w:val="left"/>
      <w:pPr>
        <w:ind w:left="6824" w:hanging="601"/>
      </w:pPr>
      <w:rPr>
        <w:rFonts w:hint="default"/>
        <w:lang w:val="zh-CN" w:eastAsia="zh-CN" w:bidi="zh-CN"/>
      </w:rPr>
    </w:lvl>
    <w:lvl w:ilvl="8" w:tentative="0">
      <w:start w:val="0"/>
      <w:numFmt w:val="bullet"/>
      <w:lvlText w:val="•"/>
      <w:lvlJc w:val="left"/>
      <w:pPr>
        <w:ind w:left="7691" w:hanging="601"/>
      </w:pPr>
      <w:rPr>
        <w:rFonts w:hint="default"/>
        <w:lang w:val="zh-CN" w:eastAsia="zh-CN" w:bidi="zh-CN"/>
      </w:rPr>
    </w:lvl>
  </w:abstractNum>
  <w:abstractNum w:abstractNumId="23">
    <w:nsid w:val="1BE7B2C4"/>
    <w:multiLevelType w:val="singleLevel"/>
    <w:tmpl w:val="1BE7B2C4"/>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24">
    <w:nsid w:val="1ECB5875"/>
    <w:multiLevelType w:val="multilevel"/>
    <w:tmpl w:val="1ECB5875"/>
    <w:lvl w:ilvl="0" w:tentative="0">
      <w:start w:val="2"/>
      <w:numFmt w:val="decimal"/>
      <w:lvlText w:val="%1"/>
      <w:lvlJc w:val="left"/>
      <w:pPr>
        <w:ind w:left="1099" w:hanging="560"/>
        <w:jc w:val="left"/>
      </w:pPr>
      <w:rPr>
        <w:rFonts w:hint="default"/>
        <w:lang w:val="zh-CN" w:eastAsia="zh-CN" w:bidi="zh-CN"/>
      </w:rPr>
    </w:lvl>
    <w:lvl w:ilvl="1" w:tentative="0">
      <w:start w:val="5"/>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suff w:val="space"/>
      <w:lvlText w:val="（%4）"/>
      <w:lvlJc w:val="left"/>
      <w:pPr>
        <w:ind w:left="0" w:firstLine="4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085" w:hanging="601"/>
      </w:pPr>
      <w:rPr>
        <w:rFonts w:hint="default"/>
        <w:lang w:val="zh-CN" w:eastAsia="zh-CN" w:bidi="zh-CN"/>
      </w:rPr>
    </w:lvl>
    <w:lvl w:ilvl="5" w:tentative="0">
      <w:start w:val="0"/>
      <w:numFmt w:val="bullet"/>
      <w:lvlText w:val="•"/>
      <w:lvlJc w:val="left"/>
      <w:pPr>
        <w:ind w:left="4171" w:hanging="601"/>
      </w:pPr>
      <w:rPr>
        <w:rFonts w:hint="default"/>
        <w:lang w:val="zh-CN" w:eastAsia="zh-CN" w:bidi="zh-CN"/>
      </w:rPr>
    </w:lvl>
    <w:lvl w:ilvl="6" w:tentative="0">
      <w:start w:val="0"/>
      <w:numFmt w:val="bullet"/>
      <w:lvlText w:val="•"/>
      <w:lvlJc w:val="left"/>
      <w:pPr>
        <w:ind w:left="4257" w:hanging="601"/>
      </w:pPr>
      <w:rPr>
        <w:rFonts w:hint="default"/>
        <w:lang w:val="zh-CN" w:eastAsia="zh-CN" w:bidi="zh-CN"/>
      </w:rPr>
    </w:lvl>
    <w:lvl w:ilvl="7" w:tentative="0">
      <w:start w:val="0"/>
      <w:numFmt w:val="bullet"/>
      <w:lvlText w:val="•"/>
      <w:lvlJc w:val="left"/>
      <w:pPr>
        <w:ind w:left="4342" w:hanging="601"/>
      </w:pPr>
      <w:rPr>
        <w:rFonts w:hint="default"/>
        <w:lang w:val="zh-CN" w:eastAsia="zh-CN" w:bidi="zh-CN"/>
      </w:rPr>
    </w:lvl>
    <w:lvl w:ilvl="8" w:tentative="0">
      <w:start w:val="0"/>
      <w:numFmt w:val="bullet"/>
      <w:lvlText w:val="•"/>
      <w:lvlJc w:val="left"/>
      <w:pPr>
        <w:ind w:left="4428" w:hanging="601"/>
      </w:pPr>
      <w:rPr>
        <w:rFonts w:hint="default"/>
        <w:lang w:val="zh-CN" w:eastAsia="zh-CN" w:bidi="zh-CN"/>
      </w:rPr>
    </w:lvl>
  </w:abstractNum>
  <w:abstractNum w:abstractNumId="25">
    <w:nsid w:val="219F13AE"/>
    <w:multiLevelType w:val="multilevel"/>
    <w:tmpl w:val="219F13AE"/>
    <w:lvl w:ilvl="0" w:tentative="0">
      <w:start w:val="7"/>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320" w:hanging="780"/>
        <w:jc w:val="left"/>
      </w:pPr>
      <w:rPr>
        <w:rFonts w:hint="default" w:ascii="Times New Roman" w:hAnsi="Times New Roman" w:eastAsia="Times New Roman" w:cs="Times New Roman"/>
        <w:w w:val="100"/>
        <w:sz w:val="24"/>
        <w:szCs w:val="24"/>
        <w:lang w:val="zh-CN" w:eastAsia="zh-CN" w:bidi="zh-CN"/>
      </w:rPr>
    </w:lvl>
    <w:lvl w:ilvl="4" w:tentative="0">
      <w:start w:val="1"/>
      <w:numFmt w:val="decimal"/>
      <w:suff w:val="space"/>
      <w:lvlText w:val="（%5）"/>
      <w:lvlJc w:val="left"/>
      <w:pPr>
        <w:ind w:left="0" w:firstLine="40"/>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3850" w:hanging="601"/>
      </w:pPr>
      <w:rPr>
        <w:rFonts w:hint="default"/>
        <w:lang w:val="zh-CN" w:eastAsia="zh-CN" w:bidi="zh-CN"/>
      </w:rPr>
    </w:lvl>
    <w:lvl w:ilvl="6" w:tentative="0">
      <w:start w:val="0"/>
      <w:numFmt w:val="bullet"/>
      <w:lvlText w:val="•"/>
      <w:lvlJc w:val="left"/>
      <w:pPr>
        <w:ind w:left="4965" w:hanging="601"/>
      </w:pPr>
      <w:rPr>
        <w:rFonts w:hint="default"/>
        <w:lang w:val="zh-CN" w:eastAsia="zh-CN" w:bidi="zh-CN"/>
      </w:rPr>
    </w:lvl>
    <w:lvl w:ilvl="7" w:tentative="0">
      <w:start w:val="0"/>
      <w:numFmt w:val="bullet"/>
      <w:lvlText w:val="•"/>
      <w:lvlJc w:val="left"/>
      <w:pPr>
        <w:ind w:left="6080" w:hanging="601"/>
      </w:pPr>
      <w:rPr>
        <w:rFonts w:hint="default"/>
        <w:lang w:val="zh-CN" w:eastAsia="zh-CN" w:bidi="zh-CN"/>
      </w:rPr>
    </w:lvl>
    <w:lvl w:ilvl="8" w:tentative="0">
      <w:start w:val="0"/>
      <w:numFmt w:val="bullet"/>
      <w:lvlText w:val="•"/>
      <w:lvlJc w:val="left"/>
      <w:pPr>
        <w:ind w:left="7195" w:hanging="601"/>
      </w:pPr>
      <w:rPr>
        <w:rFonts w:hint="default"/>
        <w:lang w:val="zh-CN" w:eastAsia="zh-CN" w:bidi="zh-CN"/>
      </w:rPr>
    </w:lvl>
  </w:abstractNum>
  <w:abstractNum w:abstractNumId="26">
    <w:nsid w:val="2470EC97"/>
    <w:multiLevelType w:val="multilevel"/>
    <w:tmpl w:val="2470EC97"/>
    <w:lvl w:ilvl="0" w:tentative="0">
      <w:start w:val="2"/>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b/>
        <w:bCs/>
        <w:spacing w:val="-2"/>
        <w:w w:val="100"/>
        <w:lang w:val="zh-CN" w:eastAsia="zh-CN" w:bidi="zh-CN"/>
      </w:rPr>
    </w:lvl>
    <w:lvl w:ilvl="3" w:tentative="0">
      <w:start w:val="1"/>
      <w:numFmt w:val="decimal"/>
      <w:lvlText w:val="（%4）"/>
      <w:lvlJc w:val="left"/>
      <w:pPr>
        <w:ind w:left="540" w:hanging="7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409" w:hanging="701"/>
      </w:pPr>
      <w:rPr>
        <w:rFonts w:hint="default"/>
        <w:lang w:val="zh-CN" w:eastAsia="zh-CN" w:bidi="zh-CN"/>
      </w:rPr>
    </w:lvl>
    <w:lvl w:ilvl="5" w:tentative="0">
      <w:start w:val="0"/>
      <w:numFmt w:val="bullet"/>
      <w:lvlText w:val="•"/>
      <w:lvlJc w:val="left"/>
      <w:pPr>
        <w:ind w:left="3578" w:hanging="701"/>
      </w:pPr>
      <w:rPr>
        <w:rFonts w:hint="default"/>
        <w:lang w:val="zh-CN" w:eastAsia="zh-CN" w:bidi="zh-CN"/>
      </w:rPr>
    </w:lvl>
    <w:lvl w:ilvl="6" w:tentative="0">
      <w:start w:val="0"/>
      <w:numFmt w:val="bullet"/>
      <w:lvlText w:val="•"/>
      <w:lvlJc w:val="left"/>
      <w:pPr>
        <w:ind w:left="4748" w:hanging="701"/>
      </w:pPr>
      <w:rPr>
        <w:rFonts w:hint="default"/>
        <w:lang w:val="zh-CN" w:eastAsia="zh-CN" w:bidi="zh-CN"/>
      </w:rPr>
    </w:lvl>
    <w:lvl w:ilvl="7" w:tentative="0">
      <w:start w:val="0"/>
      <w:numFmt w:val="bullet"/>
      <w:lvlText w:val="•"/>
      <w:lvlJc w:val="left"/>
      <w:pPr>
        <w:ind w:left="5917" w:hanging="701"/>
      </w:pPr>
      <w:rPr>
        <w:rFonts w:hint="default"/>
        <w:lang w:val="zh-CN" w:eastAsia="zh-CN" w:bidi="zh-CN"/>
      </w:rPr>
    </w:lvl>
    <w:lvl w:ilvl="8" w:tentative="0">
      <w:start w:val="0"/>
      <w:numFmt w:val="bullet"/>
      <w:lvlText w:val="•"/>
      <w:lvlJc w:val="left"/>
      <w:pPr>
        <w:ind w:left="7087" w:hanging="701"/>
      </w:pPr>
      <w:rPr>
        <w:rFonts w:hint="default"/>
        <w:lang w:val="zh-CN" w:eastAsia="zh-CN" w:bidi="zh-CN"/>
      </w:rPr>
    </w:lvl>
  </w:abstractNum>
  <w:abstractNum w:abstractNumId="27">
    <w:nsid w:val="32A7AF2D"/>
    <w:multiLevelType w:val="multilevel"/>
    <w:tmpl w:val="32A7AF2D"/>
    <w:lvl w:ilvl="0" w:tentative="0">
      <w:start w:val="4"/>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28">
    <w:nsid w:val="3364B6E7"/>
    <w:multiLevelType w:val="multilevel"/>
    <w:tmpl w:val="3364B6E7"/>
    <w:lvl w:ilvl="0" w:tentative="0">
      <w:start w:val="3"/>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suff w:val="space"/>
      <w:lvlText w:val="（%4）"/>
      <w:lvlJc w:val="left"/>
      <w:pPr>
        <w:ind w:left="0" w:firstLine="4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29">
    <w:nsid w:val="3682220C"/>
    <w:multiLevelType w:val="multilevel"/>
    <w:tmpl w:val="3682220C"/>
    <w:lvl w:ilvl="0" w:tentative="0">
      <w:start w:val="5"/>
      <w:numFmt w:val="decimal"/>
      <w:lvlText w:val="%1"/>
      <w:lvlJc w:val="left"/>
      <w:pPr>
        <w:ind w:left="1099" w:hanging="560"/>
        <w:jc w:val="left"/>
      </w:pPr>
      <w:rPr>
        <w:rFonts w:hint="default"/>
        <w:lang w:val="zh-CN" w:eastAsia="zh-CN" w:bidi="zh-CN"/>
      </w:rPr>
    </w:lvl>
    <w:lvl w:ilvl="1" w:tentative="0">
      <w:start w:val="1"/>
      <w:numFmt w:val="decimal"/>
      <w:lvlText w:val="%1.%2"/>
      <w:lvlJc w:val="left"/>
      <w:pPr>
        <w:ind w:left="109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suff w:val="space"/>
      <w:lvlText w:val="（%4）"/>
      <w:lvlJc w:val="left"/>
      <w:pPr>
        <w:ind w:left="0" w:firstLine="4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71" w:hanging="601"/>
      </w:pPr>
      <w:rPr>
        <w:rFonts w:hint="default"/>
        <w:lang w:val="zh-CN" w:eastAsia="zh-CN" w:bidi="zh-CN"/>
      </w:rPr>
    </w:lvl>
    <w:lvl w:ilvl="5" w:tentative="0">
      <w:start w:val="0"/>
      <w:numFmt w:val="bullet"/>
      <w:lvlText w:val="•"/>
      <w:lvlJc w:val="left"/>
      <w:pPr>
        <w:ind w:left="4547" w:hanging="601"/>
      </w:pPr>
      <w:rPr>
        <w:rFonts w:hint="default"/>
        <w:lang w:val="zh-CN" w:eastAsia="zh-CN" w:bidi="zh-CN"/>
      </w:rPr>
    </w:lvl>
    <w:lvl w:ilvl="6" w:tentative="0">
      <w:start w:val="0"/>
      <w:numFmt w:val="bullet"/>
      <w:lvlText w:val="•"/>
      <w:lvlJc w:val="left"/>
      <w:pPr>
        <w:ind w:left="5523" w:hanging="601"/>
      </w:pPr>
      <w:rPr>
        <w:rFonts w:hint="default"/>
        <w:lang w:val="zh-CN" w:eastAsia="zh-CN" w:bidi="zh-CN"/>
      </w:rPr>
    </w:lvl>
    <w:lvl w:ilvl="7" w:tentative="0">
      <w:start w:val="0"/>
      <w:numFmt w:val="bullet"/>
      <w:lvlText w:val="•"/>
      <w:lvlJc w:val="left"/>
      <w:pPr>
        <w:ind w:left="6498" w:hanging="601"/>
      </w:pPr>
      <w:rPr>
        <w:rFonts w:hint="default"/>
        <w:lang w:val="zh-CN" w:eastAsia="zh-CN" w:bidi="zh-CN"/>
      </w:rPr>
    </w:lvl>
    <w:lvl w:ilvl="8" w:tentative="0">
      <w:start w:val="0"/>
      <w:numFmt w:val="bullet"/>
      <w:lvlText w:val="•"/>
      <w:lvlJc w:val="left"/>
      <w:pPr>
        <w:ind w:left="7474" w:hanging="601"/>
      </w:pPr>
      <w:rPr>
        <w:rFonts w:hint="default"/>
        <w:lang w:val="zh-CN" w:eastAsia="zh-CN" w:bidi="zh-CN"/>
      </w:rPr>
    </w:lvl>
  </w:abstractNum>
  <w:abstractNum w:abstractNumId="30">
    <w:nsid w:val="3F1AA536"/>
    <w:multiLevelType w:val="multilevel"/>
    <w:tmpl w:val="3F1AA536"/>
    <w:lvl w:ilvl="0" w:tentative="0">
      <w:start w:val="9"/>
      <w:numFmt w:val="decimal"/>
      <w:lvlText w:val="%1"/>
      <w:lvlJc w:val="left"/>
      <w:pPr>
        <w:ind w:left="779" w:hanging="560"/>
        <w:jc w:val="left"/>
      </w:pPr>
      <w:rPr>
        <w:rFonts w:hint="default"/>
        <w:lang w:val="zh-CN" w:eastAsia="zh-CN" w:bidi="zh-CN"/>
      </w:rPr>
    </w:lvl>
    <w:lvl w:ilvl="1" w:tentative="0">
      <w:start w:val="1"/>
      <w:numFmt w:val="decimal"/>
      <w:lvlText w:val="%1.%2"/>
      <w:lvlJc w:val="left"/>
      <w:pPr>
        <w:ind w:left="779" w:hanging="560"/>
        <w:jc w:val="left"/>
      </w:pPr>
      <w:rPr>
        <w:rFonts w:hint="default" w:ascii="Times New Roman" w:hAnsi="Times New Roman" w:eastAsia="Times New Roman" w:cs="Times New Roman"/>
        <w:b/>
        <w:bCs/>
        <w:spacing w:val="-1"/>
        <w:w w:val="99"/>
        <w:sz w:val="32"/>
        <w:szCs w:val="32"/>
        <w:lang w:val="zh-CN" w:eastAsia="zh-CN" w:bidi="zh-CN"/>
      </w:rPr>
    </w:lvl>
    <w:lvl w:ilvl="2" w:tentative="0">
      <w:start w:val="1"/>
      <w:numFmt w:val="decimal"/>
      <w:suff w:val="space"/>
      <w:lvlText w:val="（%3）"/>
      <w:lvlJc w:val="left"/>
      <w:pPr>
        <w:ind w:left="0" w:firstLine="40"/>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2976" w:hanging="601"/>
      </w:pPr>
      <w:rPr>
        <w:rFonts w:hint="default"/>
        <w:lang w:val="zh-CN" w:eastAsia="zh-CN" w:bidi="zh-CN"/>
      </w:rPr>
    </w:lvl>
    <w:lvl w:ilvl="4" w:tentative="0">
      <w:start w:val="0"/>
      <w:numFmt w:val="bullet"/>
      <w:lvlText w:val="•"/>
      <w:lvlJc w:val="left"/>
      <w:pPr>
        <w:ind w:left="3815" w:hanging="601"/>
      </w:pPr>
      <w:rPr>
        <w:rFonts w:hint="default"/>
        <w:lang w:val="zh-CN" w:eastAsia="zh-CN" w:bidi="zh-CN"/>
      </w:rPr>
    </w:lvl>
    <w:lvl w:ilvl="5" w:tentative="0">
      <w:start w:val="0"/>
      <w:numFmt w:val="bullet"/>
      <w:lvlText w:val="•"/>
      <w:lvlJc w:val="left"/>
      <w:pPr>
        <w:ind w:left="4653" w:hanging="601"/>
      </w:pPr>
      <w:rPr>
        <w:rFonts w:hint="default"/>
        <w:lang w:val="zh-CN" w:eastAsia="zh-CN" w:bidi="zh-CN"/>
      </w:rPr>
    </w:lvl>
    <w:lvl w:ilvl="6" w:tentative="0">
      <w:start w:val="0"/>
      <w:numFmt w:val="bullet"/>
      <w:lvlText w:val="•"/>
      <w:lvlJc w:val="left"/>
      <w:pPr>
        <w:ind w:left="5492" w:hanging="601"/>
      </w:pPr>
      <w:rPr>
        <w:rFonts w:hint="default"/>
        <w:lang w:val="zh-CN" w:eastAsia="zh-CN" w:bidi="zh-CN"/>
      </w:rPr>
    </w:lvl>
    <w:lvl w:ilvl="7" w:tentative="0">
      <w:start w:val="0"/>
      <w:numFmt w:val="bullet"/>
      <w:lvlText w:val="•"/>
      <w:lvlJc w:val="left"/>
      <w:pPr>
        <w:ind w:left="6330" w:hanging="601"/>
      </w:pPr>
      <w:rPr>
        <w:rFonts w:hint="default"/>
        <w:lang w:val="zh-CN" w:eastAsia="zh-CN" w:bidi="zh-CN"/>
      </w:rPr>
    </w:lvl>
    <w:lvl w:ilvl="8" w:tentative="0">
      <w:start w:val="0"/>
      <w:numFmt w:val="bullet"/>
      <w:lvlText w:val="•"/>
      <w:lvlJc w:val="left"/>
      <w:pPr>
        <w:ind w:left="7169" w:hanging="601"/>
      </w:pPr>
      <w:rPr>
        <w:rFonts w:hint="default"/>
        <w:lang w:val="zh-CN" w:eastAsia="zh-CN" w:bidi="zh-CN"/>
      </w:rPr>
    </w:lvl>
  </w:abstractNum>
  <w:abstractNum w:abstractNumId="31">
    <w:nsid w:val="3FBC7268"/>
    <w:multiLevelType w:val="multilevel"/>
    <w:tmpl w:val="3FBC7268"/>
    <w:lvl w:ilvl="0" w:tentative="0">
      <w:start w:val="1"/>
      <w:numFmt w:val="decimal"/>
      <w:suff w:val="space"/>
      <w:lvlText w:val="（%1）"/>
      <w:lvlJc w:val="left"/>
      <w:pPr>
        <w:ind w:left="0" w:firstLine="40"/>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abstractNum w:abstractNumId="32">
    <w:nsid w:val="5FCE4367"/>
    <w:multiLevelType w:val="multilevel"/>
    <w:tmpl w:val="5FCE4367"/>
    <w:lvl w:ilvl="0" w:tentative="0">
      <w:start w:val="9"/>
      <w:numFmt w:val="decimal"/>
      <w:lvlText w:val="%1"/>
      <w:lvlJc w:val="left"/>
      <w:pPr>
        <w:ind w:left="920" w:hanging="701"/>
        <w:jc w:val="left"/>
      </w:pPr>
      <w:rPr>
        <w:rFonts w:hint="default"/>
        <w:lang w:val="zh-CN" w:eastAsia="zh-CN" w:bidi="zh-CN"/>
      </w:rPr>
    </w:lvl>
    <w:lvl w:ilvl="1" w:tentative="0">
      <w:start w:val="4"/>
      <w:numFmt w:val="decimal"/>
      <w:lvlText w:val="%1.%2"/>
      <w:lvlJc w:val="left"/>
      <w:pPr>
        <w:ind w:left="920" w:hanging="701"/>
        <w:jc w:val="left"/>
      </w:pPr>
      <w:rPr>
        <w:rFonts w:hint="default"/>
        <w:lang w:val="zh-CN" w:eastAsia="zh-CN" w:bidi="zh-CN"/>
      </w:rPr>
    </w:lvl>
    <w:lvl w:ilvl="2" w:tentative="0">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97" w:hanging="701"/>
      </w:pPr>
      <w:rPr>
        <w:rFonts w:hint="default"/>
        <w:lang w:val="zh-CN" w:eastAsia="zh-CN" w:bidi="zh-CN"/>
      </w:rPr>
    </w:lvl>
    <w:lvl w:ilvl="4" w:tentative="0">
      <w:start w:val="0"/>
      <w:numFmt w:val="bullet"/>
      <w:lvlText w:val="•"/>
      <w:lvlJc w:val="left"/>
      <w:pPr>
        <w:ind w:left="4090" w:hanging="701"/>
      </w:pPr>
      <w:rPr>
        <w:rFonts w:hint="default"/>
        <w:lang w:val="zh-CN" w:eastAsia="zh-CN" w:bidi="zh-CN"/>
      </w:rPr>
    </w:lvl>
    <w:lvl w:ilvl="5" w:tentative="0">
      <w:start w:val="0"/>
      <w:numFmt w:val="bullet"/>
      <w:lvlText w:val="•"/>
      <w:lvlJc w:val="left"/>
      <w:pPr>
        <w:ind w:left="4883" w:hanging="701"/>
      </w:pPr>
      <w:rPr>
        <w:rFonts w:hint="default"/>
        <w:lang w:val="zh-CN" w:eastAsia="zh-CN" w:bidi="zh-CN"/>
      </w:rPr>
    </w:lvl>
    <w:lvl w:ilvl="6" w:tentative="0">
      <w:start w:val="0"/>
      <w:numFmt w:val="bullet"/>
      <w:lvlText w:val="•"/>
      <w:lvlJc w:val="left"/>
      <w:pPr>
        <w:ind w:left="5675" w:hanging="701"/>
      </w:pPr>
      <w:rPr>
        <w:rFonts w:hint="default"/>
        <w:lang w:val="zh-CN" w:eastAsia="zh-CN" w:bidi="zh-CN"/>
      </w:rPr>
    </w:lvl>
    <w:lvl w:ilvl="7" w:tentative="0">
      <w:start w:val="0"/>
      <w:numFmt w:val="bullet"/>
      <w:lvlText w:val="•"/>
      <w:lvlJc w:val="left"/>
      <w:pPr>
        <w:ind w:left="6468" w:hanging="701"/>
      </w:pPr>
      <w:rPr>
        <w:rFonts w:hint="default"/>
        <w:lang w:val="zh-CN" w:eastAsia="zh-CN" w:bidi="zh-CN"/>
      </w:rPr>
    </w:lvl>
    <w:lvl w:ilvl="8" w:tentative="0">
      <w:start w:val="0"/>
      <w:numFmt w:val="bullet"/>
      <w:lvlText w:val="•"/>
      <w:lvlJc w:val="left"/>
      <w:pPr>
        <w:ind w:left="7260" w:hanging="701"/>
      </w:pPr>
      <w:rPr>
        <w:rFonts w:hint="default"/>
        <w:lang w:val="zh-CN" w:eastAsia="zh-CN" w:bidi="zh-CN"/>
      </w:rPr>
    </w:lvl>
  </w:abstractNum>
  <w:abstractNum w:abstractNumId="33">
    <w:nsid w:val="77BFBFC8"/>
    <w:multiLevelType w:val="multilevel"/>
    <w:tmpl w:val="77BFBFC8"/>
    <w:lvl w:ilvl="0" w:tentative="0">
      <w:start w:val="7"/>
      <w:numFmt w:val="decimal"/>
      <w:lvlText w:val="%1"/>
      <w:lvlJc w:val="left"/>
      <w:pPr>
        <w:ind w:left="1240" w:hanging="701"/>
        <w:jc w:val="left"/>
      </w:pPr>
      <w:rPr>
        <w:rFonts w:hint="default"/>
        <w:lang w:val="zh-CN" w:eastAsia="zh-CN" w:bidi="zh-CN"/>
      </w:rPr>
    </w:lvl>
    <w:lvl w:ilvl="1" w:tentative="0">
      <w:start w:val="3"/>
      <w:numFmt w:val="decimal"/>
      <w:lvlText w:val="%1.%2"/>
      <w:lvlJc w:val="left"/>
      <w:pPr>
        <w:ind w:left="1240" w:hanging="701"/>
        <w:jc w:val="left"/>
      </w:pPr>
      <w:rPr>
        <w:rFonts w:hint="default"/>
        <w:lang w:val="zh-CN" w:eastAsia="zh-CN" w:bidi="zh-CN"/>
      </w:rPr>
    </w:lvl>
    <w:lvl w:ilvl="2" w:tentative="0">
      <w:start w:val="1"/>
      <w:numFmt w:val="decimal"/>
      <w:lvlText w:val="%1.%2.%3"/>
      <w:lvlJc w:val="left"/>
      <w:pPr>
        <w:ind w:left="124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suff w:val="space"/>
      <w:lvlText w:val="（%4）"/>
      <w:lvlJc w:val="left"/>
      <w:pPr>
        <w:ind w:left="0" w:firstLine="40"/>
        <w:jc w:val="left"/>
      </w:pPr>
      <w:rPr>
        <w:rFonts w:hint="default" w:ascii="宋体" w:hAnsi="宋体" w:eastAsia="宋体" w:cs="宋体"/>
        <w:spacing w:val="-72"/>
        <w:w w:val="100"/>
        <w:sz w:val="22"/>
        <w:szCs w:val="22"/>
        <w:lang w:val="zh-CN" w:eastAsia="zh-CN" w:bidi="zh-CN"/>
      </w:rPr>
    </w:lvl>
    <w:lvl w:ilvl="4" w:tentative="0">
      <w:start w:val="0"/>
      <w:numFmt w:val="bullet"/>
      <w:lvlText w:val="•"/>
      <w:lvlJc w:val="left"/>
      <w:pPr>
        <w:ind w:left="3968" w:hanging="601"/>
      </w:pPr>
      <w:rPr>
        <w:rFonts w:hint="default"/>
        <w:lang w:val="zh-CN" w:eastAsia="zh-CN" w:bidi="zh-CN"/>
      </w:rPr>
    </w:lvl>
    <w:lvl w:ilvl="5" w:tentative="0">
      <w:start w:val="0"/>
      <w:numFmt w:val="bullet"/>
      <w:lvlText w:val="•"/>
      <w:lvlJc w:val="left"/>
      <w:pPr>
        <w:ind w:left="4878" w:hanging="601"/>
      </w:pPr>
      <w:rPr>
        <w:rFonts w:hint="default"/>
        <w:lang w:val="zh-CN" w:eastAsia="zh-CN" w:bidi="zh-CN"/>
      </w:rPr>
    </w:lvl>
    <w:lvl w:ilvl="6" w:tentative="0">
      <w:start w:val="0"/>
      <w:numFmt w:val="bullet"/>
      <w:lvlText w:val="•"/>
      <w:lvlJc w:val="left"/>
      <w:pPr>
        <w:ind w:left="5787" w:hanging="601"/>
      </w:pPr>
      <w:rPr>
        <w:rFonts w:hint="default"/>
        <w:lang w:val="zh-CN" w:eastAsia="zh-CN" w:bidi="zh-CN"/>
      </w:rPr>
    </w:lvl>
    <w:lvl w:ilvl="7" w:tentative="0">
      <w:start w:val="0"/>
      <w:numFmt w:val="bullet"/>
      <w:lvlText w:val="•"/>
      <w:lvlJc w:val="left"/>
      <w:pPr>
        <w:ind w:left="6697" w:hanging="601"/>
      </w:pPr>
      <w:rPr>
        <w:rFonts w:hint="default"/>
        <w:lang w:val="zh-CN" w:eastAsia="zh-CN" w:bidi="zh-CN"/>
      </w:rPr>
    </w:lvl>
    <w:lvl w:ilvl="8" w:tentative="0">
      <w:start w:val="0"/>
      <w:numFmt w:val="bullet"/>
      <w:lvlText w:val="•"/>
      <w:lvlJc w:val="left"/>
      <w:pPr>
        <w:ind w:left="7606" w:hanging="601"/>
      </w:pPr>
      <w:rPr>
        <w:rFonts w:hint="default"/>
        <w:lang w:val="zh-CN" w:eastAsia="zh-CN" w:bidi="zh-CN"/>
      </w:rPr>
    </w:lvl>
  </w:abstractNum>
  <w:abstractNum w:abstractNumId="34">
    <w:nsid w:val="7F0D8B76"/>
    <w:multiLevelType w:val="multilevel"/>
    <w:tmpl w:val="7F0D8B76"/>
    <w:lvl w:ilvl="0" w:tentative="0">
      <w:start w:val="1"/>
      <w:numFmt w:val="decimal"/>
      <w:suff w:val="space"/>
      <w:lvlText w:val="（%1）"/>
      <w:lvlJc w:val="left"/>
      <w:pPr>
        <w:ind w:left="0" w:firstLine="40"/>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28" w:hanging="601"/>
      </w:pPr>
      <w:rPr>
        <w:rFonts w:hint="default"/>
        <w:lang w:val="zh-CN" w:eastAsia="zh-CN" w:bidi="zh-CN"/>
      </w:rPr>
    </w:lvl>
    <w:lvl w:ilvl="2" w:tentative="0">
      <w:start w:val="0"/>
      <w:numFmt w:val="bullet"/>
      <w:lvlText w:val="•"/>
      <w:lvlJc w:val="left"/>
      <w:pPr>
        <w:ind w:left="2317" w:hanging="601"/>
      </w:pPr>
      <w:rPr>
        <w:rFonts w:hint="default"/>
        <w:lang w:val="zh-CN" w:eastAsia="zh-CN" w:bidi="zh-CN"/>
      </w:rPr>
    </w:lvl>
    <w:lvl w:ilvl="3" w:tentative="0">
      <w:start w:val="0"/>
      <w:numFmt w:val="bullet"/>
      <w:lvlText w:val="•"/>
      <w:lvlJc w:val="left"/>
      <w:pPr>
        <w:ind w:left="3205" w:hanging="601"/>
      </w:pPr>
      <w:rPr>
        <w:rFonts w:hint="default"/>
        <w:lang w:val="zh-CN" w:eastAsia="zh-CN" w:bidi="zh-CN"/>
      </w:rPr>
    </w:lvl>
    <w:lvl w:ilvl="4" w:tentative="0">
      <w:start w:val="0"/>
      <w:numFmt w:val="bullet"/>
      <w:lvlText w:val="•"/>
      <w:lvlJc w:val="left"/>
      <w:pPr>
        <w:ind w:left="4094" w:hanging="601"/>
      </w:pPr>
      <w:rPr>
        <w:rFonts w:hint="default"/>
        <w:lang w:val="zh-CN" w:eastAsia="zh-CN" w:bidi="zh-CN"/>
      </w:rPr>
    </w:lvl>
    <w:lvl w:ilvl="5" w:tentative="0">
      <w:start w:val="0"/>
      <w:numFmt w:val="bullet"/>
      <w:lvlText w:val="•"/>
      <w:lvlJc w:val="left"/>
      <w:pPr>
        <w:ind w:left="4983" w:hanging="601"/>
      </w:pPr>
      <w:rPr>
        <w:rFonts w:hint="default"/>
        <w:lang w:val="zh-CN" w:eastAsia="zh-CN" w:bidi="zh-CN"/>
      </w:rPr>
    </w:lvl>
    <w:lvl w:ilvl="6" w:tentative="0">
      <w:start w:val="0"/>
      <w:numFmt w:val="bullet"/>
      <w:lvlText w:val="•"/>
      <w:lvlJc w:val="left"/>
      <w:pPr>
        <w:ind w:left="5871" w:hanging="601"/>
      </w:pPr>
      <w:rPr>
        <w:rFonts w:hint="default"/>
        <w:lang w:val="zh-CN" w:eastAsia="zh-CN" w:bidi="zh-CN"/>
      </w:rPr>
    </w:lvl>
    <w:lvl w:ilvl="7" w:tentative="0">
      <w:start w:val="0"/>
      <w:numFmt w:val="bullet"/>
      <w:lvlText w:val="•"/>
      <w:lvlJc w:val="left"/>
      <w:pPr>
        <w:ind w:left="6760" w:hanging="601"/>
      </w:pPr>
      <w:rPr>
        <w:rFonts w:hint="default"/>
        <w:lang w:val="zh-CN" w:eastAsia="zh-CN" w:bidi="zh-CN"/>
      </w:rPr>
    </w:lvl>
    <w:lvl w:ilvl="8" w:tentative="0">
      <w:start w:val="0"/>
      <w:numFmt w:val="bullet"/>
      <w:lvlText w:val="•"/>
      <w:lvlJc w:val="left"/>
      <w:pPr>
        <w:ind w:left="7648" w:hanging="601"/>
      </w:pPr>
      <w:rPr>
        <w:rFonts w:hint="default"/>
        <w:lang w:val="zh-CN" w:eastAsia="zh-CN" w:bidi="zh-CN"/>
      </w:rPr>
    </w:lvl>
  </w:abstractNum>
  <w:num w:numId="1">
    <w:abstractNumId w:val="23"/>
  </w:num>
  <w:num w:numId="2">
    <w:abstractNumId w:val="2"/>
  </w:num>
  <w:num w:numId="3">
    <w:abstractNumId w:val="15"/>
  </w:num>
  <w:num w:numId="4">
    <w:abstractNumId w:val="26"/>
  </w:num>
  <w:num w:numId="5">
    <w:abstractNumId w:val="16"/>
  </w:num>
  <w:num w:numId="6">
    <w:abstractNumId w:val="31"/>
  </w:num>
  <w:num w:numId="7">
    <w:abstractNumId w:val="9"/>
  </w:num>
  <w:num w:numId="8">
    <w:abstractNumId w:val="3"/>
  </w:num>
  <w:num w:numId="9">
    <w:abstractNumId w:val="4"/>
  </w:num>
  <w:num w:numId="10">
    <w:abstractNumId w:val="17"/>
  </w:num>
  <w:num w:numId="11">
    <w:abstractNumId w:val="24"/>
  </w:num>
  <w:num w:numId="12">
    <w:abstractNumId w:val="34"/>
  </w:num>
  <w:num w:numId="13">
    <w:abstractNumId w:val="0"/>
  </w:num>
  <w:num w:numId="14">
    <w:abstractNumId w:val="7"/>
  </w:num>
  <w:num w:numId="15">
    <w:abstractNumId w:val="28"/>
  </w:num>
  <w:num w:numId="16">
    <w:abstractNumId w:val="8"/>
  </w:num>
  <w:num w:numId="17">
    <w:abstractNumId w:val="27"/>
  </w:num>
  <w:num w:numId="18">
    <w:abstractNumId w:val="29"/>
  </w:num>
  <w:num w:numId="19">
    <w:abstractNumId w:val="18"/>
  </w:num>
  <w:num w:numId="20">
    <w:abstractNumId w:val="12"/>
  </w:num>
  <w:num w:numId="21">
    <w:abstractNumId w:val="21"/>
  </w:num>
  <w:num w:numId="22">
    <w:abstractNumId w:val="22"/>
  </w:num>
  <w:num w:numId="23">
    <w:abstractNumId w:val="5"/>
  </w:num>
  <w:num w:numId="24">
    <w:abstractNumId w:val="11"/>
  </w:num>
  <w:num w:numId="25">
    <w:abstractNumId w:val="25"/>
  </w:num>
  <w:num w:numId="26">
    <w:abstractNumId w:val="19"/>
  </w:num>
  <w:num w:numId="27">
    <w:abstractNumId w:val="33"/>
  </w:num>
  <w:num w:numId="28">
    <w:abstractNumId w:val="6"/>
  </w:num>
  <w:num w:numId="29">
    <w:abstractNumId w:val="10"/>
  </w:num>
  <w:num w:numId="30">
    <w:abstractNumId w:val="1"/>
  </w:num>
  <w:num w:numId="31">
    <w:abstractNumId w:val="30"/>
  </w:num>
  <w:num w:numId="32">
    <w:abstractNumId w:val="14"/>
  </w:num>
  <w:num w:numId="33">
    <w:abstractNumId w:val="32"/>
  </w:num>
  <w:num w:numId="34">
    <w:abstractNumId w:val="1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evenAndOddHeaders w:val="1"/>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OWIzZTBiMzM3MmNhYzJlMDQzODNmZGVkNTRmOWJkMmIifQ=="/>
  </w:docVars>
  <w:rsids>
    <w:rsidRoot w:val="00B068A7"/>
    <w:rsid w:val="001D4CB4"/>
    <w:rsid w:val="00232FC5"/>
    <w:rsid w:val="00454096"/>
    <w:rsid w:val="004615F6"/>
    <w:rsid w:val="006659F6"/>
    <w:rsid w:val="00A84F0D"/>
    <w:rsid w:val="00A9106C"/>
    <w:rsid w:val="00B068A7"/>
    <w:rsid w:val="00EB5C1C"/>
    <w:rsid w:val="01535C5D"/>
    <w:rsid w:val="02216782"/>
    <w:rsid w:val="02741080"/>
    <w:rsid w:val="034428C6"/>
    <w:rsid w:val="036F47DD"/>
    <w:rsid w:val="03750F55"/>
    <w:rsid w:val="05F17CC7"/>
    <w:rsid w:val="0742032D"/>
    <w:rsid w:val="07CD3513"/>
    <w:rsid w:val="08A52FEB"/>
    <w:rsid w:val="09160FA9"/>
    <w:rsid w:val="0A0B1953"/>
    <w:rsid w:val="0B3B3792"/>
    <w:rsid w:val="0B59510F"/>
    <w:rsid w:val="0CDF667C"/>
    <w:rsid w:val="0D9B5FC9"/>
    <w:rsid w:val="0E4D5BF3"/>
    <w:rsid w:val="0FF25610"/>
    <w:rsid w:val="10B63372"/>
    <w:rsid w:val="10B643D2"/>
    <w:rsid w:val="10D81B73"/>
    <w:rsid w:val="12C67C77"/>
    <w:rsid w:val="145875C1"/>
    <w:rsid w:val="15A52E57"/>
    <w:rsid w:val="165C24E5"/>
    <w:rsid w:val="17345D5E"/>
    <w:rsid w:val="18AD504A"/>
    <w:rsid w:val="1A2C356C"/>
    <w:rsid w:val="1D880ACD"/>
    <w:rsid w:val="1E295F81"/>
    <w:rsid w:val="1E31674A"/>
    <w:rsid w:val="1E590D06"/>
    <w:rsid w:val="1E9F6339"/>
    <w:rsid w:val="20EB2432"/>
    <w:rsid w:val="22203267"/>
    <w:rsid w:val="226C6BFB"/>
    <w:rsid w:val="23144B9D"/>
    <w:rsid w:val="235E291C"/>
    <w:rsid w:val="23A365B1"/>
    <w:rsid w:val="26A45859"/>
    <w:rsid w:val="26C43C96"/>
    <w:rsid w:val="274D1D4F"/>
    <w:rsid w:val="27BB7CDD"/>
    <w:rsid w:val="27FF50BB"/>
    <w:rsid w:val="28D87DED"/>
    <w:rsid w:val="299A2702"/>
    <w:rsid w:val="2A3D6C38"/>
    <w:rsid w:val="2A510485"/>
    <w:rsid w:val="2A9B1BCD"/>
    <w:rsid w:val="2B096496"/>
    <w:rsid w:val="2BD4407E"/>
    <w:rsid w:val="2CF604BD"/>
    <w:rsid w:val="2D217F06"/>
    <w:rsid w:val="2DB119A0"/>
    <w:rsid w:val="2E4A3C56"/>
    <w:rsid w:val="30023203"/>
    <w:rsid w:val="30EB5D02"/>
    <w:rsid w:val="31567875"/>
    <w:rsid w:val="317A5B10"/>
    <w:rsid w:val="31C85BF4"/>
    <w:rsid w:val="330B7EF6"/>
    <w:rsid w:val="333022F2"/>
    <w:rsid w:val="33E0089A"/>
    <w:rsid w:val="347656B7"/>
    <w:rsid w:val="358636D8"/>
    <w:rsid w:val="35EC0122"/>
    <w:rsid w:val="367E7A77"/>
    <w:rsid w:val="36B81360"/>
    <w:rsid w:val="3824626D"/>
    <w:rsid w:val="3A893467"/>
    <w:rsid w:val="3BD038FF"/>
    <w:rsid w:val="3C7F70D3"/>
    <w:rsid w:val="3CD37F23"/>
    <w:rsid w:val="3DEA3F02"/>
    <w:rsid w:val="40275AB8"/>
    <w:rsid w:val="416A3B7D"/>
    <w:rsid w:val="41E41333"/>
    <w:rsid w:val="420535CB"/>
    <w:rsid w:val="424762D6"/>
    <w:rsid w:val="43B56BDE"/>
    <w:rsid w:val="442C58A7"/>
    <w:rsid w:val="44B71E25"/>
    <w:rsid w:val="44BF68C6"/>
    <w:rsid w:val="44FF72F9"/>
    <w:rsid w:val="451F70FF"/>
    <w:rsid w:val="46220D50"/>
    <w:rsid w:val="46C638DD"/>
    <w:rsid w:val="479C6F36"/>
    <w:rsid w:val="47AA0C6D"/>
    <w:rsid w:val="482C50CD"/>
    <w:rsid w:val="48C575B0"/>
    <w:rsid w:val="48D067EB"/>
    <w:rsid w:val="498F13A3"/>
    <w:rsid w:val="4B290320"/>
    <w:rsid w:val="4B6D1EC9"/>
    <w:rsid w:val="4C494CCE"/>
    <w:rsid w:val="4F7C6531"/>
    <w:rsid w:val="4FD34F8D"/>
    <w:rsid w:val="4FE02E3D"/>
    <w:rsid w:val="50744D49"/>
    <w:rsid w:val="52B476D5"/>
    <w:rsid w:val="52B84E4F"/>
    <w:rsid w:val="52C8312A"/>
    <w:rsid w:val="53012EE1"/>
    <w:rsid w:val="53071193"/>
    <w:rsid w:val="534249E8"/>
    <w:rsid w:val="53775341"/>
    <w:rsid w:val="53FB6737"/>
    <w:rsid w:val="54773D98"/>
    <w:rsid w:val="54E51DF1"/>
    <w:rsid w:val="55A10AA8"/>
    <w:rsid w:val="56403286"/>
    <w:rsid w:val="56967CDD"/>
    <w:rsid w:val="57373461"/>
    <w:rsid w:val="57651E50"/>
    <w:rsid w:val="5B316746"/>
    <w:rsid w:val="5B543503"/>
    <w:rsid w:val="5C2823F8"/>
    <w:rsid w:val="5DD16120"/>
    <w:rsid w:val="5E672E8C"/>
    <w:rsid w:val="5EC53A34"/>
    <w:rsid w:val="5EE10ECB"/>
    <w:rsid w:val="6042098F"/>
    <w:rsid w:val="60797BB5"/>
    <w:rsid w:val="60851A50"/>
    <w:rsid w:val="60DC6F56"/>
    <w:rsid w:val="61317617"/>
    <w:rsid w:val="62A56FE4"/>
    <w:rsid w:val="630945DD"/>
    <w:rsid w:val="63545A7C"/>
    <w:rsid w:val="63EF5AFB"/>
    <w:rsid w:val="64504973"/>
    <w:rsid w:val="65622F6B"/>
    <w:rsid w:val="663B5061"/>
    <w:rsid w:val="67596017"/>
    <w:rsid w:val="68724DA1"/>
    <w:rsid w:val="6A617969"/>
    <w:rsid w:val="6B64707D"/>
    <w:rsid w:val="6B786DCC"/>
    <w:rsid w:val="6CCB6AD9"/>
    <w:rsid w:val="6D0B3460"/>
    <w:rsid w:val="6D8D0DA1"/>
    <w:rsid w:val="6EC22ACF"/>
    <w:rsid w:val="6F10748D"/>
    <w:rsid w:val="6F3F4411"/>
    <w:rsid w:val="6F59081B"/>
    <w:rsid w:val="70FE623D"/>
    <w:rsid w:val="71991995"/>
    <w:rsid w:val="739E6FF3"/>
    <w:rsid w:val="73C71679"/>
    <w:rsid w:val="73FA422E"/>
    <w:rsid w:val="749D13F3"/>
    <w:rsid w:val="75A3270F"/>
    <w:rsid w:val="77721DAF"/>
    <w:rsid w:val="778E7577"/>
    <w:rsid w:val="77B35BC1"/>
    <w:rsid w:val="77D66307"/>
    <w:rsid w:val="78514C6A"/>
    <w:rsid w:val="78BA7787"/>
    <w:rsid w:val="798D3903"/>
    <w:rsid w:val="7A9548FB"/>
    <w:rsid w:val="7BB544F2"/>
    <w:rsid w:val="7C1854C3"/>
    <w:rsid w:val="7C701009"/>
    <w:rsid w:val="7C8F5D1E"/>
    <w:rsid w:val="7CBB1493"/>
    <w:rsid w:val="7D4331C5"/>
    <w:rsid w:val="7E962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adjustRightInd w:val="0"/>
      <w:snapToGrid w:val="0"/>
      <w:spacing w:line="360" w:lineRule="auto"/>
      <w:ind w:firstLine="400" w:firstLineChars="200"/>
      <w:jc w:val="both"/>
    </w:pPr>
    <w:rPr>
      <w:rFonts w:ascii="Times New Roman" w:hAnsi="Times New Roman" w:eastAsia="宋体" w:cs="宋体"/>
      <w:sz w:val="24"/>
      <w:szCs w:val="22"/>
      <w:lang w:val="zh-CN" w:eastAsia="zh-CN" w:bidi="zh-CN"/>
    </w:rPr>
  </w:style>
  <w:style w:type="paragraph" w:styleId="4">
    <w:name w:val="heading 1"/>
    <w:basedOn w:val="1"/>
    <w:next w:val="1"/>
    <w:autoRedefine/>
    <w:qFormat/>
    <w:uiPriority w:val="1"/>
    <w:pPr>
      <w:spacing w:before="147"/>
      <w:ind w:right="32"/>
      <w:jc w:val="center"/>
      <w:outlineLvl w:val="0"/>
    </w:pPr>
    <w:rPr>
      <w:b/>
      <w:bCs/>
      <w:sz w:val="36"/>
      <w:szCs w:val="36"/>
    </w:rPr>
  </w:style>
  <w:style w:type="paragraph" w:styleId="5">
    <w:name w:val="heading 2"/>
    <w:basedOn w:val="1"/>
    <w:next w:val="1"/>
    <w:autoRedefine/>
    <w:qFormat/>
    <w:uiPriority w:val="1"/>
    <w:pPr>
      <w:ind w:left="0" w:hanging="560"/>
      <w:outlineLvl w:val="1"/>
    </w:pPr>
    <w:rPr>
      <w:rFonts w:ascii="Times New Roman" w:hAnsi="Times New Roman" w:eastAsia="宋体"/>
      <w:b/>
      <w:bCs/>
      <w:sz w:val="32"/>
      <w:szCs w:val="32"/>
    </w:rPr>
  </w:style>
  <w:style w:type="paragraph" w:styleId="6">
    <w:name w:val="heading 3"/>
    <w:basedOn w:val="1"/>
    <w:next w:val="1"/>
    <w:autoRedefine/>
    <w:qFormat/>
    <w:uiPriority w:val="1"/>
    <w:pPr>
      <w:adjustRightInd w:val="0"/>
      <w:snapToGrid w:val="0"/>
      <w:spacing w:line="360" w:lineRule="auto"/>
      <w:ind w:left="1242" w:firstLine="0" w:firstLineChars="0"/>
      <w:jc w:val="both"/>
      <w:outlineLvl w:val="2"/>
    </w:pPr>
    <w:rPr>
      <w:rFonts w:ascii="宋体" w:hAnsi="宋体" w:eastAsia="宋体"/>
      <w:b/>
      <w:bCs/>
      <w:sz w:val="28"/>
      <w:szCs w:val="28"/>
    </w:rPr>
  </w:style>
  <w:style w:type="paragraph" w:styleId="7">
    <w:name w:val="heading 4"/>
    <w:basedOn w:val="1"/>
    <w:next w:val="1"/>
    <w:autoRedefine/>
    <w:qFormat/>
    <w:uiPriority w:val="1"/>
    <w:pPr>
      <w:jc w:val="center"/>
      <w:outlineLvl w:val="3"/>
    </w:pPr>
    <w:rPr>
      <w:b/>
      <w:bCs/>
      <w:sz w:val="24"/>
      <w:szCs w:val="24"/>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tabs>
        <w:tab w:val="left" w:pos="1845"/>
      </w:tabs>
      <w:adjustRightInd w:val="0"/>
    </w:pPr>
    <w:rPr>
      <w:rFonts w:ascii="楷体_GB2312" w:eastAsia="楷体_GB2312"/>
      <w:color w:val="000000"/>
      <w:sz w:val="24"/>
      <w:lang w:val="en-US" w:bidi="ar-SA"/>
    </w:rPr>
  </w:style>
  <w:style w:type="paragraph" w:customStyle="1" w:styleId="3">
    <w:name w:val="A-表格文字"/>
    <w:basedOn w:val="1"/>
    <w:next w:val="1"/>
    <w:autoRedefine/>
    <w:qFormat/>
    <w:uiPriority w:val="0"/>
    <w:pPr>
      <w:autoSpaceDE w:val="0"/>
      <w:autoSpaceDN w:val="0"/>
      <w:adjustRightInd w:val="0"/>
      <w:jc w:val="center"/>
      <w:textAlignment w:val="center"/>
    </w:pPr>
    <w:rPr>
      <w:rFonts w:ascii="Times New Roman" w:hAnsi="Times New Roman"/>
      <w:kern w:val="0"/>
      <w:szCs w:val="21"/>
    </w:rPr>
  </w:style>
  <w:style w:type="paragraph" w:styleId="8">
    <w:name w:val="Normal Indent"/>
    <w:basedOn w:val="1"/>
    <w:next w:val="9"/>
    <w:autoRedefine/>
    <w:qFormat/>
    <w:uiPriority w:val="0"/>
    <w:pPr>
      <w:adjustRightInd w:val="0"/>
      <w:spacing w:after="120" w:line="336" w:lineRule="auto"/>
      <w:ind w:firstLine="480" w:firstLineChars="200"/>
      <w:textAlignment w:val="baseline"/>
    </w:pPr>
    <w:rPr>
      <w:rFonts w:eastAsia="华康简宋"/>
      <w:sz w:val="24"/>
    </w:rPr>
  </w:style>
  <w:style w:type="paragraph" w:customStyle="1" w:styleId="9">
    <w:name w:val="Char Char Char Char Char Char Char Char Char1 Char"/>
    <w:basedOn w:val="1"/>
    <w:next w:val="10"/>
    <w:autoRedefine/>
    <w:qFormat/>
    <w:uiPriority w:val="0"/>
    <w:pPr>
      <w:spacing w:line="360" w:lineRule="auto"/>
      <w:ind w:firstLine="200" w:firstLineChars="200"/>
    </w:pPr>
    <w:rPr>
      <w:rFonts w:hAnsi="宋体" w:cs="宋体"/>
      <w:spacing w:val="0"/>
      <w:sz w:val="24"/>
      <w:szCs w:val="24"/>
    </w:rPr>
  </w:style>
  <w:style w:type="paragraph" w:customStyle="1" w:styleId="10">
    <w:name w:val="Body Text First Indent1"/>
    <w:next w:val="1"/>
    <w:autoRedefine/>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styleId="11">
    <w:name w:val="caption"/>
    <w:basedOn w:val="1"/>
    <w:next w:val="1"/>
    <w:autoRedefine/>
    <w:qFormat/>
    <w:uiPriority w:val="0"/>
    <w:pPr>
      <w:spacing w:before="120" w:after="120" w:line="480" w:lineRule="exact"/>
      <w:jc w:val="center"/>
    </w:pPr>
    <w:rPr>
      <w:sz w:val="24"/>
    </w:rPr>
  </w:style>
  <w:style w:type="paragraph" w:styleId="12">
    <w:name w:val="annotation text"/>
    <w:basedOn w:val="1"/>
    <w:link w:val="57"/>
    <w:autoRedefine/>
    <w:qFormat/>
    <w:uiPriority w:val="0"/>
  </w:style>
  <w:style w:type="paragraph" w:styleId="13">
    <w:name w:val="Body Text 3"/>
    <w:basedOn w:val="1"/>
    <w:autoRedefine/>
    <w:qFormat/>
    <w:uiPriority w:val="0"/>
    <w:pPr>
      <w:spacing w:after="120"/>
    </w:pPr>
    <w:rPr>
      <w:sz w:val="16"/>
    </w:rPr>
  </w:style>
  <w:style w:type="paragraph" w:styleId="14">
    <w:name w:val="Body Text"/>
    <w:basedOn w:val="1"/>
    <w:next w:val="1"/>
    <w:autoRedefine/>
    <w:qFormat/>
    <w:uiPriority w:val="1"/>
    <w:pPr>
      <w:ind w:left="540"/>
    </w:pPr>
    <w:rPr>
      <w:sz w:val="24"/>
      <w:szCs w:val="24"/>
    </w:rPr>
  </w:style>
  <w:style w:type="paragraph" w:styleId="15">
    <w:name w:val="Body Text Indent"/>
    <w:basedOn w:val="1"/>
    <w:autoRedefine/>
    <w:qFormat/>
    <w:uiPriority w:val="0"/>
    <w:pPr>
      <w:spacing w:after="120" w:line="480" w:lineRule="auto"/>
    </w:pPr>
  </w:style>
  <w:style w:type="paragraph" w:styleId="16">
    <w:name w:val="toc 3"/>
    <w:basedOn w:val="1"/>
    <w:next w:val="1"/>
    <w:autoRedefine/>
    <w:qFormat/>
    <w:uiPriority w:val="1"/>
    <w:pPr>
      <w:spacing w:before="102"/>
      <w:ind w:left="1509" w:hanging="490"/>
    </w:pPr>
    <w:rPr>
      <w:sz w:val="28"/>
      <w:szCs w:val="28"/>
    </w:rPr>
  </w:style>
  <w:style w:type="paragraph" w:styleId="17">
    <w:name w:val="Plain Text"/>
    <w:basedOn w:val="1"/>
    <w:next w:val="2"/>
    <w:autoRedefine/>
    <w:qFormat/>
    <w:uiPriority w:val="0"/>
    <w:rPr>
      <w:rFonts w:ascii="宋体" w:hAnsi="Courier New" w:eastAsia="宋体" w:cs="Courier New"/>
      <w:szCs w:val="21"/>
    </w:rPr>
  </w:style>
  <w:style w:type="paragraph" w:styleId="18">
    <w:name w:val="List Bullet 5"/>
    <w:basedOn w:val="1"/>
    <w:autoRedefine/>
    <w:qFormat/>
    <w:uiPriority w:val="0"/>
    <w:pPr>
      <w:numPr>
        <w:ilvl w:val="0"/>
        <w:numId w:val="1"/>
      </w:numPr>
    </w:pPr>
  </w:style>
  <w:style w:type="paragraph" w:styleId="19">
    <w:name w:val="Body Text Indent 2"/>
    <w:basedOn w:val="1"/>
    <w:autoRedefine/>
    <w:qFormat/>
    <w:uiPriority w:val="0"/>
    <w:pPr>
      <w:widowControl/>
      <w:spacing w:after="120" w:line="480" w:lineRule="auto"/>
      <w:ind w:left="420" w:leftChars="200"/>
      <w:jc w:val="left"/>
    </w:pPr>
    <w:rPr>
      <w:rFonts w:eastAsia="宋体" w:cs="Times New Roman"/>
      <w:kern w:val="0"/>
      <w:lang w:eastAsia="en-US" w:bidi="en-US"/>
    </w:rPr>
  </w:style>
  <w:style w:type="paragraph" w:styleId="20">
    <w:name w:val="Balloon Text"/>
    <w:basedOn w:val="1"/>
    <w:link w:val="56"/>
    <w:autoRedefine/>
    <w:qFormat/>
    <w:uiPriority w:val="0"/>
    <w:rPr>
      <w:sz w:val="18"/>
      <w:szCs w:val="18"/>
    </w:rPr>
  </w:style>
  <w:style w:type="paragraph" w:styleId="21">
    <w:name w:val="footer"/>
    <w:basedOn w:val="1"/>
    <w:autoRedefine/>
    <w:qFormat/>
    <w:uiPriority w:val="0"/>
    <w:pPr>
      <w:tabs>
        <w:tab w:val="center" w:pos="4153"/>
        <w:tab w:val="right" w:pos="8306"/>
      </w:tabs>
      <w:snapToGrid w:val="0"/>
    </w:pPr>
    <w:rPr>
      <w:sz w:val="18"/>
    </w:rPr>
  </w:style>
  <w:style w:type="paragraph" w:styleId="22">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23">
    <w:name w:val="toc 1"/>
    <w:basedOn w:val="1"/>
    <w:next w:val="1"/>
    <w:autoRedefine/>
    <w:qFormat/>
    <w:uiPriority w:val="1"/>
    <w:pPr>
      <w:spacing w:before="100"/>
      <w:ind w:right="576"/>
      <w:jc w:val="right"/>
    </w:pPr>
    <w:rPr>
      <w:b/>
      <w:bCs/>
      <w:sz w:val="28"/>
      <w:szCs w:val="28"/>
    </w:rPr>
  </w:style>
  <w:style w:type="paragraph" w:styleId="24">
    <w:name w:val="index heading"/>
    <w:basedOn w:val="1"/>
    <w:next w:val="25"/>
    <w:qFormat/>
    <w:uiPriority w:val="0"/>
  </w:style>
  <w:style w:type="paragraph" w:styleId="25">
    <w:name w:val="index 1"/>
    <w:basedOn w:val="1"/>
    <w:next w:val="1"/>
    <w:autoRedefine/>
    <w:qFormat/>
    <w:uiPriority w:val="0"/>
  </w:style>
  <w:style w:type="paragraph" w:styleId="26">
    <w:name w:val="List"/>
    <w:basedOn w:val="1"/>
    <w:autoRedefine/>
    <w:qFormat/>
    <w:uiPriority w:val="0"/>
    <w:pPr>
      <w:ind w:left="200" w:hanging="200" w:hangingChars="200"/>
    </w:pPr>
  </w:style>
  <w:style w:type="paragraph" w:styleId="27">
    <w:name w:val="toc 2"/>
    <w:basedOn w:val="1"/>
    <w:next w:val="1"/>
    <w:autoRedefine/>
    <w:qFormat/>
    <w:uiPriority w:val="1"/>
    <w:pPr>
      <w:spacing w:before="102"/>
      <w:ind w:left="1509" w:right="576" w:hanging="1510"/>
      <w:jc w:val="right"/>
    </w:pPr>
    <w:rPr>
      <w:sz w:val="28"/>
      <w:szCs w:val="28"/>
    </w:rPr>
  </w:style>
  <w:style w:type="paragraph" w:styleId="28">
    <w:name w:val="Normal (Web)"/>
    <w:basedOn w:val="1"/>
    <w:autoRedefine/>
    <w:qFormat/>
    <w:uiPriority w:val="99"/>
    <w:pPr>
      <w:widowControl/>
      <w:adjustRightInd w:val="0"/>
      <w:spacing w:before="100" w:beforeAutospacing="1" w:after="100" w:afterAutospacing="1" w:line="360" w:lineRule="atLeast"/>
      <w:textAlignment w:val="baseline"/>
    </w:pPr>
    <w:rPr>
      <w:rFonts w:ascii="Arial Unicode MS" w:eastAsia="Arial Unicode MS"/>
      <w:color w:val="000000"/>
      <w:sz w:val="24"/>
    </w:rPr>
  </w:style>
  <w:style w:type="paragraph" w:styleId="29">
    <w:name w:val="annotation subject"/>
    <w:basedOn w:val="12"/>
    <w:next w:val="12"/>
    <w:link w:val="58"/>
    <w:autoRedefine/>
    <w:qFormat/>
    <w:uiPriority w:val="0"/>
    <w:rPr>
      <w:b/>
      <w:bCs/>
    </w:rPr>
  </w:style>
  <w:style w:type="paragraph" w:styleId="30">
    <w:name w:val="Body Text First Indent 2"/>
    <w:basedOn w:val="15"/>
    <w:next w:val="1"/>
    <w:autoRedefine/>
    <w:qFormat/>
    <w:uiPriority w:val="0"/>
    <w:pPr>
      <w:spacing w:line="240" w:lineRule="auto"/>
      <w:ind w:left="420" w:leftChars="200" w:firstLine="420" w:firstLineChars="200"/>
    </w:p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Hyperlink"/>
    <w:autoRedefine/>
    <w:qFormat/>
    <w:uiPriority w:val="99"/>
    <w:rPr>
      <w:color w:val="0000FF"/>
      <w:u w:val="single"/>
    </w:rPr>
  </w:style>
  <w:style w:type="character" w:styleId="35">
    <w:name w:val="annotation reference"/>
    <w:basedOn w:val="33"/>
    <w:autoRedefine/>
    <w:qFormat/>
    <w:uiPriority w:val="0"/>
    <w:rPr>
      <w:sz w:val="21"/>
      <w:szCs w:val="21"/>
    </w:rPr>
  </w:style>
  <w:style w:type="paragraph" w:customStyle="1" w:styleId="36">
    <w:name w:val="样式1"/>
    <w:basedOn w:val="24"/>
    <w:next w:val="1"/>
    <w:autoRedefine/>
    <w:qFormat/>
    <w:uiPriority w:val="0"/>
    <w:pPr>
      <w:keepNext w:val="0"/>
      <w:keepLines w:val="0"/>
      <w:spacing w:before="340" w:beforeLines="0" w:beforeAutospacing="0" w:after="340" w:afterLines="0" w:afterAutospacing="0" w:line="240" w:lineRule="auto"/>
    </w:pPr>
    <w:rPr>
      <w:rFonts w:eastAsia="宋体"/>
      <w:kern w:val="44"/>
      <w:sz w:val="44"/>
    </w:rPr>
  </w:style>
  <w:style w:type="paragraph" w:customStyle="1" w:styleId="37">
    <w:name w:val="Body Text 21"/>
    <w:basedOn w:val="1"/>
    <w:next w:val="1"/>
    <w:autoRedefine/>
    <w:qFormat/>
    <w:uiPriority w:val="0"/>
    <w:pPr>
      <w:spacing w:line="360" w:lineRule="auto"/>
      <w:ind w:firstLine="480" w:firstLineChars="200"/>
      <w:jc w:val="left"/>
    </w:pPr>
    <w:rPr>
      <w:rFonts w:ascii="宋体" w:hAnsi="宋体"/>
      <w:sz w:val="24"/>
    </w:rPr>
  </w:style>
  <w:style w:type="paragraph" w:customStyle="1" w:styleId="38">
    <w:name w:val="xl27"/>
    <w:basedOn w:val="1"/>
    <w:autoRedefine/>
    <w:qFormat/>
    <w:uiPriority w:val="0"/>
    <w:pPr>
      <w:widowControl/>
      <w:spacing w:before="100" w:beforeAutospacing="1" w:after="100" w:afterAutospacing="1"/>
      <w:jc w:val="center"/>
      <w:textAlignment w:val="center"/>
    </w:pPr>
    <w:rPr>
      <w:sz w:val="18"/>
      <w:szCs w:val="18"/>
    </w:rPr>
  </w:style>
  <w:style w:type="paragraph" w:customStyle="1" w:styleId="39">
    <w:name w:val="纯文本1"/>
    <w:basedOn w:val="1"/>
    <w:autoRedefine/>
    <w:qFormat/>
    <w:uiPriority w:val="0"/>
    <w:pPr>
      <w:tabs>
        <w:tab w:val="left" w:pos="1845"/>
      </w:tabs>
      <w:spacing w:line="240" w:lineRule="exact"/>
      <w:jc w:val="center"/>
    </w:pPr>
    <w:rPr>
      <w:sz w:val="18"/>
    </w:rPr>
  </w:style>
  <w:style w:type="table" w:customStyle="1" w:styleId="40">
    <w:name w:val="Table Normal"/>
    <w:autoRedefine/>
    <w:semiHidden/>
    <w:unhideWhenUsed/>
    <w:qFormat/>
    <w:uiPriority w:val="2"/>
    <w:tblPr>
      <w:tblCellMar>
        <w:top w:w="0" w:type="dxa"/>
        <w:left w:w="0" w:type="dxa"/>
        <w:bottom w:w="0" w:type="dxa"/>
        <w:right w:w="0" w:type="dxa"/>
      </w:tblCellMar>
    </w:tblPr>
  </w:style>
  <w:style w:type="paragraph" w:styleId="41">
    <w:name w:val="List Paragraph"/>
    <w:basedOn w:val="1"/>
    <w:autoRedefine/>
    <w:qFormat/>
    <w:uiPriority w:val="1"/>
    <w:pPr>
      <w:spacing w:before="1"/>
      <w:ind w:left="1621" w:hanging="601"/>
    </w:pPr>
  </w:style>
  <w:style w:type="paragraph" w:customStyle="1" w:styleId="42">
    <w:name w:val="Table Paragraph"/>
    <w:basedOn w:val="1"/>
    <w:autoRedefine/>
    <w:qFormat/>
    <w:uiPriority w:val="1"/>
    <w:pPr>
      <w:jc w:val="center"/>
    </w:pPr>
  </w:style>
  <w:style w:type="paragraph" w:customStyle="1" w:styleId="43">
    <w:name w:val="WPSOffice手动目录 2"/>
    <w:autoRedefine/>
    <w:qFormat/>
    <w:uiPriority w:val="0"/>
    <w:pPr>
      <w:ind w:left="200" w:leftChars="200"/>
    </w:pPr>
    <w:rPr>
      <w:rFonts w:asciiTheme="minorHAnsi" w:hAnsiTheme="minorHAnsi" w:eastAsiaTheme="minorHAnsi" w:cstheme="minorBidi"/>
      <w:lang w:val="en-US" w:eastAsia="zh-CN" w:bidi="ar-SA"/>
    </w:rPr>
  </w:style>
  <w:style w:type="paragraph" w:customStyle="1" w:styleId="44">
    <w:name w:val="WPSOffice手动目录 3"/>
    <w:autoRedefine/>
    <w:qFormat/>
    <w:uiPriority w:val="0"/>
    <w:pPr>
      <w:ind w:left="400" w:leftChars="400"/>
    </w:pPr>
    <w:rPr>
      <w:rFonts w:asciiTheme="minorHAnsi" w:hAnsiTheme="minorHAnsi" w:eastAsiaTheme="minorHAnsi" w:cstheme="minorBidi"/>
      <w:lang w:val="en-US" w:eastAsia="zh-CN" w:bidi="ar-SA"/>
    </w:rPr>
  </w:style>
  <w:style w:type="paragraph" w:customStyle="1" w:styleId="45">
    <w:name w:val="表头标题格式"/>
    <w:basedOn w:val="1"/>
    <w:autoRedefine/>
    <w:qFormat/>
    <w:uiPriority w:val="0"/>
    <w:pPr>
      <w:tabs>
        <w:tab w:val="left" w:pos="360"/>
        <w:tab w:val="left" w:pos="1620"/>
      </w:tabs>
      <w:spacing w:line="360" w:lineRule="auto"/>
      <w:jc w:val="center"/>
    </w:pPr>
    <w:rPr>
      <w:rFonts w:ascii="黑体" w:eastAsia="黑体"/>
      <w:b/>
      <w:bCs/>
      <w:sz w:val="24"/>
    </w:rPr>
  </w:style>
  <w:style w:type="paragraph" w:customStyle="1" w:styleId="46">
    <w:name w:val="表格文字样式14"/>
    <w:basedOn w:val="47"/>
    <w:autoRedefine/>
    <w:qFormat/>
    <w:uiPriority w:val="0"/>
    <w:pPr>
      <w:overflowPunct w:val="0"/>
      <w:autoSpaceDE/>
      <w:autoSpaceDN/>
      <w:spacing w:line="240" w:lineRule="auto"/>
    </w:pPr>
    <w:rPr>
      <w:rFonts w:ascii="宋体"/>
      <w:bCs/>
      <w:snapToGrid w:val="0"/>
      <w:sz w:val="21"/>
      <w:szCs w:val="21"/>
    </w:rPr>
  </w:style>
  <w:style w:type="paragraph" w:customStyle="1" w:styleId="47">
    <w:name w:val="表格标题"/>
    <w:basedOn w:val="14"/>
    <w:next w:val="14"/>
    <w:autoRedefine/>
    <w:qFormat/>
    <w:uiPriority w:val="0"/>
    <w:pPr>
      <w:spacing w:before="156" w:beforeLines="50" w:line="360" w:lineRule="auto"/>
      <w:jc w:val="center"/>
    </w:pPr>
    <w:rPr>
      <w:rFonts w:ascii="黑体" w:eastAsia="黑体"/>
      <w:b/>
      <w:color w:val="000000"/>
      <w:kern w:val="40"/>
    </w:rPr>
  </w:style>
  <w:style w:type="character" w:customStyle="1" w:styleId="48">
    <w:name w:val="font01"/>
    <w:basedOn w:val="33"/>
    <w:autoRedefine/>
    <w:qFormat/>
    <w:uiPriority w:val="0"/>
    <w:rPr>
      <w:rFonts w:hint="eastAsia" w:ascii="仿宋" w:hAnsi="仿宋" w:eastAsia="仿宋" w:cs="仿宋"/>
      <w:color w:val="000000"/>
      <w:sz w:val="24"/>
      <w:szCs w:val="24"/>
      <w:u w:val="none"/>
      <w:vertAlign w:val="superscript"/>
    </w:rPr>
  </w:style>
  <w:style w:type="paragraph" w:customStyle="1" w:styleId="49">
    <w:name w:val="正文格式"/>
    <w:autoRedefine/>
    <w:qFormat/>
    <w:uiPriority w:val="0"/>
    <w:pPr>
      <w:spacing w:line="360" w:lineRule="auto"/>
      <w:ind w:firstLine="482"/>
    </w:pPr>
    <w:rPr>
      <w:rFonts w:ascii="Times New Roman" w:hAnsi="Times New Roman" w:eastAsia="宋体" w:cs="Times New Roman"/>
      <w:kern w:val="2"/>
      <w:lang w:val="en-US"/>
    </w:rPr>
  </w:style>
  <w:style w:type="paragraph" w:customStyle="1" w:styleId="50">
    <w:name w:val="其他"/>
    <w:basedOn w:val="1"/>
    <w:autoRedefine/>
    <w:qFormat/>
    <w:uiPriority w:val="0"/>
    <w:pPr>
      <w:spacing w:line="480" w:lineRule="auto"/>
      <w:ind w:firstLine="400"/>
    </w:pPr>
    <w:rPr>
      <w:rFonts w:ascii="黑体" w:hAnsi="黑体" w:eastAsia="黑体" w:cs="黑体"/>
      <w:sz w:val="20"/>
      <w:szCs w:val="20"/>
    </w:rPr>
  </w:style>
  <w:style w:type="paragraph" w:customStyle="1" w:styleId="51">
    <w:name w:val="报告书正文"/>
    <w:basedOn w:val="17"/>
    <w:autoRedefine/>
    <w:qFormat/>
    <w:uiPriority w:val="0"/>
    <w:pPr>
      <w:spacing w:line="520" w:lineRule="exact"/>
      <w:ind w:firstLine="200" w:firstLineChars="200"/>
    </w:pPr>
    <w:rPr>
      <w:sz w:val="28"/>
      <w:szCs w:val="28"/>
    </w:rPr>
  </w:style>
  <w:style w:type="paragraph" w:customStyle="1" w:styleId="52">
    <w:name w:val="D正文"/>
    <w:basedOn w:val="1"/>
    <w:autoRedefine/>
    <w:qFormat/>
    <w:uiPriority w:val="0"/>
    <w:pPr>
      <w:spacing w:line="360" w:lineRule="auto"/>
      <w:ind w:firstLine="200" w:firstLineChars="200"/>
    </w:pPr>
    <w:rPr>
      <w:sz w:val="24"/>
    </w:rPr>
  </w:style>
  <w:style w:type="paragraph" w:customStyle="1" w:styleId="53">
    <w:name w:val="邓表格文字"/>
    <w:basedOn w:val="54"/>
    <w:autoRedefine/>
    <w:qFormat/>
    <w:uiPriority w:val="0"/>
    <w:pPr>
      <w:spacing w:line="240" w:lineRule="auto"/>
    </w:pPr>
  </w:style>
  <w:style w:type="paragraph" w:customStyle="1" w:styleId="54">
    <w:name w:val="表格文字邓"/>
    <w:basedOn w:val="1"/>
    <w:autoRedefine/>
    <w:qFormat/>
    <w:uiPriority w:val="0"/>
    <w:pPr>
      <w:widowControl/>
      <w:autoSpaceDE/>
      <w:autoSpaceDN/>
      <w:snapToGrid w:val="0"/>
      <w:spacing w:line="200" w:lineRule="exact"/>
      <w:jc w:val="center"/>
    </w:pPr>
    <w:rPr>
      <w:rFonts w:eastAsia="华文中宋"/>
      <w:color w:val="000000"/>
      <w:kern w:val="2"/>
      <w:sz w:val="18"/>
      <w:szCs w:val="18"/>
    </w:rPr>
  </w:style>
  <w:style w:type="paragraph" w:customStyle="1" w:styleId="55">
    <w:name w:val="样式 正文缩进正文缩进2正文缩进 Char Char正文缩进 Char Char Char Char正文缩进 Char ..."/>
    <w:basedOn w:val="8"/>
    <w:autoRedefine/>
    <w:qFormat/>
    <w:uiPriority w:val="0"/>
    <w:pPr>
      <w:spacing w:line="360" w:lineRule="auto"/>
      <w:ind w:firstLine="200"/>
    </w:pPr>
  </w:style>
  <w:style w:type="character" w:customStyle="1" w:styleId="56">
    <w:name w:val="批注框文本 Char"/>
    <w:basedOn w:val="33"/>
    <w:link w:val="20"/>
    <w:autoRedefine/>
    <w:qFormat/>
    <w:uiPriority w:val="0"/>
    <w:rPr>
      <w:rFonts w:ascii="宋体" w:hAnsi="宋体" w:cs="宋体"/>
      <w:sz w:val="18"/>
      <w:szCs w:val="18"/>
      <w:lang w:val="zh-CN" w:bidi="zh-CN"/>
    </w:rPr>
  </w:style>
  <w:style w:type="character" w:customStyle="1" w:styleId="57">
    <w:name w:val="批注文字 Char"/>
    <w:basedOn w:val="33"/>
    <w:link w:val="12"/>
    <w:autoRedefine/>
    <w:qFormat/>
    <w:uiPriority w:val="0"/>
    <w:rPr>
      <w:rFonts w:ascii="宋体" w:hAnsi="宋体" w:cs="宋体"/>
      <w:sz w:val="22"/>
      <w:szCs w:val="22"/>
      <w:lang w:val="zh-CN" w:bidi="zh-CN"/>
    </w:rPr>
  </w:style>
  <w:style w:type="character" w:customStyle="1" w:styleId="58">
    <w:name w:val="批注主题 Char"/>
    <w:basedOn w:val="57"/>
    <w:link w:val="29"/>
    <w:autoRedefine/>
    <w:qFormat/>
    <w:uiPriority w:val="0"/>
    <w:rPr>
      <w:rFonts w:ascii="宋体" w:hAnsi="宋体" w:cs="宋体"/>
      <w:b/>
      <w:bCs/>
      <w:sz w:val="22"/>
      <w:szCs w:val="22"/>
      <w:lang w:val="zh-CN" w:bidi="zh-CN"/>
    </w:rPr>
  </w:style>
  <w:style w:type="paragraph" w:customStyle="1" w:styleId="5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Table Text"/>
    <w:basedOn w:val="1"/>
    <w:autoRedefine/>
    <w:semiHidden/>
    <w:qFormat/>
    <w:uiPriority w:val="0"/>
    <w:rPr>
      <w:rFonts w:ascii="宋体" w:hAnsi="宋体" w:eastAsia="宋体" w:cs="宋体"/>
      <w:sz w:val="20"/>
      <w:szCs w:val="20"/>
      <w:lang w:val="en-US" w:eastAsia="en-US" w:bidi="ar-SA"/>
    </w:rPr>
  </w:style>
  <w:style w:type="paragraph" w:customStyle="1" w:styleId="61">
    <w:name w:val="WPSOffice手动目录 1"/>
    <w:autoRedefine/>
    <w:qFormat/>
    <w:uiPriority w:val="0"/>
    <w:pPr>
      <w:ind w:leftChars="0"/>
    </w:pPr>
    <w:rPr>
      <w:rFonts w:ascii="Times New Roman" w:hAnsi="Times New Roman" w:eastAsia="宋体" w:cs="Times New Roman"/>
      <w:sz w:val="20"/>
      <w:szCs w:val="20"/>
    </w:rPr>
  </w:style>
  <w:style w:type="paragraph" w:customStyle="1" w:styleId="62">
    <w:name w:val="正文样式"/>
    <w:basedOn w:val="1"/>
    <w:autoRedefine/>
    <w:qFormat/>
    <w:uiPriority w:val="0"/>
    <w:pPr>
      <w:widowControl/>
      <w:spacing w:line="360" w:lineRule="auto"/>
      <w:ind w:firstLine="480" w:firstLineChars="200"/>
      <w:jc w:val="left"/>
    </w:pPr>
    <w:rPr>
      <w:rFonts w:ascii="宋体" w:hAnsi="宋体"/>
      <w:color w:val="000000"/>
      <w:kern w:val="0"/>
      <w:sz w:val="24"/>
      <w:szCs w:val="24"/>
    </w:rPr>
  </w:style>
  <w:style w:type="paragraph" w:customStyle="1" w:styleId="63">
    <w:name w:val="正文A"/>
    <w:basedOn w:val="64"/>
    <w:autoRedefine/>
    <w:qFormat/>
    <w:uiPriority w:val="0"/>
    <w:rPr>
      <w:rFonts w:cs="华文仿宋"/>
    </w:rPr>
  </w:style>
  <w:style w:type="paragraph" w:customStyle="1" w:styleId="64">
    <w:name w:val="正文!!!!!!!!!!!"/>
    <w:basedOn w:val="65"/>
    <w:autoRedefine/>
    <w:qFormat/>
    <w:uiPriority w:val="0"/>
    <w:pPr>
      <w:ind w:firstLine="480"/>
    </w:pPr>
    <w:rPr>
      <w:rFonts w:ascii="Times New Roman" w:hAnsi="Times New Roman" w:eastAsia="宋体" w:cs="Times New Roman"/>
    </w:rPr>
  </w:style>
  <w:style w:type="paragraph" w:customStyle="1" w:styleId="65">
    <w:name w:val="正文 楷体"/>
    <w:basedOn w:val="1"/>
    <w:autoRedefine/>
    <w:qFormat/>
    <w:uiPriority w:val="0"/>
    <w:pPr>
      <w:widowControl/>
      <w:spacing w:line="500" w:lineRule="exact"/>
      <w:ind w:firstLine="200" w:firstLineChars="200"/>
      <w:jc w:val="left"/>
    </w:pPr>
    <w:rPr>
      <w:rFonts w:ascii="楷体_GB2312" w:hAnsi="楷体_GB2312" w:eastAsia="楷体_GB2312" w:cs="宋体"/>
      <w:kern w:val="0"/>
      <w:sz w:val="24"/>
      <w:szCs w:val="24"/>
    </w:rPr>
  </w:style>
  <w:style w:type="paragraph" w:customStyle="1" w:styleId="66">
    <w:name w:val="A表格"/>
    <w:basedOn w:val="1"/>
    <w:autoRedefine/>
    <w:qFormat/>
    <w:uiPriority w:val="0"/>
    <w:pPr>
      <w:adjustRightInd w:val="0"/>
      <w:snapToGrid w:val="0"/>
    </w:pPr>
    <w:rPr>
      <w:rFonts w:ascii="宋体" w:hAnsi="宋体"/>
      <w:kern w:val="0"/>
      <w:sz w:val="18"/>
      <w:szCs w:val="22"/>
    </w:rPr>
  </w:style>
  <w:style w:type="paragraph" w:customStyle="1" w:styleId="67">
    <w:name w:val="表头A"/>
    <w:basedOn w:val="68"/>
    <w:autoRedefine/>
    <w:qFormat/>
    <w:uiPriority w:val="0"/>
    <w:pPr>
      <w:spacing w:line="400" w:lineRule="exact"/>
    </w:pPr>
    <w:rPr>
      <w:rFonts w:ascii="Times New Roman" w:hAnsi="Times New Roman" w:eastAsia="宋体" w:cs="Times New Roman"/>
    </w:rPr>
  </w:style>
  <w:style w:type="paragraph" w:customStyle="1" w:styleId="68">
    <w:name w:val="表头"/>
    <w:basedOn w:val="8"/>
    <w:next w:val="1"/>
    <w:autoRedefine/>
    <w:qFormat/>
    <w:uiPriority w:val="0"/>
    <w:pPr>
      <w:spacing w:line="500" w:lineRule="exact"/>
      <w:jc w:val="center"/>
    </w:pPr>
    <w:rPr>
      <w:rFonts w:ascii="楷体_GB2312" w:hAnsi="楷体_GB2312" w:eastAsia="楷体_GB2312" w:cs="楷体_GB2312"/>
      <w:b/>
    </w:rPr>
  </w:style>
  <w:style w:type="paragraph" w:customStyle="1" w:styleId="69">
    <w:name w:val="表格正文"/>
    <w:basedOn w:val="1"/>
    <w:next w:val="1"/>
    <w:autoRedefine/>
    <w:qFormat/>
    <w:uiPriority w:val="0"/>
    <w:pPr>
      <w:pBdr>
        <w:top w:val="none" w:color="auto" w:sz="0" w:space="1"/>
        <w:left w:val="none" w:color="auto" w:sz="0" w:space="4"/>
        <w:bottom w:val="none" w:color="auto" w:sz="0" w:space="1"/>
        <w:right w:val="none" w:color="auto" w:sz="0" w:space="4"/>
      </w:pBdr>
      <w:topLinePunct/>
      <w:spacing w:line="320" w:lineRule="exact"/>
      <w:jc w:val="center"/>
    </w:pPr>
    <w:rPr>
      <w:sz w:val="20"/>
      <w:szCs w:val="21"/>
      <w:lang w:val="zh-CN"/>
    </w:rPr>
  </w:style>
  <w:style w:type="paragraph" w:customStyle="1" w:styleId="70">
    <w:name w:val="Other|1"/>
    <w:basedOn w:val="1"/>
    <w:autoRedefine/>
    <w:qFormat/>
    <w:uiPriority w:val="0"/>
    <w:rPr>
      <w:sz w:val="20"/>
      <w:szCs w:val="20"/>
    </w:rPr>
  </w:style>
  <w:style w:type="paragraph" w:customStyle="1" w:styleId="71">
    <w:name w:val="样式 行距: 固定值 28 磅"/>
    <w:basedOn w:val="1"/>
    <w:autoRedefine/>
    <w:qFormat/>
    <w:uiPriority w:val="0"/>
    <w:pPr>
      <w:widowControl/>
      <w:spacing w:line="360" w:lineRule="auto"/>
      <w:ind w:firstLine="480" w:firstLineChars="200"/>
      <w:jc w:val="left"/>
    </w:pPr>
    <w:rPr>
      <w:rFonts w:ascii="宋体" w:hAnsi="宋体" w:eastAsia="宋体" w:cs="宋体"/>
      <w:kern w:val="0"/>
      <w:sz w:val="24"/>
      <w:szCs w:val="24"/>
    </w:rPr>
  </w:style>
  <w:style w:type="paragraph" w:customStyle="1" w:styleId="72">
    <w:name w:val="样式 正文缩进正文（首行缩进两字）正文缩进4正文缩进11正文（首行缩进两字） Char11正文（首行缩进两字） Cha..."/>
    <w:basedOn w:val="8"/>
    <w:autoRedefine/>
    <w:qFormat/>
    <w:uiPriority w:val="0"/>
    <w:pPr>
      <w:ind w:firstLine="0" w:firstLineChars="0"/>
    </w:pPr>
    <w:rPr>
      <w:sz w:val="21"/>
      <w:szCs w:val="20"/>
    </w:rPr>
  </w:style>
  <w:style w:type="paragraph" w:customStyle="1" w:styleId="73">
    <w:name w:val="A-z正文"/>
    <w:basedOn w:val="1"/>
    <w:autoRedefine/>
    <w:qFormat/>
    <w:uiPriority w:val="0"/>
    <w:pPr>
      <w:spacing w:line="360" w:lineRule="auto"/>
      <w:ind w:firstLine="200" w:firstLineChars="200"/>
    </w:pPr>
    <w:rPr>
      <w:rFonts w:cs="宋体"/>
      <w:kern w:val="0"/>
      <w:sz w:val="24"/>
      <w:szCs w:val="20"/>
    </w:rPr>
  </w:style>
  <w:style w:type="paragraph" w:customStyle="1" w:styleId="74">
    <w:name w:val="首行缩进2"/>
    <w:basedOn w:val="1"/>
    <w:autoRedefine/>
    <w:qFormat/>
    <w:uiPriority w:val="0"/>
    <w:pPr>
      <w:spacing w:line="360" w:lineRule="auto"/>
      <w:ind w:firstLine="200" w:firstLineChars="200"/>
    </w:pPr>
    <w:rPr>
      <w:rFonts w:eastAsia="宋体"/>
      <w:sz w:val="24"/>
      <w:szCs w:val="28"/>
    </w:rPr>
  </w:style>
  <w:style w:type="paragraph" w:customStyle="1" w:styleId="75">
    <w:name w:val="【表头】"/>
    <w:basedOn w:val="1"/>
    <w:autoRedefine/>
    <w:qFormat/>
    <w:uiPriority w:val="0"/>
    <w:pPr>
      <w:snapToGrid w:val="0"/>
      <w:spacing w:before="60" w:after="60" w:line="420" w:lineRule="exact"/>
      <w:jc w:val="center"/>
    </w:pPr>
    <w:rPr>
      <w:rFonts w:eastAsia="黑体"/>
      <w:sz w:val="24"/>
      <w:szCs w:val="20"/>
    </w:rPr>
  </w:style>
  <w:style w:type="paragraph" w:customStyle="1" w:styleId="76">
    <w:name w:val="表格内"/>
    <w:basedOn w:val="1"/>
    <w:autoRedefine/>
    <w:qFormat/>
    <w:uiPriority w:val="0"/>
    <w:pPr>
      <w:adjustRightInd w:val="0"/>
      <w:spacing w:line="240" w:lineRule="atLeast"/>
      <w:jc w:val="center"/>
      <w:textAlignment w:val="baseline"/>
    </w:pPr>
    <w:rPr>
      <w:rFonts w:ascii="宋体"/>
      <w:kern w:val="0"/>
      <w:sz w:val="28"/>
      <w:szCs w:val="20"/>
    </w:rPr>
  </w:style>
  <w:style w:type="paragraph" w:customStyle="1" w:styleId="77">
    <w:name w:val="表内字"/>
    <w:basedOn w:val="1"/>
    <w:autoRedefine/>
    <w:qFormat/>
    <w:uiPriority w:val="0"/>
    <w:pPr>
      <w:jc w:val="center"/>
    </w:pPr>
    <w:rPr>
      <w:rFonts w:ascii="Calibri" w:hAnsi="Calibri"/>
      <w:kern w:val="0"/>
      <w:szCs w:val="24"/>
    </w:rPr>
  </w:style>
  <w:style w:type="paragraph" w:customStyle="1" w:styleId="78">
    <w:name w:val="B图表标题"/>
    <w:basedOn w:val="79"/>
    <w:next w:val="19"/>
    <w:autoRedefine/>
    <w:qFormat/>
    <w:uiPriority w:val="0"/>
    <w:pPr>
      <w:spacing w:before="120" w:line="240" w:lineRule="auto"/>
    </w:pPr>
    <w:rPr>
      <w:rFonts w:eastAsia="宋体"/>
      <w:b/>
      <w:sz w:val="24"/>
    </w:rPr>
  </w:style>
  <w:style w:type="paragraph" w:customStyle="1" w:styleId="79">
    <w:name w:val="图表名"/>
    <w:basedOn w:val="1"/>
    <w:autoRedefine/>
    <w:qFormat/>
    <w:uiPriority w:val="0"/>
    <w:pPr>
      <w:adjustRightInd w:val="0"/>
      <w:snapToGrid w:val="0"/>
      <w:spacing w:line="360" w:lineRule="auto"/>
      <w:jc w:val="center"/>
    </w:pPr>
    <w:rPr>
      <w:rFonts w:eastAsia="黑体"/>
      <w:snapToGrid w:val="0"/>
      <w:color w:val="000000"/>
      <w:kern w:val="0"/>
      <w:sz w:val="28"/>
      <w:szCs w:val="28"/>
    </w:rPr>
  </w:style>
  <w:style w:type="paragraph" w:customStyle="1" w:styleId="80">
    <w:name w:val="B表内字"/>
    <w:basedOn w:val="1"/>
    <w:autoRedefine/>
    <w:qFormat/>
    <w:uiPriority w:val="0"/>
    <w:pPr>
      <w:widowControl/>
      <w:jc w:val="center"/>
    </w:pPr>
    <w:rPr>
      <w:rFonts w:cs="宋体"/>
      <w:kern w:val="0"/>
    </w:rPr>
  </w:style>
  <w:style w:type="paragraph" w:customStyle="1" w:styleId="81">
    <w:name w:val="B正文"/>
    <w:basedOn w:val="1"/>
    <w:autoRedefine/>
    <w:qFormat/>
    <w:uiPriority w:val="0"/>
    <w:pPr>
      <w:widowControl/>
      <w:spacing w:line="360" w:lineRule="auto"/>
      <w:ind w:firstLine="200" w:firstLineChars="200"/>
      <w:jc w:val="left"/>
    </w:pPr>
    <w:rPr>
      <w:rFonts w:cs="宋体"/>
      <w:kern w:val="0"/>
      <w:sz w:val="24"/>
    </w:rPr>
  </w:style>
  <w:style w:type="paragraph" w:customStyle="1" w:styleId="82">
    <w:name w:val="正文(首行缩进)"/>
    <w:basedOn w:val="1"/>
    <w:next w:val="1"/>
    <w:autoRedefine/>
    <w:qFormat/>
    <w:uiPriority w:val="0"/>
    <w:pPr>
      <w:spacing w:line="360" w:lineRule="auto"/>
      <w:ind w:firstLine="540" w:firstLineChars="225"/>
    </w:pPr>
    <w:rPr>
      <w:snapToGrid w:val="0"/>
      <w:color w:val="000000"/>
      <w:kern w:val="0"/>
      <w:sz w:val="24"/>
    </w:rPr>
  </w:style>
  <w:style w:type="paragraph" w:customStyle="1" w:styleId="83">
    <w:name w:val="Body text|221"/>
    <w:basedOn w:val="1"/>
    <w:link w:val="85"/>
    <w:autoRedefine/>
    <w:qFormat/>
    <w:uiPriority w:val="0"/>
    <w:pPr>
      <w:shd w:val="clear" w:color="auto" w:fill="FFFFFF"/>
      <w:spacing w:before="240" w:line="451" w:lineRule="exact"/>
      <w:ind w:hanging="620"/>
      <w:jc w:val="distribute"/>
    </w:pPr>
    <w:rPr>
      <w:rFonts w:ascii="PMingLiU" w:hAnsi="PMingLiU" w:eastAsia="PMingLiU" w:cs="PMingLiU"/>
      <w:spacing w:val="10"/>
      <w:kern w:val="0"/>
      <w:sz w:val="22"/>
    </w:rPr>
  </w:style>
  <w:style w:type="character" w:customStyle="1" w:styleId="84">
    <w:name w:val="Body text|2 + Spacing 0 pt"/>
    <w:basedOn w:val="85"/>
    <w:autoRedefine/>
    <w:unhideWhenUsed/>
    <w:qFormat/>
    <w:uiPriority w:val="0"/>
    <w:rPr>
      <w:rFonts w:ascii="PMingLiU" w:hAnsi="PMingLiU" w:eastAsia="PMingLiU" w:cs="PMingLiU"/>
      <w:color w:val="000000"/>
      <w:spacing w:val="0"/>
      <w:w w:val="100"/>
      <w:position w:val="0"/>
      <w:sz w:val="22"/>
      <w:szCs w:val="22"/>
      <w:shd w:val="clear" w:color="auto" w:fill="FFFFFF"/>
      <w:lang w:val="zh-CN" w:eastAsia="zh-CN" w:bidi="zh-CN"/>
    </w:rPr>
  </w:style>
  <w:style w:type="character" w:customStyle="1" w:styleId="85">
    <w:name w:val="Body text|2_"/>
    <w:basedOn w:val="33"/>
    <w:link w:val="83"/>
    <w:autoRedefine/>
    <w:qFormat/>
    <w:uiPriority w:val="0"/>
    <w:rPr>
      <w:rFonts w:ascii="PMingLiU" w:hAnsi="PMingLiU" w:eastAsia="PMingLiU" w:cs="PMingLiU"/>
      <w:spacing w:val="10"/>
      <w:kern w:val="0"/>
      <w:sz w:val="22"/>
    </w:rPr>
  </w:style>
  <w:style w:type="paragraph" w:customStyle="1" w:styleId="86">
    <w:name w:val="表头、图号"/>
    <w:basedOn w:val="1"/>
    <w:autoRedefine/>
    <w:qFormat/>
    <w:uiPriority w:val="0"/>
    <w:pPr>
      <w:spacing w:beforeLines="0" w:afterLines="0" w:line="240" w:lineRule="auto"/>
      <w:ind w:firstLine="0" w:firstLineChars="0"/>
      <w:jc w:val="center"/>
    </w:pPr>
    <w:rPr>
      <w:rFonts w:ascii="Times New Roman" w:hAnsi="Times New Roman" w:eastAsia="黑体"/>
    </w:rPr>
  </w:style>
  <w:style w:type="paragraph" w:customStyle="1" w:styleId="87">
    <w:name w:val="表内文字"/>
    <w:autoRedefine/>
    <w:qFormat/>
    <w:uiPriority w:val="0"/>
    <w:pPr>
      <w:wordWrap w:val="0"/>
      <w:topLinePunct/>
      <w:autoSpaceDE w:val="0"/>
      <w:autoSpaceDN w:val="0"/>
      <w:adjustRightInd w:val="0"/>
      <w:snapToGrid w:val="0"/>
      <w:jc w:val="center"/>
    </w:pPr>
    <w:rPr>
      <w:rFonts w:ascii="宋体" w:hAnsi="Times New Roman" w:eastAsia="宋体" w:cs="Times New Roman"/>
      <w:snapToGrid w:val="0"/>
      <w:sz w:val="21"/>
      <w:lang w:val="en-US" w:eastAsia="zh-CN" w:bidi="ar-SA"/>
    </w:rPr>
  </w:style>
  <w:style w:type="paragraph" w:customStyle="1" w:styleId="88">
    <w:name w:val="兴化美联表格"/>
    <w:basedOn w:val="1"/>
    <w:autoRedefine/>
    <w:qFormat/>
    <w:uiPriority w:val="0"/>
    <w:pPr>
      <w:widowControl/>
      <w:jc w:val="center"/>
    </w:pPr>
    <w:rPr>
      <w:rFonts w:ascii="宋体" w:hAnsi="宋体" w:eastAsia="宋体" w:cs="宋体"/>
      <w:kern w:val="0"/>
      <w:sz w:val="24"/>
      <w:szCs w:val="24"/>
    </w:rPr>
  </w:style>
  <w:style w:type="paragraph" w:customStyle="1" w:styleId="89">
    <w:name w:val="表格内容"/>
    <w:next w:val="1"/>
    <w:autoRedefine/>
    <w:qFormat/>
    <w:uiPriority w:val="0"/>
    <w:pPr>
      <w:jc w:val="center"/>
    </w:pPr>
    <w:rPr>
      <w:rFonts w:ascii="Times New Roman" w:hAnsi="Times New Roman" w:eastAsia="宋体" w:cs="Times New Roman"/>
      <w:sz w:val="21"/>
      <w:szCs w:val="21"/>
      <w:lang w:val="en-US" w:eastAsia="zh-CN" w:bidi="ar-SA"/>
    </w:rPr>
  </w:style>
  <w:style w:type="character" w:customStyle="1" w:styleId="90">
    <w:name w:val="fontstyle01"/>
    <w:basedOn w:val="33"/>
    <w:autoRedefine/>
    <w:qFormat/>
    <w:uiPriority w:val="0"/>
    <w:rPr>
      <w:rFonts w:hint="eastAsia" w:ascii="宋体" w:hAnsi="宋体" w:eastAsia="宋体"/>
      <w:color w:val="000000"/>
      <w:sz w:val="24"/>
      <w:szCs w:val="24"/>
    </w:rPr>
  </w:style>
  <w:style w:type="paragraph" w:customStyle="1" w:styleId="91">
    <w:name w:val="报告表正文"/>
    <w:basedOn w:val="51"/>
    <w:autoRedefine/>
    <w:qFormat/>
    <w:uiPriority w:val="0"/>
    <w:pPr>
      <w:adjustRightInd w:val="0"/>
      <w:spacing w:line="360" w:lineRule="auto"/>
      <w:ind w:firstLine="200" w:firstLineChars="200"/>
      <w:textAlignment w:val="baseline"/>
    </w:pPr>
    <w:rPr>
      <w:color w:val="000000"/>
      <w:kern w:val="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43.jpeg"/><Relationship Id="rId85" Type="http://schemas.openxmlformats.org/officeDocument/2006/relationships/image" Target="media/image42.jpeg"/><Relationship Id="rId84" Type="http://schemas.openxmlformats.org/officeDocument/2006/relationships/image" Target="media/image41.png"/><Relationship Id="rId83" Type="http://schemas.openxmlformats.org/officeDocument/2006/relationships/image" Target="media/image40.png"/><Relationship Id="rId82" Type="http://schemas.openxmlformats.org/officeDocument/2006/relationships/image" Target="media/image39.png"/><Relationship Id="rId81" Type="http://schemas.openxmlformats.org/officeDocument/2006/relationships/image" Target="media/image38.jpeg"/><Relationship Id="rId80" Type="http://schemas.openxmlformats.org/officeDocument/2006/relationships/image" Target="media/image37.jpeg"/><Relationship Id="rId8" Type="http://schemas.openxmlformats.org/officeDocument/2006/relationships/footer" Target="footer2.xml"/><Relationship Id="rId79" Type="http://schemas.openxmlformats.org/officeDocument/2006/relationships/image" Target="media/image36.png"/><Relationship Id="rId78" Type="http://schemas.openxmlformats.org/officeDocument/2006/relationships/image" Target="media/image35.jpeg"/><Relationship Id="rId77" Type="http://schemas.openxmlformats.org/officeDocument/2006/relationships/image" Target="media/image34.jpeg"/><Relationship Id="rId76" Type="http://schemas.openxmlformats.org/officeDocument/2006/relationships/image" Target="media/image33.jpeg"/><Relationship Id="rId75" Type="http://schemas.openxmlformats.org/officeDocument/2006/relationships/image" Target="media/image32.jpeg"/><Relationship Id="rId74" Type="http://schemas.openxmlformats.org/officeDocument/2006/relationships/image" Target="media/image31.jpeg"/><Relationship Id="rId73" Type="http://schemas.openxmlformats.org/officeDocument/2006/relationships/image" Target="media/image30.jpeg"/><Relationship Id="rId72" Type="http://schemas.openxmlformats.org/officeDocument/2006/relationships/image" Target="media/image29.jpeg"/><Relationship Id="rId71" Type="http://schemas.openxmlformats.org/officeDocument/2006/relationships/image" Target="media/image28.jpeg"/><Relationship Id="rId70" Type="http://schemas.openxmlformats.org/officeDocument/2006/relationships/image" Target="media/image27.jpeg"/><Relationship Id="rId7" Type="http://schemas.openxmlformats.org/officeDocument/2006/relationships/footer" Target="footer1.xml"/><Relationship Id="rId69" Type="http://schemas.openxmlformats.org/officeDocument/2006/relationships/image" Target="media/image26.jpeg"/><Relationship Id="rId68" Type="http://schemas.openxmlformats.org/officeDocument/2006/relationships/image" Target="media/image25.wmf"/><Relationship Id="rId67" Type="http://schemas.openxmlformats.org/officeDocument/2006/relationships/oleObject" Target="embeddings/oleObject12.bin"/><Relationship Id="rId66" Type="http://schemas.openxmlformats.org/officeDocument/2006/relationships/oleObject" Target="embeddings/oleObject11.bin"/><Relationship Id="rId65" Type="http://schemas.openxmlformats.org/officeDocument/2006/relationships/image" Target="media/image24.wmf"/><Relationship Id="rId64" Type="http://schemas.openxmlformats.org/officeDocument/2006/relationships/oleObject" Target="embeddings/oleObject10.bin"/><Relationship Id="rId63" Type="http://schemas.openxmlformats.org/officeDocument/2006/relationships/image" Target="media/image23.wmf"/><Relationship Id="rId62" Type="http://schemas.openxmlformats.org/officeDocument/2006/relationships/oleObject" Target="embeddings/oleObject9.bin"/><Relationship Id="rId61" Type="http://schemas.openxmlformats.org/officeDocument/2006/relationships/image" Target="media/image22.wmf"/><Relationship Id="rId60" Type="http://schemas.openxmlformats.org/officeDocument/2006/relationships/oleObject" Target="embeddings/oleObject8.bin"/><Relationship Id="rId6" Type="http://schemas.openxmlformats.org/officeDocument/2006/relationships/header" Target="header2.xml"/><Relationship Id="rId59" Type="http://schemas.openxmlformats.org/officeDocument/2006/relationships/image" Target="media/image21.emf"/><Relationship Id="rId58" Type="http://schemas.openxmlformats.org/officeDocument/2006/relationships/oleObject" Target="embeddings/oleObject7.bin"/><Relationship Id="rId57" Type="http://schemas.openxmlformats.org/officeDocument/2006/relationships/image" Target="media/image20.wmf"/><Relationship Id="rId56" Type="http://schemas.openxmlformats.org/officeDocument/2006/relationships/oleObject" Target="embeddings/oleObject6.bin"/><Relationship Id="rId55" Type="http://schemas.openxmlformats.org/officeDocument/2006/relationships/image" Target="media/image19.wmf"/><Relationship Id="rId54" Type="http://schemas.openxmlformats.org/officeDocument/2006/relationships/oleObject" Target="embeddings/oleObject5.bin"/><Relationship Id="rId53" Type="http://schemas.openxmlformats.org/officeDocument/2006/relationships/image" Target="media/image18.jpe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wmf"/><Relationship Id="rId45" Type="http://schemas.openxmlformats.org/officeDocument/2006/relationships/oleObject" Target="embeddings/oleObject4.bin"/><Relationship Id="rId44" Type="http://schemas.openxmlformats.org/officeDocument/2006/relationships/image" Target="media/image10.wmf"/><Relationship Id="rId43" Type="http://schemas.openxmlformats.org/officeDocument/2006/relationships/oleObject" Target="embeddings/oleObject3.bin"/><Relationship Id="rId42" Type="http://schemas.openxmlformats.org/officeDocument/2006/relationships/image" Target="media/image9.wmf"/><Relationship Id="rId41" Type="http://schemas.openxmlformats.org/officeDocument/2006/relationships/oleObject" Target="embeddings/oleObject2.bin"/><Relationship Id="rId40" Type="http://schemas.openxmlformats.org/officeDocument/2006/relationships/image" Target="media/image8.wmf"/><Relationship Id="rId4" Type="http://schemas.openxmlformats.org/officeDocument/2006/relationships/endnotes" Target="endnotes.xml"/><Relationship Id="rId39" Type="http://schemas.openxmlformats.org/officeDocument/2006/relationships/oleObject" Target="embeddings/oleObject1.bin"/><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jpe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header" Target="header6.xml"/><Relationship Id="rId27" Type="http://schemas.openxmlformats.org/officeDocument/2006/relationships/header" Target="header5.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3"/>
    <customShpInfo spid="_x0000_s2108"/>
    <customShpInfo spid="_x0000_s2109"/>
    <customShpInfo spid="_x0000_s2110"/>
    <customShpInfo spid="_x0000_s2111"/>
    <customShpInfo spid="_x0000_s2112"/>
    <customShpInfo spid="_x0000_s2113"/>
    <customShpInfo spid="_x0000_s2067"/>
    <customShpInfo spid="_x0000_s2066"/>
    <customShpInfo spid="_x0000_s2070"/>
    <customShpInfo spid="_x0000_s2135"/>
    <customShpInfo spid="_x0000_s2116"/>
    <customShpInfo spid="_x0000_s2117"/>
    <customShpInfo spid="_x0000_s2118"/>
    <customShpInfo spid="_x0000_s2119"/>
    <customShpInfo spid="_x0000_s2122"/>
    <customShpInfo spid="_x0000_s2123"/>
    <customShpInfo spid="_x0000_s2124"/>
    <customShpInfo spid="_x0000_s2125"/>
    <customShpInfo spid="_x0000_s2126"/>
    <customShpInfo spid="_x0000_s2127"/>
    <customShpInfo spid="_x0000_s2096"/>
    <customShpInfo spid="_x0000_s2097"/>
    <customShpInfo spid="_x0000_s2100"/>
    <customShpInfo spid="_x0000_s2099"/>
    <customShpInfo spid="_x0000_s2131"/>
    <customShpInfo spid="_x0000_s2132"/>
    <customShpInfo spid="_x0000_s1226"/>
    <customShpInfo spid="_x0000_s1227"/>
    <customShpInfo spid="_x0000_s1228"/>
    <customShpInfo spid="_x0000_s1247"/>
    <customShpInfo spid="_x0000_s1250"/>
    <customShpInfo spid="_x0000_s1259"/>
    <customShpInfo spid="_x0000_s1262"/>
    <customShpInfo spid="_x0000_s1261"/>
    <customShpInfo spid="_x0000_s1260"/>
    <customShpInfo spid="_x0000_s1263"/>
    <customShpInfo spid="_x0000_s1256"/>
    <customShpInfo spid="_x0000_s1249"/>
    <customShpInfo spid="_x0000_s1251"/>
    <customShpInfo spid="_x0000_s1257"/>
    <customShpInfo spid="_x0000_s1258"/>
    <customShpInfo spid="_x0000_s1248"/>
    <customShpInfo spid="_x0000_s1234"/>
    <customShpInfo spid="_x0000_s1235"/>
    <customShpInfo spid="_x0000_s12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162</Pages>
  <Words>90426</Words>
  <Characters>113062</Characters>
  <Lines>1194</Lines>
  <Paragraphs>336</Paragraphs>
  <TotalTime>31</TotalTime>
  <ScaleCrop>false</ScaleCrop>
  <LinksUpToDate>false</LinksUpToDate>
  <CharactersWithSpaces>118606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2021-06-09T02:11:00Z</dcterms:created>
  <dc:creator>QQ1404835872</dc:creator>
  <cp:lastModifiedBy>小飞侠</cp:lastModifiedBy>
  <dcterms:modified xsi:type="dcterms:W3CDTF">2024-04-16T03:33:10Z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2021-03-05T00:00:00Z</vt:filetime>
  </property>
  <property fmtid="{D5CDD505-2E9C-101B-9397-08002B2CF9AE}" pid="3" name="Creator">
    <vt:lpwstr>WPS 文字</vt:lpwstr>
  </property>
  <property fmtid="{D5CDD505-2E9C-101B-9397-08002B2CF9AE}" pid="4" name="LastSaved">
    <vt:filetime>2021-06-09T00:00:00Z</vt:filetime>
  </property>
  <property fmtid="{D5CDD505-2E9C-101B-9397-08002B2CF9AE}" pid="5" name="KSOProductBuildVer">
    <vt:lpwstr>2052-12.1.0.16729</vt:lpwstr>
  </property>
  <property fmtid="{D5CDD505-2E9C-101B-9397-08002B2CF9AE}" pid="6" name="ICV">
    <vt:lpwstr>8668416F235B4D78B55AB13834646F40</vt:lpwstr>
  </property>
</Properties>
</file>