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仿宋_GB2312" w:hAnsi="仿宋_GB2312" w:eastAsia="仿宋_GB2312" w:cs="仿宋_GB2312"/>
          <w:kern w:val="0"/>
          <w:sz w:val="32"/>
          <w:szCs w:val="32"/>
          <w:lang w:val="en-US" w:eastAsia="zh-CN"/>
          <w14:ligatures w14:val="none"/>
        </w:rPr>
      </w:pPr>
      <w:bookmarkStart w:id="0" w:name="_GoBack"/>
      <w:bookmarkEnd w:id="0"/>
      <w:r>
        <w:rPr>
          <w:rFonts w:hint="eastAsia" w:ascii="仿宋_GB2312" w:hAnsi="仿宋_GB2312" w:eastAsia="仿宋_GB2312" w:cs="仿宋_GB2312"/>
          <w:kern w:val="0"/>
          <w:sz w:val="32"/>
          <w:szCs w:val="32"/>
          <w:lang w:val="en-US" w:eastAsia="zh-CN"/>
          <w14:ligatures w14:val="none"/>
        </w:rPr>
        <w:t>附件</w:t>
      </w:r>
    </w:p>
    <w:p>
      <w:pPr>
        <w:spacing w:line="560" w:lineRule="exact"/>
        <w:jc w:val="center"/>
        <w:rPr>
          <w:rFonts w:hint="eastAsia" w:ascii="方正小标宋简体" w:hAnsi="宋体" w:eastAsia="方正小标宋简体" w:cs="宋体"/>
          <w:kern w:val="0"/>
          <w:sz w:val="44"/>
          <w:szCs w:val="44"/>
          <w14:ligatures w14:val="none"/>
        </w:rPr>
      </w:pPr>
      <w:r>
        <w:rPr>
          <w:rFonts w:hint="eastAsia" w:ascii="方正小标宋简体" w:hAnsi="宋体" w:eastAsia="方正小标宋简体" w:cs="宋体"/>
          <w:kern w:val="0"/>
          <w:sz w:val="44"/>
          <w:szCs w:val="44"/>
          <w:lang w:val="en-US" w:eastAsia="zh-CN"/>
          <w14:ligatures w14:val="none"/>
        </w:rPr>
        <w:t>塔城地区应急管理局</w:t>
      </w:r>
      <w:r>
        <w:rPr>
          <w:rFonts w:hint="eastAsia" w:ascii="方正小标宋简体" w:hAnsi="宋体" w:eastAsia="方正小标宋简体" w:cs="宋体"/>
          <w:kern w:val="0"/>
          <w:sz w:val="44"/>
          <w:szCs w:val="44"/>
          <w14:ligatures w14:val="none"/>
        </w:rPr>
        <w:t>安全标准化达标公示</w:t>
      </w:r>
    </w:p>
    <w:p>
      <w:pPr>
        <w:pStyle w:val="2"/>
        <w:rPr>
          <w:rFonts w:hint="eastAsia"/>
        </w:rPr>
      </w:pPr>
    </w:p>
    <w:p>
      <w:pPr>
        <w:spacing w:line="560" w:lineRule="exact"/>
        <w:jc w:val="center"/>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安全</w:t>
      </w:r>
      <w:r>
        <w:rPr>
          <w:rFonts w:hint="eastAsia" w:ascii="楷体_GB2312" w:hAnsi="楷体_GB2312" w:eastAsia="楷体_GB2312" w:cs="楷体_GB2312"/>
          <w:b/>
          <w:bCs/>
          <w:sz w:val="32"/>
          <w:szCs w:val="32"/>
          <w:lang w:val="en-US" w:eastAsia="zh-CN"/>
        </w:rPr>
        <w:t>生产</w:t>
      </w:r>
      <w:r>
        <w:rPr>
          <w:rFonts w:hint="eastAsia" w:ascii="楷体_GB2312" w:hAnsi="楷体_GB2312" w:eastAsia="楷体_GB2312" w:cs="楷体_GB2312"/>
          <w:b/>
          <w:bCs/>
          <w:sz w:val="32"/>
          <w:szCs w:val="32"/>
        </w:rPr>
        <w:t>标准化达标公示清单</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2024第1批</w:t>
      </w:r>
      <w:r>
        <w:rPr>
          <w:rFonts w:hint="eastAsia" w:ascii="楷体_GB2312" w:hAnsi="楷体_GB2312" w:eastAsia="楷体_GB2312" w:cs="楷体_GB2312"/>
          <w:b/>
          <w:bCs/>
          <w:sz w:val="32"/>
          <w:szCs w:val="32"/>
          <w:lang w:eastAsia="zh-CN"/>
        </w:rPr>
        <w:t>）</w:t>
      </w:r>
    </w:p>
    <w:tbl>
      <w:tblPr>
        <w:tblStyle w:val="10"/>
        <w:tblW w:w="140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9135"/>
        <w:gridCol w:w="1530"/>
        <w:gridCol w:w="2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898" w:type="dxa"/>
            <w:vAlign w:val="center"/>
          </w:tcPr>
          <w:p>
            <w:pPr>
              <w:jc w:val="center"/>
              <w:rPr>
                <w:rFonts w:hint="eastAsia" w:ascii="黑体" w:hAnsi="黑体" w:eastAsia="黑体" w:cs="黑体"/>
                <w:spacing w:val="-17"/>
                <w:sz w:val="36"/>
                <w:szCs w:val="36"/>
                <w:vertAlign w:val="baseline"/>
                <w:lang w:val="en-US" w:eastAsia="zh-CN"/>
              </w:rPr>
            </w:pPr>
            <w:r>
              <w:rPr>
                <w:rFonts w:hint="eastAsia" w:ascii="黑体" w:hAnsi="黑体" w:eastAsia="黑体" w:cs="黑体"/>
                <w:spacing w:val="-17"/>
                <w:sz w:val="36"/>
                <w:szCs w:val="36"/>
                <w:vertAlign w:val="baseline"/>
                <w:lang w:val="en-US" w:eastAsia="zh-CN"/>
              </w:rPr>
              <w:t>序号</w:t>
            </w:r>
          </w:p>
        </w:tc>
        <w:tc>
          <w:tcPr>
            <w:tcW w:w="9135" w:type="dxa"/>
            <w:vAlign w:val="center"/>
          </w:tcPr>
          <w:p>
            <w:pPr>
              <w:jc w:val="center"/>
              <w:rPr>
                <w:rFonts w:hint="eastAsia" w:ascii="黑体" w:hAnsi="黑体" w:eastAsia="黑体" w:cs="黑体"/>
                <w:spacing w:val="-17"/>
                <w:sz w:val="36"/>
                <w:szCs w:val="36"/>
                <w:vertAlign w:val="baseline"/>
                <w:lang w:val="en-US" w:eastAsia="zh-CN"/>
              </w:rPr>
            </w:pPr>
            <w:r>
              <w:rPr>
                <w:rFonts w:hint="eastAsia" w:ascii="黑体" w:hAnsi="黑体" w:eastAsia="黑体" w:cs="黑体"/>
                <w:spacing w:val="-17"/>
                <w:sz w:val="36"/>
                <w:szCs w:val="36"/>
                <w:vertAlign w:val="baseline"/>
                <w:lang w:val="en-US" w:eastAsia="zh-CN"/>
              </w:rPr>
              <w:t>企业名称</w:t>
            </w:r>
          </w:p>
        </w:tc>
        <w:tc>
          <w:tcPr>
            <w:tcW w:w="1530" w:type="dxa"/>
            <w:vAlign w:val="center"/>
          </w:tcPr>
          <w:p>
            <w:pPr>
              <w:jc w:val="center"/>
              <w:rPr>
                <w:rFonts w:hint="eastAsia" w:ascii="黑体" w:hAnsi="黑体" w:eastAsia="黑体" w:cs="黑体"/>
                <w:spacing w:val="-17"/>
                <w:sz w:val="36"/>
                <w:szCs w:val="36"/>
                <w:vertAlign w:val="baseline"/>
                <w:lang w:val="en-US" w:eastAsia="zh-CN"/>
              </w:rPr>
            </w:pPr>
            <w:r>
              <w:rPr>
                <w:rFonts w:hint="eastAsia" w:ascii="黑体" w:hAnsi="黑体" w:eastAsia="黑体" w:cs="黑体"/>
                <w:spacing w:val="-17"/>
                <w:sz w:val="36"/>
                <w:szCs w:val="36"/>
                <w:vertAlign w:val="baseline"/>
                <w:lang w:val="en-US" w:eastAsia="zh-CN"/>
              </w:rPr>
              <w:t>等级标准</w:t>
            </w:r>
          </w:p>
        </w:tc>
        <w:tc>
          <w:tcPr>
            <w:tcW w:w="2488" w:type="dxa"/>
            <w:vAlign w:val="center"/>
          </w:tcPr>
          <w:p>
            <w:pPr>
              <w:jc w:val="center"/>
              <w:rPr>
                <w:rFonts w:hint="eastAsia" w:ascii="黑体" w:hAnsi="黑体" w:eastAsia="黑体" w:cs="黑体"/>
                <w:spacing w:val="-17"/>
                <w:sz w:val="36"/>
                <w:szCs w:val="36"/>
                <w:vertAlign w:val="baseline"/>
                <w:lang w:val="en-US" w:eastAsia="zh-CN"/>
              </w:rPr>
            </w:pPr>
            <w:r>
              <w:rPr>
                <w:rFonts w:hint="eastAsia" w:ascii="黑体" w:hAnsi="黑体" w:eastAsia="黑体" w:cs="黑体"/>
                <w:spacing w:val="-17"/>
                <w:sz w:val="36"/>
                <w:szCs w:val="36"/>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898" w:type="dxa"/>
            <w:vAlign w:val="center"/>
          </w:tcPr>
          <w:p>
            <w:pPr>
              <w:jc w:val="center"/>
              <w:rPr>
                <w:rFonts w:hint="eastAsia"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1</w:t>
            </w:r>
          </w:p>
        </w:tc>
        <w:tc>
          <w:tcPr>
            <w:tcW w:w="9135" w:type="dxa"/>
            <w:vAlign w:val="center"/>
          </w:tcPr>
          <w:p>
            <w:pPr>
              <w:jc w:val="center"/>
              <w:rPr>
                <w:rFonts w:hint="default" w:ascii="黑体" w:hAnsi="黑体" w:eastAsia="黑体" w:cs="黑体"/>
                <w:spacing w:val="-17"/>
                <w:sz w:val="36"/>
                <w:szCs w:val="36"/>
                <w:vertAlign w:val="baseline"/>
                <w:lang w:val="en-US" w:eastAsia="zh-CN"/>
              </w:rPr>
            </w:pPr>
            <w:r>
              <w:rPr>
                <w:rFonts w:hint="eastAsia" w:ascii="仿宋_GB2312" w:hAnsi="仿宋_GB2312" w:eastAsia="仿宋_GB2312" w:cs="仿宋_GB2312"/>
                <w:spacing w:val="-17"/>
                <w:sz w:val="32"/>
                <w:szCs w:val="32"/>
                <w:vertAlign w:val="baseline"/>
                <w:lang w:val="en-US" w:eastAsia="zh-CN"/>
              </w:rPr>
              <w:t>和布克赛尔蒙古自治县宏达盐业有限责任公司(新乌森盐池)</w:t>
            </w:r>
          </w:p>
        </w:tc>
        <w:tc>
          <w:tcPr>
            <w:tcW w:w="1530"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三级</w:t>
            </w:r>
          </w:p>
        </w:tc>
        <w:tc>
          <w:tcPr>
            <w:tcW w:w="2488"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非煤矿山领域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898" w:type="dxa"/>
            <w:vAlign w:val="center"/>
          </w:tcPr>
          <w:p>
            <w:pPr>
              <w:jc w:val="center"/>
              <w:rPr>
                <w:rFonts w:hint="eastAsia"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2</w:t>
            </w:r>
          </w:p>
        </w:tc>
        <w:tc>
          <w:tcPr>
            <w:tcW w:w="9135" w:type="dxa"/>
            <w:vAlign w:val="center"/>
          </w:tcPr>
          <w:p>
            <w:pPr>
              <w:jc w:val="center"/>
              <w:rPr>
                <w:rFonts w:hint="default" w:ascii="黑体" w:hAnsi="黑体" w:eastAsia="黑体" w:cs="黑体"/>
                <w:spacing w:val="-17"/>
                <w:sz w:val="36"/>
                <w:szCs w:val="36"/>
                <w:vertAlign w:val="baseline"/>
                <w:lang w:val="en-US" w:eastAsia="zh-CN"/>
              </w:rPr>
            </w:pPr>
            <w:r>
              <w:rPr>
                <w:rFonts w:hint="eastAsia" w:ascii="仿宋_GB2312" w:hAnsi="仿宋_GB2312" w:eastAsia="仿宋_GB2312" w:cs="仿宋_GB2312"/>
                <w:spacing w:val="-17"/>
                <w:sz w:val="32"/>
                <w:szCs w:val="32"/>
                <w:vertAlign w:val="baseline"/>
                <w:lang w:val="en-US" w:eastAsia="zh-CN"/>
              </w:rPr>
              <w:t>和布克赛尔蒙古自治县宏达盐业有限责任公司(夏孜盖盐池)</w:t>
            </w:r>
          </w:p>
        </w:tc>
        <w:tc>
          <w:tcPr>
            <w:tcW w:w="1530" w:type="dxa"/>
            <w:vAlign w:val="center"/>
          </w:tcPr>
          <w:p>
            <w:pPr>
              <w:jc w:val="center"/>
              <w:rPr>
                <w:rFonts w:hint="eastAsia"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三级</w:t>
            </w:r>
          </w:p>
        </w:tc>
        <w:tc>
          <w:tcPr>
            <w:tcW w:w="2488"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非煤矿山领域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898"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3</w:t>
            </w:r>
          </w:p>
        </w:tc>
        <w:tc>
          <w:tcPr>
            <w:tcW w:w="9135" w:type="dxa"/>
            <w:vAlign w:val="center"/>
          </w:tcPr>
          <w:p>
            <w:pPr>
              <w:jc w:val="center"/>
              <w:rPr>
                <w:rFonts w:hint="eastAsia"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和布克赛尔县沙尔布尔提矿业开发有限公司</w:t>
            </w:r>
          </w:p>
        </w:tc>
        <w:tc>
          <w:tcPr>
            <w:tcW w:w="1530" w:type="dxa"/>
            <w:vAlign w:val="center"/>
          </w:tcPr>
          <w:p>
            <w:pPr>
              <w:jc w:val="center"/>
              <w:rPr>
                <w:rFonts w:hint="eastAsia"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三级</w:t>
            </w:r>
          </w:p>
        </w:tc>
        <w:tc>
          <w:tcPr>
            <w:tcW w:w="2488"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非煤矿山领域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898"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4</w:t>
            </w:r>
          </w:p>
        </w:tc>
        <w:tc>
          <w:tcPr>
            <w:tcW w:w="9135" w:type="dxa"/>
            <w:vAlign w:val="center"/>
          </w:tcPr>
          <w:p>
            <w:pPr>
              <w:jc w:val="center"/>
              <w:rPr>
                <w:rFonts w:hint="eastAsia"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和布克赛尔县石西2号砂石料厂</w:t>
            </w:r>
          </w:p>
        </w:tc>
        <w:tc>
          <w:tcPr>
            <w:tcW w:w="1530" w:type="dxa"/>
            <w:vAlign w:val="center"/>
          </w:tcPr>
          <w:p>
            <w:pPr>
              <w:jc w:val="center"/>
              <w:rPr>
                <w:rFonts w:hint="eastAsia"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三级</w:t>
            </w:r>
          </w:p>
        </w:tc>
        <w:tc>
          <w:tcPr>
            <w:tcW w:w="2488"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非煤矿山领域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898"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5</w:t>
            </w:r>
          </w:p>
        </w:tc>
        <w:tc>
          <w:tcPr>
            <w:tcW w:w="9135"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新疆生产建设兵团石油有限公司第九师分公司城南加油加气站</w:t>
            </w:r>
          </w:p>
        </w:tc>
        <w:tc>
          <w:tcPr>
            <w:tcW w:w="1530"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三级</w:t>
            </w:r>
          </w:p>
        </w:tc>
        <w:tc>
          <w:tcPr>
            <w:tcW w:w="2488"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危化领域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898"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6</w:t>
            </w:r>
          </w:p>
        </w:tc>
        <w:tc>
          <w:tcPr>
            <w:tcW w:w="9135"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新疆生产建设兵团石油有限公司第九师分公司铁厂沟昌源加油加气站</w:t>
            </w:r>
          </w:p>
        </w:tc>
        <w:tc>
          <w:tcPr>
            <w:tcW w:w="1530"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三级</w:t>
            </w:r>
          </w:p>
        </w:tc>
        <w:tc>
          <w:tcPr>
            <w:tcW w:w="2488"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危化领域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898"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7</w:t>
            </w:r>
          </w:p>
        </w:tc>
        <w:tc>
          <w:tcPr>
            <w:tcW w:w="9135"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沙湾市宏大石化有限责任公司</w:t>
            </w:r>
          </w:p>
        </w:tc>
        <w:tc>
          <w:tcPr>
            <w:tcW w:w="1530"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三级</w:t>
            </w:r>
          </w:p>
        </w:tc>
        <w:tc>
          <w:tcPr>
            <w:tcW w:w="2488" w:type="dxa"/>
            <w:vAlign w:val="center"/>
          </w:tcPr>
          <w:p>
            <w:pPr>
              <w:jc w:val="center"/>
              <w:rPr>
                <w:rFonts w:hint="eastAsia"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危化领域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898"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8</w:t>
            </w:r>
          </w:p>
        </w:tc>
        <w:tc>
          <w:tcPr>
            <w:tcW w:w="9135"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塔城市晨光聚源燃气石油有限公司</w:t>
            </w:r>
          </w:p>
        </w:tc>
        <w:tc>
          <w:tcPr>
            <w:tcW w:w="1530"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三级</w:t>
            </w:r>
          </w:p>
        </w:tc>
        <w:tc>
          <w:tcPr>
            <w:tcW w:w="2488"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危化领域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898"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9</w:t>
            </w:r>
          </w:p>
        </w:tc>
        <w:tc>
          <w:tcPr>
            <w:tcW w:w="9135"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额敏县捷通能源有限公司</w:t>
            </w:r>
          </w:p>
        </w:tc>
        <w:tc>
          <w:tcPr>
            <w:tcW w:w="1530"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三级</w:t>
            </w:r>
          </w:p>
        </w:tc>
        <w:tc>
          <w:tcPr>
            <w:tcW w:w="2488"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危化领域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898"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10</w:t>
            </w:r>
          </w:p>
        </w:tc>
        <w:tc>
          <w:tcPr>
            <w:tcW w:w="9135"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裕民县长运能源有限公司加油站</w:t>
            </w:r>
          </w:p>
        </w:tc>
        <w:tc>
          <w:tcPr>
            <w:tcW w:w="1530"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三级</w:t>
            </w:r>
          </w:p>
        </w:tc>
        <w:tc>
          <w:tcPr>
            <w:tcW w:w="2488"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危化领域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898"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11</w:t>
            </w:r>
          </w:p>
        </w:tc>
        <w:tc>
          <w:tcPr>
            <w:tcW w:w="9135"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塔城市中茂能源有限公司加油站</w:t>
            </w:r>
          </w:p>
        </w:tc>
        <w:tc>
          <w:tcPr>
            <w:tcW w:w="1530"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三级</w:t>
            </w:r>
          </w:p>
        </w:tc>
        <w:tc>
          <w:tcPr>
            <w:tcW w:w="2488"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危化领域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898"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12</w:t>
            </w:r>
          </w:p>
        </w:tc>
        <w:tc>
          <w:tcPr>
            <w:tcW w:w="9135"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新疆鸿发环保科技有限公司</w:t>
            </w:r>
          </w:p>
        </w:tc>
        <w:tc>
          <w:tcPr>
            <w:tcW w:w="1530"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三级</w:t>
            </w:r>
          </w:p>
        </w:tc>
        <w:tc>
          <w:tcPr>
            <w:tcW w:w="2488"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危化领域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898"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13</w:t>
            </w:r>
          </w:p>
        </w:tc>
        <w:tc>
          <w:tcPr>
            <w:tcW w:w="9135"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塔城市诚恳油品销售有限公司加油站</w:t>
            </w:r>
          </w:p>
        </w:tc>
        <w:tc>
          <w:tcPr>
            <w:tcW w:w="1530"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三级</w:t>
            </w:r>
          </w:p>
        </w:tc>
        <w:tc>
          <w:tcPr>
            <w:tcW w:w="2488"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危化领域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898"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14</w:t>
            </w:r>
          </w:p>
        </w:tc>
        <w:tc>
          <w:tcPr>
            <w:tcW w:w="9135"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新疆生产建设兵团石油有限公司奎屯北疆分公司红星加油加气站南站</w:t>
            </w:r>
          </w:p>
        </w:tc>
        <w:tc>
          <w:tcPr>
            <w:tcW w:w="1530"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三级</w:t>
            </w:r>
          </w:p>
        </w:tc>
        <w:tc>
          <w:tcPr>
            <w:tcW w:w="2488"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危化领域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898"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15</w:t>
            </w:r>
          </w:p>
        </w:tc>
        <w:tc>
          <w:tcPr>
            <w:tcW w:w="9135" w:type="dxa"/>
            <w:vAlign w:val="center"/>
          </w:tcPr>
          <w:p>
            <w:pPr>
              <w:jc w:val="center"/>
              <w:rPr>
                <w:rFonts w:hint="eastAsia"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新疆生产建设兵团石油有限公司奎屯北疆分公司红星加油加气站北站</w:t>
            </w:r>
          </w:p>
        </w:tc>
        <w:tc>
          <w:tcPr>
            <w:tcW w:w="1530"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三级</w:t>
            </w:r>
          </w:p>
        </w:tc>
        <w:tc>
          <w:tcPr>
            <w:tcW w:w="2488" w:type="dxa"/>
            <w:vAlign w:val="center"/>
          </w:tcPr>
          <w:p>
            <w:pPr>
              <w:jc w:val="center"/>
              <w:rPr>
                <w:rFonts w:hint="eastAsia"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危化领域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898"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16</w:t>
            </w:r>
          </w:p>
        </w:tc>
        <w:tc>
          <w:tcPr>
            <w:tcW w:w="9135"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和布克赛尔蒙古自治县宏达盐业有限责任公司（盐产品生产车间）</w:t>
            </w:r>
          </w:p>
        </w:tc>
        <w:tc>
          <w:tcPr>
            <w:tcW w:w="1530"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三级</w:t>
            </w:r>
          </w:p>
        </w:tc>
        <w:tc>
          <w:tcPr>
            <w:tcW w:w="2488"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工贸领域</w:t>
            </w:r>
          </w:p>
        </w:tc>
      </w:tr>
    </w:tbl>
    <w:p>
      <w:pPr>
        <w:rPr>
          <w:rFonts w:ascii="仿宋_GB2312" w:hAnsi="仿宋_GB2312" w:eastAsia="仿宋_GB2312" w:cs="仿宋_GB2312"/>
          <w:spacing w:val="-17"/>
          <w:sz w:val="24"/>
        </w:rPr>
      </w:pPr>
    </w:p>
    <w:sectPr>
      <w:pgSz w:w="16783" w:h="11850" w:orient="landscape"/>
      <w:pgMar w:top="2098" w:right="1474" w:bottom="198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MWQ4NzU3Y2E5ZGM1M2I0NzUwYzU2MDQ1MzM5ZWUifQ=="/>
  </w:docVars>
  <w:rsids>
    <w:rsidRoot w:val="004A100D"/>
    <w:rsid w:val="00036D3E"/>
    <w:rsid w:val="000A6B24"/>
    <w:rsid w:val="000C3DE3"/>
    <w:rsid w:val="00125DEC"/>
    <w:rsid w:val="002336B5"/>
    <w:rsid w:val="002B2D77"/>
    <w:rsid w:val="002F6F08"/>
    <w:rsid w:val="00322149"/>
    <w:rsid w:val="0032395B"/>
    <w:rsid w:val="003B085C"/>
    <w:rsid w:val="003E289A"/>
    <w:rsid w:val="004A100D"/>
    <w:rsid w:val="004A53E4"/>
    <w:rsid w:val="004A60EE"/>
    <w:rsid w:val="00536E81"/>
    <w:rsid w:val="00562D32"/>
    <w:rsid w:val="00585D63"/>
    <w:rsid w:val="005D3C62"/>
    <w:rsid w:val="006905A0"/>
    <w:rsid w:val="00700CA3"/>
    <w:rsid w:val="00706F47"/>
    <w:rsid w:val="007332A6"/>
    <w:rsid w:val="00762845"/>
    <w:rsid w:val="00784339"/>
    <w:rsid w:val="00934A5B"/>
    <w:rsid w:val="00AE6932"/>
    <w:rsid w:val="00BD540C"/>
    <w:rsid w:val="00BE0A58"/>
    <w:rsid w:val="00BE3648"/>
    <w:rsid w:val="00C96EF2"/>
    <w:rsid w:val="00CA3863"/>
    <w:rsid w:val="00CC1122"/>
    <w:rsid w:val="00CD536E"/>
    <w:rsid w:val="00D31B12"/>
    <w:rsid w:val="00D756E7"/>
    <w:rsid w:val="00DC158E"/>
    <w:rsid w:val="00ED7372"/>
    <w:rsid w:val="00F66A6A"/>
    <w:rsid w:val="00FD3AD5"/>
    <w:rsid w:val="00FE45D7"/>
    <w:rsid w:val="014F25FB"/>
    <w:rsid w:val="01E41711"/>
    <w:rsid w:val="044B2AA2"/>
    <w:rsid w:val="057228FE"/>
    <w:rsid w:val="06071298"/>
    <w:rsid w:val="0AEA57DE"/>
    <w:rsid w:val="104824D1"/>
    <w:rsid w:val="12D977EC"/>
    <w:rsid w:val="1C6C7560"/>
    <w:rsid w:val="1EF3380E"/>
    <w:rsid w:val="20211A2D"/>
    <w:rsid w:val="26A27FC4"/>
    <w:rsid w:val="27067B0F"/>
    <w:rsid w:val="27976201"/>
    <w:rsid w:val="29A20B11"/>
    <w:rsid w:val="2D3F409F"/>
    <w:rsid w:val="34076AE1"/>
    <w:rsid w:val="34504361"/>
    <w:rsid w:val="34E268A9"/>
    <w:rsid w:val="3933601D"/>
    <w:rsid w:val="3C701BED"/>
    <w:rsid w:val="3EA31E86"/>
    <w:rsid w:val="41037F52"/>
    <w:rsid w:val="436F08D1"/>
    <w:rsid w:val="4858744F"/>
    <w:rsid w:val="4AAC0569"/>
    <w:rsid w:val="4DC82B2E"/>
    <w:rsid w:val="4ED70169"/>
    <w:rsid w:val="50A96830"/>
    <w:rsid w:val="54262040"/>
    <w:rsid w:val="5B9A379E"/>
    <w:rsid w:val="5EEB1452"/>
    <w:rsid w:val="62D56C68"/>
    <w:rsid w:val="64C96E1A"/>
    <w:rsid w:val="64EB59E1"/>
    <w:rsid w:val="66942EF0"/>
    <w:rsid w:val="67305EDA"/>
    <w:rsid w:val="6C173E79"/>
    <w:rsid w:val="6C956089"/>
    <w:rsid w:val="70FA6A16"/>
    <w:rsid w:val="7414130A"/>
    <w:rsid w:val="74A4561C"/>
    <w:rsid w:val="74AC3247"/>
    <w:rsid w:val="789864A3"/>
    <w:rsid w:val="78FA00DA"/>
    <w:rsid w:val="7B191EC6"/>
    <w:rsid w:val="7CE82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3"/>
    <w:unhideWhenUsed/>
    <w:qFormat/>
    <w:uiPriority w:val="0"/>
    <w:pPr>
      <w:ind w:firstLine="420" w:firstLineChars="200"/>
    </w:pPr>
  </w:style>
  <w:style w:type="paragraph" w:styleId="3">
    <w:name w:val="Body Text Indent"/>
    <w:basedOn w:val="1"/>
    <w:next w:val="4"/>
    <w:semiHidden/>
    <w:unhideWhenUsed/>
    <w:qFormat/>
    <w:uiPriority w:val="99"/>
    <w:pPr>
      <w:spacing w:after="120"/>
      <w:ind w:left="420" w:leftChars="200"/>
    </w:pPr>
  </w:style>
  <w:style w:type="paragraph" w:styleId="4">
    <w:name w:val="Normal (Web)"/>
    <w:basedOn w:val="1"/>
    <w:next w:val="1"/>
    <w:uiPriority w:val="0"/>
    <w:pPr>
      <w:spacing w:before="0" w:beforeAutospacing="1" w:after="0" w:afterAutospacing="1"/>
      <w:ind w:left="0" w:right="0"/>
      <w:jc w:val="left"/>
    </w:pPr>
    <w:rPr>
      <w:kern w:val="0"/>
      <w:sz w:val="24"/>
      <w:lang w:val="en-US" w:eastAsia="zh-CN" w:bidi="ar"/>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HTML Preformatted"/>
    <w:basedOn w:val="1"/>
    <w:link w:val="12"/>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HTML 预设格式 字符"/>
    <w:basedOn w:val="11"/>
    <w:link w:val="8"/>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489</Words>
  <Characters>521</Characters>
  <Lines>13</Lines>
  <Paragraphs>3</Paragraphs>
  <TotalTime>0</TotalTime>
  <ScaleCrop>false</ScaleCrop>
  <LinksUpToDate>false</LinksUpToDate>
  <CharactersWithSpaces>521</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11599</dc:creator>
  <cp:lastModifiedBy>Administrator</cp:lastModifiedBy>
  <cp:lastPrinted>2024-06-12T03:44:00Z</cp:lastPrinted>
  <dcterms:modified xsi:type="dcterms:W3CDTF">2024-12-04T11:04:52Z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1CDC2C1A6AD0471FBD4329DC8214D284</vt:lpwstr>
  </property>
</Properties>
</file>