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0" w:firstLineChars="0"/>
        <w:jc w:val="center"/>
        <w:rPr>
          <w:rFonts w:cs="Times New Roman"/>
          <w:b/>
          <w:sz w:val="44"/>
          <w:szCs w:val="44"/>
        </w:rPr>
      </w:pPr>
      <w:bookmarkStart w:id="0" w:name="_Hlk184816072"/>
      <w:bookmarkEnd w:id="0"/>
      <w:bookmarkStart w:id="1" w:name="_Toc7345929"/>
      <w:bookmarkStart w:id="2" w:name="_Toc7342397"/>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hint="eastAsia" w:cs="Times New Roman"/>
          <w:b/>
          <w:sz w:val="44"/>
          <w:szCs w:val="44"/>
        </w:rPr>
      </w:pPr>
      <w:r>
        <w:rPr>
          <w:rFonts w:hint="eastAsia" w:cs="Times New Roman"/>
          <w:b/>
          <w:sz w:val="44"/>
          <w:szCs w:val="44"/>
        </w:rPr>
        <w:t>塔城市恰夏镇珠茹社日村股份经济合作社滴灌带生产加工厂建设项目</w:t>
      </w:r>
    </w:p>
    <w:p>
      <w:pPr>
        <w:pStyle w:val="7"/>
        <w:ind w:firstLine="0" w:firstLineChars="0"/>
        <w:jc w:val="center"/>
        <w:rPr>
          <w:rFonts w:hint="eastAsia" w:cs="Times New Roman"/>
          <w:b/>
          <w:sz w:val="44"/>
          <w:szCs w:val="44"/>
        </w:rPr>
      </w:pPr>
      <w:r>
        <w:rPr>
          <w:rFonts w:hint="eastAsia" w:cs="Times New Roman"/>
          <w:b/>
          <w:sz w:val="44"/>
          <w:szCs w:val="44"/>
        </w:rPr>
        <w:t>环境影响报告书</w:t>
      </w:r>
    </w:p>
    <w:p>
      <w:pPr>
        <w:pStyle w:val="7"/>
        <w:ind w:firstLine="0" w:firstLineChars="0"/>
        <w:jc w:val="center"/>
        <w:rPr>
          <w:rFonts w:hint="eastAsia" w:cs="Times New Roman"/>
          <w:b/>
          <w:sz w:val="44"/>
          <w:szCs w:val="44"/>
        </w:rPr>
      </w:pPr>
    </w:p>
    <w:p>
      <w:pPr>
        <w:pStyle w:val="7"/>
        <w:ind w:firstLine="0" w:firstLineChars="0"/>
        <w:jc w:val="center"/>
        <w:rPr>
          <w:rFonts w:hint="eastAsia" w:cs="Times New Roman"/>
          <w:b/>
          <w:sz w:val="44"/>
          <w:szCs w:val="44"/>
        </w:rPr>
      </w:pPr>
      <w:bookmarkStart w:id="126" w:name="_GoBack"/>
      <w:bookmarkEnd w:id="126"/>
    </w:p>
    <w:p>
      <w:pPr>
        <w:pStyle w:val="7"/>
        <w:ind w:firstLine="0" w:firstLineChars="0"/>
        <w:jc w:val="center"/>
        <w:rPr>
          <w:rFonts w:hint="eastAsia" w:cs="Times New Roman"/>
          <w:b/>
          <w:sz w:val="44"/>
          <w:szCs w:val="44"/>
        </w:rPr>
      </w:pPr>
    </w:p>
    <w:p>
      <w:pPr>
        <w:pStyle w:val="7"/>
        <w:ind w:firstLine="0" w:firstLineChars="0"/>
        <w:jc w:val="center"/>
        <w:rPr>
          <w:rFonts w:hint="eastAsia" w:cs="Times New Roman"/>
          <w:b/>
          <w:sz w:val="44"/>
          <w:szCs w:val="44"/>
        </w:rPr>
      </w:pPr>
    </w:p>
    <w:p>
      <w:pPr>
        <w:pStyle w:val="7"/>
        <w:ind w:firstLine="0" w:firstLineChars="0"/>
        <w:jc w:val="center"/>
        <w:rPr>
          <w:rFonts w:hint="eastAsia" w:cs="Times New Roman"/>
          <w:b/>
          <w:sz w:val="44"/>
          <w:szCs w:val="44"/>
        </w:rPr>
      </w:pPr>
    </w:p>
    <w:p>
      <w:pPr>
        <w:pStyle w:val="7"/>
        <w:ind w:firstLine="0" w:firstLineChars="0"/>
        <w:jc w:val="center"/>
        <w:rPr>
          <w:rFonts w:hint="eastAsia" w:cs="Times New Roman"/>
          <w:b/>
          <w:sz w:val="44"/>
          <w:szCs w:val="44"/>
        </w:rPr>
      </w:pPr>
    </w:p>
    <w:p>
      <w:pPr>
        <w:pStyle w:val="7"/>
        <w:ind w:firstLine="0" w:firstLineChars="0"/>
        <w:jc w:val="center"/>
        <w:rPr>
          <w:rFonts w:hint="eastAsia" w:cs="Times New Roman"/>
          <w:b/>
          <w:sz w:val="44"/>
          <w:szCs w:val="44"/>
        </w:rPr>
      </w:pPr>
    </w:p>
    <w:p>
      <w:pPr>
        <w:pStyle w:val="7"/>
        <w:ind w:firstLine="0" w:firstLineChars="0"/>
        <w:jc w:val="center"/>
        <w:rPr>
          <w:rFonts w:hint="default" w:eastAsia="宋体" w:cs="Times New Roman"/>
          <w:b/>
          <w:sz w:val="44"/>
          <w:szCs w:val="44"/>
          <w:lang w:val="en-US" w:eastAsia="zh-CN"/>
        </w:rPr>
      </w:pPr>
      <w:r>
        <w:rPr>
          <w:rFonts w:hint="eastAsia" w:cs="Times New Roman"/>
          <w:b/>
          <w:sz w:val="44"/>
          <w:szCs w:val="44"/>
          <w:lang w:val="en-US" w:eastAsia="zh-CN"/>
        </w:rPr>
        <w:t>2025.03</w:t>
      </w: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b/>
          <w:sz w:val="44"/>
          <w:szCs w:val="44"/>
        </w:rPr>
      </w:pPr>
    </w:p>
    <w:p>
      <w:pPr>
        <w:pStyle w:val="7"/>
        <w:ind w:firstLine="0" w:firstLineChars="0"/>
        <w:jc w:val="center"/>
        <w:rPr>
          <w:rFonts w:cs="Times New Roman"/>
        </w:rPr>
      </w:pPr>
      <w:r>
        <w:rPr>
          <w:rFonts w:cs="Times New Roman"/>
          <w:b/>
          <w:sz w:val="44"/>
          <w:szCs w:val="44"/>
        </w:rPr>
        <w:t>目 录</w:t>
      </w:r>
      <w:bookmarkEnd w:id="1"/>
      <w:bookmarkEnd w:id="2"/>
    </w:p>
    <w:p>
      <w:pPr>
        <w:pStyle w:val="18"/>
        <w:tabs>
          <w:tab w:val="right" w:leader="dot" w:pos="8312"/>
        </w:tabs>
      </w:pPr>
      <w:r>
        <w:rPr>
          <w:rFonts w:ascii="Times New Roman" w:hAnsi="Times New Roman"/>
          <w:b/>
          <w:sz w:val="24"/>
          <w:szCs w:val="24"/>
        </w:rPr>
        <w:fldChar w:fldCharType="begin"/>
      </w:r>
      <w:r>
        <w:rPr>
          <w:rFonts w:ascii="Times New Roman" w:hAnsi="Times New Roman"/>
          <w:sz w:val="24"/>
          <w:szCs w:val="24"/>
        </w:rPr>
        <w:instrText xml:space="preserve"> TOC \o "1-2" \u </w:instrText>
      </w:r>
      <w:r>
        <w:rPr>
          <w:rFonts w:ascii="Times New Roman" w:hAnsi="Times New Roman"/>
          <w:b/>
          <w:sz w:val="24"/>
          <w:szCs w:val="24"/>
        </w:rPr>
        <w:fldChar w:fldCharType="separate"/>
      </w:r>
      <w:r>
        <w:rPr>
          <w:rFonts w:hint="eastAsia" w:eastAsia="宋体"/>
        </w:rPr>
        <w:t xml:space="preserve">1 </w:t>
      </w:r>
      <w:r>
        <w:rPr>
          <w:rFonts w:eastAsia="宋体"/>
        </w:rPr>
        <w:t>概述</w:t>
      </w:r>
      <w:r>
        <w:tab/>
      </w:r>
      <w:r>
        <w:fldChar w:fldCharType="begin"/>
      </w:r>
      <w:r>
        <w:instrText xml:space="preserve"> PAGEREF _Toc32348 \h </w:instrText>
      </w:r>
      <w:r>
        <w:fldChar w:fldCharType="separate"/>
      </w:r>
      <w:r>
        <w:t>- 1 -</w:t>
      </w:r>
      <w:r>
        <w:fldChar w:fldCharType="end"/>
      </w:r>
    </w:p>
    <w:p>
      <w:pPr>
        <w:pStyle w:val="19"/>
        <w:tabs>
          <w:tab w:val="right" w:leader="dot" w:pos="8312"/>
        </w:tabs>
      </w:pPr>
      <w:r>
        <w:rPr>
          <w:rFonts w:hint="eastAsia" w:eastAsia="宋体"/>
        </w:rPr>
        <w:t xml:space="preserve">1.1 </w:t>
      </w:r>
      <w:r>
        <w:rPr>
          <w:rFonts w:eastAsia="宋体"/>
        </w:rPr>
        <w:t>项目背景</w:t>
      </w:r>
      <w:r>
        <w:tab/>
      </w:r>
      <w:r>
        <w:fldChar w:fldCharType="begin"/>
      </w:r>
      <w:r>
        <w:instrText xml:space="preserve"> PAGEREF _Toc31235 \h </w:instrText>
      </w:r>
      <w:r>
        <w:fldChar w:fldCharType="separate"/>
      </w:r>
      <w:r>
        <w:t>- 1 -</w:t>
      </w:r>
      <w:r>
        <w:fldChar w:fldCharType="end"/>
      </w:r>
    </w:p>
    <w:p>
      <w:pPr>
        <w:pStyle w:val="19"/>
        <w:tabs>
          <w:tab w:val="right" w:leader="dot" w:pos="8312"/>
        </w:tabs>
      </w:pPr>
      <w:r>
        <w:rPr>
          <w:rFonts w:hint="eastAsia" w:eastAsia="宋体"/>
        </w:rPr>
        <w:t xml:space="preserve">1.2 </w:t>
      </w:r>
      <w:r>
        <w:rPr>
          <w:rFonts w:eastAsia="宋体"/>
        </w:rPr>
        <w:t>建设项目</w:t>
      </w:r>
      <w:r>
        <w:rPr>
          <w:rFonts w:hint="eastAsia" w:eastAsia="宋体"/>
        </w:rPr>
        <w:t>的</w:t>
      </w:r>
      <w:r>
        <w:rPr>
          <w:rFonts w:eastAsia="宋体"/>
        </w:rPr>
        <w:t>特点</w:t>
      </w:r>
      <w:r>
        <w:tab/>
      </w:r>
      <w:r>
        <w:fldChar w:fldCharType="begin"/>
      </w:r>
      <w:r>
        <w:instrText xml:space="preserve"> PAGEREF _Toc32682 \h </w:instrText>
      </w:r>
      <w:r>
        <w:fldChar w:fldCharType="separate"/>
      </w:r>
      <w:r>
        <w:t>- 1 -</w:t>
      </w:r>
      <w:r>
        <w:fldChar w:fldCharType="end"/>
      </w:r>
    </w:p>
    <w:p>
      <w:pPr>
        <w:pStyle w:val="19"/>
        <w:tabs>
          <w:tab w:val="right" w:leader="dot" w:pos="8312"/>
        </w:tabs>
      </w:pPr>
      <w:r>
        <w:rPr>
          <w:rFonts w:hint="eastAsia" w:eastAsia="宋体"/>
          <w:lang w:val="zh-CN"/>
        </w:rPr>
        <w:t xml:space="preserve">1.3 </w:t>
      </w:r>
      <w:r>
        <w:rPr>
          <w:rFonts w:eastAsia="宋体"/>
          <w:lang w:val="zh-CN"/>
        </w:rPr>
        <w:t>环境影响评价工作过程</w:t>
      </w:r>
      <w:r>
        <w:tab/>
      </w:r>
      <w:r>
        <w:fldChar w:fldCharType="begin"/>
      </w:r>
      <w:r>
        <w:instrText xml:space="preserve"> PAGEREF _Toc30551 \h </w:instrText>
      </w:r>
      <w:r>
        <w:fldChar w:fldCharType="separate"/>
      </w:r>
      <w:r>
        <w:t>- 2 -</w:t>
      </w:r>
      <w:r>
        <w:fldChar w:fldCharType="end"/>
      </w:r>
    </w:p>
    <w:p>
      <w:pPr>
        <w:pStyle w:val="19"/>
        <w:tabs>
          <w:tab w:val="right" w:leader="dot" w:pos="8312"/>
        </w:tabs>
      </w:pPr>
      <w:r>
        <w:rPr>
          <w:rFonts w:hint="eastAsia" w:eastAsia="宋体"/>
        </w:rPr>
        <w:t xml:space="preserve">1.4 </w:t>
      </w:r>
      <w:r>
        <w:rPr>
          <w:rFonts w:eastAsia="宋体"/>
        </w:rPr>
        <w:t>分析判定相关情况</w:t>
      </w:r>
      <w:r>
        <w:tab/>
      </w:r>
      <w:r>
        <w:fldChar w:fldCharType="begin"/>
      </w:r>
      <w:r>
        <w:instrText xml:space="preserve"> PAGEREF _Toc24344 \h </w:instrText>
      </w:r>
      <w:r>
        <w:fldChar w:fldCharType="separate"/>
      </w:r>
      <w:r>
        <w:t>- 3 -</w:t>
      </w:r>
      <w:r>
        <w:fldChar w:fldCharType="end"/>
      </w:r>
    </w:p>
    <w:p>
      <w:pPr>
        <w:pStyle w:val="19"/>
        <w:tabs>
          <w:tab w:val="right" w:leader="dot" w:pos="8312"/>
        </w:tabs>
      </w:pPr>
      <w:r>
        <w:rPr>
          <w:rFonts w:hint="eastAsia" w:eastAsia="宋体"/>
        </w:rPr>
        <w:t xml:space="preserve">1.5 </w:t>
      </w:r>
      <w:r>
        <w:rPr>
          <w:rFonts w:eastAsia="宋体"/>
        </w:rPr>
        <w:t>关注的主要环境影响及环境问题</w:t>
      </w:r>
      <w:r>
        <w:tab/>
      </w:r>
      <w:r>
        <w:fldChar w:fldCharType="begin"/>
      </w:r>
      <w:r>
        <w:instrText xml:space="preserve"> PAGEREF _Toc16747 \h </w:instrText>
      </w:r>
      <w:r>
        <w:fldChar w:fldCharType="separate"/>
      </w:r>
      <w:r>
        <w:t>- 4 -</w:t>
      </w:r>
      <w:r>
        <w:fldChar w:fldCharType="end"/>
      </w:r>
    </w:p>
    <w:p>
      <w:pPr>
        <w:pStyle w:val="19"/>
        <w:tabs>
          <w:tab w:val="right" w:leader="dot" w:pos="8312"/>
        </w:tabs>
      </w:pPr>
      <w:r>
        <w:rPr>
          <w:rFonts w:hint="eastAsia" w:eastAsia="宋体"/>
        </w:rPr>
        <w:t xml:space="preserve">1.6 </w:t>
      </w:r>
      <w:r>
        <w:rPr>
          <w:rFonts w:eastAsia="宋体"/>
        </w:rPr>
        <w:t>环境影响报告书的主要结论</w:t>
      </w:r>
      <w:r>
        <w:tab/>
      </w:r>
      <w:r>
        <w:fldChar w:fldCharType="begin"/>
      </w:r>
      <w:r>
        <w:instrText xml:space="preserve"> PAGEREF _Toc31713 \h </w:instrText>
      </w:r>
      <w:r>
        <w:fldChar w:fldCharType="separate"/>
      </w:r>
      <w:r>
        <w:t>- 4 -</w:t>
      </w:r>
      <w:r>
        <w:fldChar w:fldCharType="end"/>
      </w:r>
    </w:p>
    <w:p>
      <w:pPr>
        <w:pStyle w:val="18"/>
        <w:tabs>
          <w:tab w:val="right" w:leader="dot" w:pos="8312"/>
        </w:tabs>
      </w:pPr>
      <w:r>
        <w:rPr>
          <w:rFonts w:hint="eastAsia" w:eastAsia="宋体"/>
        </w:rPr>
        <w:t xml:space="preserve">2 </w:t>
      </w:r>
      <w:r>
        <w:rPr>
          <w:rFonts w:eastAsia="宋体"/>
        </w:rPr>
        <w:t>总则</w:t>
      </w:r>
      <w:r>
        <w:tab/>
      </w:r>
      <w:r>
        <w:fldChar w:fldCharType="begin"/>
      </w:r>
      <w:r>
        <w:instrText xml:space="preserve"> PAGEREF _Toc23971 \h </w:instrText>
      </w:r>
      <w:r>
        <w:fldChar w:fldCharType="separate"/>
      </w:r>
      <w:r>
        <w:t>- 6 -</w:t>
      </w:r>
      <w:r>
        <w:fldChar w:fldCharType="end"/>
      </w:r>
    </w:p>
    <w:p>
      <w:pPr>
        <w:pStyle w:val="19"/>
        <w:tabs>
          <w:tab w:val="right" w:leader="dot" w:pos="8312"/>
        </w:tabs>
      </w:pPr>
      <w:r>
        <w:rPr>
          <w:rFonts w:hint="eastAsia" w:eastAsia="宋体"/>
          <w:lang w:val="zh-CN"/>
        </w:rPr>
        <w:t>2.1 编制依据</w:t>
      </w:r>
      <w:r>
        <w:tab/>
      </w:r>
      <w:r>
        <w:fldChar w:fldCharType="begin"/>
      </w:r>
      <w:r>
        <w:instrText xml:space="preserve"> PAGEREF _Toc9374 \h </w:instrText>
      </w:r>
      <w:r>
        <w:fldChar w:fldCharType="separate"/>
      </w:r>
      <w:r>
        <w:t>- 6 -</w:t>
      </w:r>
      <w:r>
        <w:fldChar w:fldCharType="end"/>
      </w:r>
    </w:p>
    <w:p>
      <w:pPr>
        <w:pStyle w:val="19"/>
        <w:tabs>
          <w:tab w:val="right" w:leader="dot" w:pos="8312"/>
        </w:tabs>
      </w:pPr>
      <w:r>
        <w:rPr>
          <w:rFonts w:hint="eastAsia" w:eastAsia="宋体"/>
          <w:lang w:val="zh-CN"/>
        </w:rPr>
        <w:t xml:space="preserve">2.2 </w:t>
      </w:r>
      <w:r>
        <w:rPr>
          <w:rFonts w:eastAsia="宋体"/>
          <w:lang w:val="zh-CN"/>
        </w:rPr>
        <w:t>评价目的与原则</w:t>
      </w:r>
      <w:r>
        <w:tab/>
      </w:r>
      <w:r>
        <w:fldChar w:fldCharType="begin"/>
      </w:r>
      <w:r>
        <w:instrText xml:space="preserve"> PAGEREF _Toc27603 \h </w:instrText>
      </w:r>
      <w:r>
        <w:fldChar w:fldCharType="separate"/>
      </w:r>
      <w:r>
        <w:t>- 7 -</w:t>
      </w:r>
      <w:r>
        <w:fldChar w:fldCharType="end"/>
      </w:r>
    </w:p>
    <w:p>
      <w:pPr>
        <w:pStyle w:val="19"/>
        <w:tabs>
          <w:tab w:val="right" w:leader="dot" w:pos="8312"/>
        </w:tabs>
      </w:pPr>
      <w:r>
        <w:rPr>
          <w:rFonts w:hint="eastAsia" w:eastAsia="宋体"/>
          <w:lang w:val="zh-CN"/>
        </w:rPr>
        <w:t xml:space="preserve">2.3 </w:t>
      </w:r>
      <w:r>
        <w:rPr>
          <w:rFonts w:eastAsia="宋体"/>
          <w:lang w:val="zh-CN"/>
        </w:rPr>
        <w:t>环境影响因素识别及评价因子筛选</w:t>
      </w:r>
      <w:r>
        <w:tab/>
      </w:r>
      <w:r>
        <w:fldChar w:fldCharType="begin"/>
      </w:r>
      <w:r>
        <w:instrText xml:space="preserve"> PAGEREF _Toc24307 \h </w:instrText>
      </w:r>
      <w:r>
        <w:fldChar w:fldCharType="separate"/>
      </w:r>
      <w:r>
        <w:t>- 8 -</w:t>
      </w:r>
      <w:r>
        <w:fldChar w:fldCharType="end"/>
      </w:r>
    </w:p>
    <w:p>
      <w:pPr>
        <w:pStyle w:val="19"/>
        <w:tabs>
          <w:tab w:val="right" w:leader="dot" w:pos="8312"/>
        </w:tabs>
      </w:pPr>
      <w:r>
        <w:rPr>
          <w:rFonts w:hint="eastAsia" w:eastAsia="宋体"/>
          <w:lang w:val="zh-CN"/>
        </w:rPr>
        <w:t xml:space="preserve">2.4 </w:t>
      </w:r>
      <w:r>
        <w:rPr>
          <w:rFonts w:eastAsia="宋体"/>
          <w:lang w:val="zh-CN"/>
        </w:rPr>
        <w:t>环境功能区划及评价标准</w:t>
      </w:r>
      <w:r>
        <w:tab/>
      </w:r>
      <w:r>
        <w:fldChar w:fldCharType="begin"/>
      </w:r>
      <w:r>
        <w:instrText xml:space="preserve"> PAGEREF _Toc5061 \h </w:instrText>
      </w:r>
      <w:r>
        <w:fldChar w:fldCharType="separate"/>
      </w:r>
      <w:r>
        <w:t>- 9 -</w:t>
      </w:r>
      <w:r>
        <w:fldChar w:fldCharType="end"/>
      </w:r>
    </w:p>
    <w:p>
      <w:pPr>
        <w:pStyle w:val="19"/>
        <w:tabs>
          <w:tab w:val="right" w:leader="dot" w:pos="8312"/>
        </w:tabs>
      </w:pPr>
      <w:r>
        <w:rPr>
          <w:rFonts w:hint="eastAsia" w:eastAsia="宋体"/>
          <w:lang w:val="zh-CN"/>
        </w:rPr>
        <w:t xml:space="preserve">2.5 </w:t>
      </w:r>
      <w:r>
        <w:rPr>
          <w:rFonts w:eastAsia="宋体"/>
          <w:lang w:val="zh-CN"/>
        </w:rPr>
        <w:t>评价等级与评价范围</w:t>
      </w:r>
      <w:r>
        <w:tab/>
      </w:r>
      <w:r>
        <w:fldChar w:fldCharType="begin"/>
      </w:r>
      <w:r>
        <w:instrText xml:space="preserve"> PAGEREF _Toc20843 \h </w:instrText>
      </w:r>
      <w:r>
        <w:fldChar w:fldCharType="separate"/>
      </w:r>
      <w:r>
        <w:t>- 14 -</w:t>
      </w:r>
      <w:r>
        <w:fldChar w:fldCharType="end"/>
      </w:r>
    </w:p>
    <w:p>
      <w:pPr>
        <w:pStyle w:val="19"/>
        <w:tabs>
          <w:tab w:val="right" w:leader="dot" w:pos="8312"/>
        </w:tabs>
      </w:pPr>
      <w:r>
        <w:rPr>
          <w:rFonts w:hint="eastAsia" w:eastAsia="宋体"/>
        </w:rPr>
        <w:t xml:space="preserve">2.6 </w:t>
      </w:r>
      <w:r>
        <w:rPr>
          <w:rFonts w:eastAsia="宋体"/>
        </w:rPr>
        <w:t>主要环境保护目标</w:t>
      </w:r>
      <w:r>
        <w:tab/>
      </w:r>
      <w:r>
        <w:fldChar w:fldCharType="begin"/>
      </w:r>
      <w:r>
        <w:instrText xml:space="preserve"> PAGEREF _Toc12314 \h </w:instrText>
      </w:r>
      <w:r>
        <w:fldChar w:fldCharType="separate"/>
      </w:r>
      <w:r>
        <w:t>- 21 -</w:t>
      </w:r>
      <w:r>
        <w:fldChar w:fldCharType="end"/>
      </w:r>
    </w:p>
    <w:p>
      <w:pPr>
        <w:pStyle w:val="18"/>
        <w:tabs>
          <w:tab w:val="right" w:leader="dot" w:pos="8312"/>
        </w:tabs>
      </w:pPr>
      <w:r>
        <w:rPr>
          <w:rFonts w:hint="eastAsia" w:eastAsia="宋体"/>
        </w:rPr>
        <w:t xml:space="preserve">3 </w:t>
      </w:r>
      <w:r>
        <w:rPr>
          <w:rFonts w:eastAsia="宋体"/>
        </w:rPr>
        <w:t>建设项目工程分析</w:t>
      </w:r>
      <w:r>
        <w:tab/>
      </w:r>
      <w:r>
        <w:fldChar w:fldCharType="begin"/>
      </w:r>
      <w:r>
        <w:instrText xml:space="preserve"> PAGEREF _Toc2392 \h </w:instrText>
      </w:r>
      <w:r>
        <w:fldChar w:fldCharType="separate"/>
      </w:r>
      <w:r>
        <w:t>- 22 -</w:t>
      </w:r>
      <w:r>
        <w:fldChar w:fldCharType="end"/>
      </w:r>
    </w:p>
    <w:p>
      <w:pPr>
        <w:pStyle w:val="19"/>
        <w:tabs>
          <w:tab w:val="right" w:leader="dot" w:pos="8312"/>
        </w:tabs>
      </w:pPr>
      <w:r>
        <w:rPr>
          <w:rFonts w:hint="eastAsia" w:eastAsia="宋体"/>
        </w:rPr>
        <w:t xml:space="preserve">3.1 </w:t>
      </w:r>
      <w:r>
        <w:rPr>
          <w:rFonts w:eastAsia="宋体"/>
        </w:rPr>
        <w:t>工程概况</w:t>
      </w:r>
      <w:r>
        <w:tab/>
      </w:r>
      <w:r>
        <w:fldChar w:fldCharType="begin"/>
      </w:r>
      <w:r>
        <w:instrText xml:space="preserve"> PAGEREF _Toc10537 \h </w:instrText>
      </w:r>
      <w:r>
        <w:fldChar w:fldCharType="separate"/>
      </w:r>
      <w:r>
        <w:t>- 22 -</w:t>
      </w:r>
      <w:r>
        <w:fldChar w:fldCharType="end"/>
      </w:r>
    </w:p>
    <w:p>
      <w:pPr>
        <w:pStyle w:val="19"/>
        <w:tabs>
          <w:tab w:val="right" w:leader="dot" w:pos="8312"/>
        </w:tabs>
      </w:pPr>
      <w:r>
        <w:rPr>
          <w:rFonts w:hint="eastAsia" w:eastAsia="宋体"/>
        </w:rPr>
        <w:t>3.2 污染影响因素分析</w:t>
      </w:r>
      <w:r>
        <w:tab/>
      </w:r>
      <w:r>
        <w:fldChar w:fldCharType="begin"/>
      </w:r>
      <w:r>
        <w:instrText xml:space="preserve"> PAGEREF _Toc25795 \h </w:instrText>
      </w:r>
      <w:r>
        <w:fldChar w:fldCharType="separate"/>
      </w:r>
      <w:r>
        <w:t>- 28 -</w:t>
      </w:r>
      <w:r>
        <w:fldChar w:fldCharType="end"/>
      </w:r>
    </w:p>
    <w:p>
      <w:pPr>
        <w:pStyle w:val="19"/>
        <w:tabs>
          <w:tab w:val="right" w:leader="dot" w:pos="8312"/>
        </w:tabs>
      </w:pPr>
      <w:r>
        <w:rPr>
          <w:rFonts w:hint="eastAsia" w:eastAsia="宋体"/>
        </w:rPr>
        <w:t xml:space="preserve">3.3 </w:t>
      </w:r>
      <w:r>
        <w:rPr>
          <w:rFonts w:eastAsia="宋体"/>
        </w:rPr>
        <w:t>污染源源强核算</w:t>
      </w:r>
      <w:r>
        <w:tab/>
      </w:r>
      <w:r>
        <w:fldChar w:fldCharType="begin"/>
      </w:r>
      <w:r>
        <w:instrText xml:space="preserve"> PAGEREF _Toc18367 \h </w:instrText>
      </w:r>
      <w:r>
        <w:fldChar w:fldCharType="separate"/>
      </w:r>
      <w:r>
        <w:t>- 33 -</w:t>
      </w:r>
      <w:r>
        <w:fldChar w:fldCharType="end"/>
      </w:r>
    </w:p>
    <w:p>
      <w:pPr>
        <w:pStyle w:val="19"/>
        <w:tabs>
          <w:tab w:val="right" w:leader="dot" w:pos="8312"/>
        </w:tabs>
      </w:pPr>
      <w:r>
        <w:rPr>
          <w:rFonts w:hint="eastAsia" w:eastAsia="宋体"/>
          <w:lang w:val="zh-CN"/>
        </w:rPr>
        <w:t xml:space="preserve">3.4 </w:t>
      </w:r>
      <w:r>
        <w:rPr>
          <w:rFonts w:eastAsia="宋体"/>
          <w:lang w:val="zh-CN"/>
        </w:rPr>
        <w:t>污染物排放汇总</w:t>
      </w:r>
      <w:r>
        <w:tab/>
      </w:r>
      <w:r>
        <w:fldChar w:fldCharType="begin"/>
      </w:r>
      <w:r>
        <w:instrText xml:space="preserve"> PAGEREF _Toc26785 \h </w:instrText>
      </w:r>
      <w:r>
        <w:fldChar w:fldCharType="separate"/>
      </w:r>
      <w:r>
        <w:t>- 44 -</w:t>
      </w:r>
      <w:r>
        <w:fldChar w:fldCharType="end"/>
      </w:r>
    </w:p>
    <w:p>
      <w:pPr>
        <w:pStyle w:val="19"/>
        <w:tabs>
          <w:tab w:val="right" w:leader="dot" w:pos="8312"/>
        </w:tabs>
      </w:pPr>
      <w:r>
        <w:rPr>
          <w:rFonts w:hint="eastAsia" w:eastAsia="宋体"/>
          <w:lang w:val="zh-CN"/>
        </w:rPr>
        <w:t xml:space="preserve">3.5 </w:t>
      </w:r>
      <w:r>
        <w:rPr>
          <w:rFonts w:eastAsia="宋体"/>
          <w:lang w:val="zh-CN"/>
        </w:rPr>
        <w:t>污染物排放总量控制</w:t>
      </w:r>
      <w:r>
        <w:tab/>
      </w:r>
      <w:r>
        <w:fldChar w:fldCharType="begin"/>
      </w:r>
      <w:r>
        <w:instrText xml:space="preserve"> PAGEREF _Toc18154 \h </w:instrText>
      </w:r>
      <w:r>
        <w:fldChar w:fldCharType="separate"/>
      </w:r>
      <w:r>
        <w:t>- 44 -</w:t>
      </w:r>
      <w:r>
        <w:fldChar w:fldCharType="end"/>
      </w:r>
    </w:p>
    <w:p>
      <w:pPr>
        <w:pStyle w:val="18"/>
        <w:tabs>
          <w:tab w:val="right" w:leader="dot" w:pos="8312"/>
        </w:tabs>
      </w:pPr>
      <w:r>
        <w:rPr>
          <w:rFonts w:hint="eastAsia" w:eastAsia="宋体"/>
        </w:rPr>
        <w:t xml:space="preserve">4 </w:t>
      </w:r>
      <w:r>
        <w:rPr>
          <w:rFonts w:eastAsia="宋体"/>
        </w:rPr>
        <w:t>环境影响预测与评价</w:t>
      </w:r>
      <w:r>
        <w:tab/>
      </w:r>
      <w:r>
        <w:fldChar w:fldCharType="begin"/>
      </w:r>
      <w:r>
        <w:instrText xml:space="preserve"> PAGEREF _Toc19947 \h </w:instrText>
      </w:r>
      <w:r>
        <w:fldChar w:fldCharType="separate"/>
      </w:r>
      <w:r>
        <w:t>- 45 -</w:t>
      </w:r>
      <w:r>
        <w:fldChar w:fldCharType="end"/>
      </w:r>
    </w:p>
    <w:p>
      <w:pPr>
        <w:pStyle w:val="19"/>
        <w:tabs>
          <w:tab w:val="right" w:leader="dot" w:pos="8312"/>
        </w:tabs>
      </w:pPr>
      <w:r>
        <w:rPr>
          <w:rFonts w:hint="eastAsia" w:eastAsia="宋体"/>
        </w:rPr>
        <w:t xml:space="preserve">4.1 </w:t>
      </w:r>
      <w:r>
        <w:rPr>
          <w:rFonts w:eastAsia="宋体"/>
        </w:rPr>
        <w:t>施工期环境影响分析</w:t>
      </w:r>
      <w:r>
        <w:tab/>
      </w:r>
      <w:r>
        <w:fldChar w:fldCharType="begin"/>
      </w:r>
      <w:r>
        <w:instrText xml:space="preserve"> PAGEREF _Toc25925 \h </w:instrText>
      </w:r>
      <w:r>
        <w:fldChar w:fldCharType="separate"/>
      </w:r>
      <w:r>
        <w:t>- 45 -</w:t>
      </w:r>
      <w:r>
        <w:fldChar w:fldCharType="end"/>
      </w:r>
    </w:p>
    <w:p>
      <w:pPr>
        <w:pStyle w:val="19"/>
        <w:tabs>
          <w:tab w:val="right" w:leader="dot" w:pos="8312"/>
        </w:tabs>
      </w:pPr>
      <w:r>
        <w:rPr>
          <w:rFonts w:hint="eastAsia" w:eastAsia="宋体"/>
          <w:lang w:val="zh-CN"/>
        </w:rPr>
        <w:t xml:space="preserve">4.2 </w:t>
      </w:r>
      <w:r>
        <w:rPr>
          <w:rFonts w:eastAsia="宋体"/>
          <w:lang w:val="zh-CN"/>
        </w:rPr>
        <w:t>运营期环境影响预测与评价</w:t>
      </w:r>
      <w:r>
        <w:tab/>
      </w:r>
      <w:r>
        <w:fldChar w:fldCharType="begin"/>
      </w:r>
      <w:r>
        <w:instrText xml:space="preserve"> PAGEREF _Toc9297 \h </w:instrText>
      </w:r>
      <w:r>
        <w:fldChar w:fldCharType="separate"/>
      </w:r>
      <w:r>
        <w:t>- 50 -</w:t>
      </w:r>
      <w:r>
        <w:fldChar w:fldCharType="end"/>
      </w:r>
    </w:p>
    <w:p>
      <w:pPr>
        <w:pStyle w:val="19"/>
        <w:tabs>
          <w:tab w:val="right" w:leader="dot" w:pos="8312"/>
        </w:tabs>
      </w:pPr>
      <w:r>
        <w:rPr>
          <w:rFonts w:hint="eastAsia" w:eastAsia="宋体"/>
        </w:rPr>
        <w:t xml:space="preserve">4.4 </w:t>
      </w:r>
      <w:r>
        <w:rPr>
          <w:rFonts w:eastAsia="宋体"/>
        </w:rPr>
        <w:t>环境风险评价</w:t>
      </w:r>
      <w:r>
        <w:tab/>
      </w:r>
      <w:r>
        <w:fldChar w:fldCharType="begin"/>
      </w:r>
      <w:r>
        <w:instrText xml:space="preserve"> PAGEREF _Toc31057 \h </w:instrText>
      </w:r>
      <w:r>
        <w:fldChar w:fldCharType="separate"/>
      </w:r>
      <w:r>
        <w:t>- 64 -</w:t>
      </w:r>
      <w:r>
        <w:fldChar w:fldCharType="end"/>
      </w:r>
    </w:p>
    <w:p>
      <w:pPr>
        <w:pStyle w:val="18"/>
        <w:tabs>
          <w:tab w:val="right" w:leader="dot" w:pos="8312"/>
        </w:tabs>
      </w:pPr>
      <w:r>
        <w:rPr>
          <w:rFonts w:hint="eastAsia" w:eastAsia="宋体"/>
        </w:rPr>
        <w:t xml:space="preserve">5 </w:t>
      </w:r>
      <w:r>
        <w:rPr>
          <w:rFonts w:eastAsia="宋体"/>
        </w:rPr>
        <w:t>环境保护措施及其可行性论证</w:t>
      </w:r>
      <w:r>
        <w:tab/>
      </w:r>
      <w:r>
        <w:fldChar w:fldCharType="begin"/>
      </w:r>
      <w:r>
        <w:instrText xml:space="preserve"> PAGEREF _Toc8089 \h </w:instrText>
      </w:r>
      <w:r>
        <w:fldChar w:fldCharType="separate"/>
      </w:r>
      <w:r>
        <w:t>- 68 -</w:t>
      </w:r>
      <w:r>
        <w:fldChar w:fldCharType="end"/>
      </w:r>
    </w:p>
    <w:p>
      <w:pPr>
        <w:pStyle w:val="19"/>
        <w:tabs>
          <w:tab w:val="right" w:leader="dot" w:pos="8312"/>
        </w:tabs>
      </w:pPr>
      <w:r>
        <w:rPr>
          <w:rFonts w:hint="eastAsia" w:eastAsia="宋体"/>
        </w:rPr>
        <w:t xml:space="preserve">5.1 </w:t>
      </w:r>
      <w:r>
        <w:rPr>
          <w:rFonts w:eastAsia="宋体"/>
        </w:rPr>
        <w:t>施工期环境保护措施</w:t>
      </w:r>
      <w:r>
        <w:tab/>
      </w:r>
      <w:r>
        <w:fldChar w:fldCharType="begin"/>
      </w:r>
      <w:r>
        <w:instrText xml:space="preserve"> PAGEREF _Toc27100 \h </w:instrText>
      </w:r>
      <w:r>
        <w:fldChar w:fldCharType="separate"/>
      </w:r>
      <w:r>
        <w:t>- 68 -</w:t>
      </w:r>
      <w:r>
        <w:fldChar w:fldCharType="end"/>
      </w:r>
    </w:p>
    <w:p>
      <w:pPr>
        <w:pStyle w:val="19"/>
        <w:tabs>
          <w:tab w:val="right" w:leader="dot" w:pos="8312"/>
        </w:tabs>
      </w:pPr>
      <w:r>
        <w:rPr>
          <w:rFonts w:hint="eastAsia" w:eastAsia="宋体"/>
          <w:lang w:val="zh-CN"/>
        </w:rPr>
        <w:t xml:space="preserve">5.2 </w:t>
      </w:r>
      <w:r>
        <w:rPr>
          <w:rFonts w:eastAsia="宋体"/>
          <w:lang w:val="zh-CN"/>
        </w:rPr>
        <w:t>运营期环境保护措施及可行性分析</w:t>
      </w:r>
      <w:r>
        <w:tab/>
      </w:r>
      <w:r>
        <w:fldChar w:fldCharType="begin"/>
      </w:r>
      <w:r>
        <w:instrText xml:space="preserve"> PAGEREF _Toc3310 \h </w:instrText>
      </w:r>
      <w:r>
        <w:fldChar w:fldCharType="separate"/>
      </w:r>
      <w:r>
        <w:t>- 72 -</w:t>
      </w:r>
      <w:r>
        <w:fldChar w:fldCharType="end"/>
      </w:r>
    </w:p>
    <w:p>
      <w:pPr>
        <w:pStyle w:val="18"/>
        <w:tabs>
          <w:tab w:val="right" w:leader="dot" w:pos="8312"/>
        </w:tabs>
      </w:pPr>
      <w:r>
        <w:rPr>
          <w:rFonts w:hint="eastAsia" w:eastAsia="宋体"/>
        </w:rPr>
        <w:t xml:space="preserve">6 </w:t>
      </w:r>
      <w:r>
        <w:rPr>
          <w:rFonts w:eastAsia="宋体"/>
        </w:rPr>
        <w:t>环境影响经济损益分析</w:t>
      </w:r>
      <w:r>
        <w:tab/>
      </w:r>
      <w:r>
        <w:fldChar w:fldCharType="begin"/>
      </w:r>
      <w:r>
        <w:instrText xml:space="preserve"> PAGEREF _Toc12952 \h </w:instrText>
      </w:r>
      <w:r>
        <w:fldChar w:fldCharType="separate"/>
      </w:r>
      <w:r>
        <w:t>- 82 -</w:t>
      </w:r>
      <w:r>
        <w:fldChar w:fldCharType="end"/>
      </w:r>
    </w:p>
    <w:p>
      <w:pPr>
        <w:pStyle w:val="19"/>
        <w:tabs>
          <w:tab w:val="right" w:leader="dot" w:pos="8312"/>
        </w:tabs>
      </w:pPr>
      <w:r>
        <w:rPr>
          <w:rFonts w:hint="eastAsia" w:eastAsia="宋体"/>
        </w:rPr>
        <w:t xml:space="preserve">6.1 </w:t>
      </w:r>
      <w:r>
        <w:rPr>
          <w:rFonts w:eastAsia="宋体"/>
        </w:rPr>
        <w:t>环保设施及投资概算</w:t>
      </w:r>
      <w:r>
        <w:tab/>
      </w:r>
      <w:r>
        <w:fldChar w:fldCharType="begin"/>
      </w:r>
      <w:r>
        <w:instrText xml:space="preserve"> PAGEREF _Toc6057 \h </w:instrText>
      </w:r>
      <w:r>
        <w:fldChar w:fldCharType="separate"/>
      </w:r>
      <w:r>
        <w:t>- 82 -</w:t>
      </w:r>
      <w:r>
        <w:fldChar w:fldCharType="end"/>
      </w:r>
    </w:p>
    <w:p>
      <w:pPr>
        <w:pStyle w:val="19"/>
        <w:tabs>
          <w:tab w:val="right" w:leader="dot" w:pos="8312"/>
        </w:tabs>
      </w:pPr>
      <w:r>
        <w:rPr>
          <w:rFonts w:hint="eastAsia" w:eastAsia="宋体"/>
        </w:rPr>
        <w:t xml:space="preserve">6.2 </w:t>
      </w:r>
      <w:r>
        <w:rPr>
          <w:rFonts w:eastAsia="宋体"/>
        </w:rPr>
        <w:t>环境效益分析</w:t>
      </w:r>
      <w:r>
        <w:tab/>
      </w:r>
      <w:r>
        <w:fldChar w:fldCharType="begin"/>
      </w:r>
      <w:r>
        <w:instrText xml:space="preserve"> PAGEREF _Toc7741 \h </w:instrText>
      </w:r>
      <w:r>
        <w:fldChar w:fldCharType="separate"/>
      </w:r>
      <w:r>
        <w:t>- 82 -</w:t>
      </w:r>
      <w:r>
        <w:fldChar w:fldCharType="end"/>
      </w:r>
    </w:p>
    <w:p>
      <w:pPr>
        <w:pStyle w:val="19"/>
        <w:tabs>
          <w:tab w:val="right" w:leader="dot" w:pos="8312"/>
        </w:tabs>
      </w:pPr>
      <w:r>
        <w:rPr>
          <w:rFonts w:hint="eastAsia" w:eastAsia="宋体"/>
        </w:rPr>
        <w:t xml:space="preserve">6.3 </w:t>
      </w:r>
      <w:r>
        <w:rPr>
          <w:rFonts w:eastAsia="宋体"/>
        </w:rPr>
        <w:t>环境经济损益分析结论</w:t>
      </w:r>
      <w:r>
        <w:tab/>
      </w:r>
      <w:r>
        <w:fldChar w:fldCharType="begin"/>
      </w:r>
      <w:r>
        <w:instrText xml:space="preserve"> PAGEREF _Toc344 \h </w:instrText>
      </w:r>
      <w:r>
        <w:fldChar w:fldCharType="separate"/>
      </w:r>
      <w:r>
        <w:t>- 84 -</w:t>
      </w:r>
      <w:r>
        <w:fldChar w:fldCharType="end"/>
      </w:r>
    </w:p>
    <w:p>
      <w:pPr>
        <w:pStyle w:val="18"/>
        <w:tabs>
          <w:tab w:val="right" w:leader="dot" w:pos="8312"/>
        </w:tabs>
      </w:pPr>
      <w:r>
        <w:rPr>
          <w:rFonts w:hint="eastAsia" w:eastAsia="宋体"/>
        </w:rPr>
        <w:t xml:space="preserve">7 </w:t>
      </w:r>
      <w:r>
        <w:rPr>
          <w:rFonts w:eastAsia="宋体"/>
        </w:rPr>
        <w:t>环境管理与监测计划</w:t>
      </w:r>
      <w:r>
        <w:tab/>
      </w:r>
      <w:r>
        <w:fldChar w:fldCharType="begin"/>
      </w:r>
      <w:r>
        <w:instrText xml:space="preserve"> PAGEREF _Toc27379 \h </w:instrText>
      </w:r>
      <w:r>
        <w:fldChar w:fldCharType="separate"/>
      </w:r>
      <w:r>
        <w:t>- 85 -</w:t>
      </w:r>
      <w:r>
        <w:fldChar w:fldCharType="end"/>
      </w:r>
    </w:p>
    <w:p>
      <w:pPr>
        <w:pStyle w:val="19"/>
        <w:tabs>
          <w:tab w:val="right" w:leader="dot" w:pos="8312"/>
        </w:tabs>
      </w:pPr>
      <w:r>
        <w:rPr>
          <w:rFonts w:hint="eastAsia" w:eastAsia="宋体"/>
        </w:rPr>
        <w:t xml:space="preserve">7.1 </w:t>
      </w:r>
      <w:r>
        <w:rPr>
          <w:rFonts w:eastAsia="宋体"/>
        </w:rPr>
        <w:t>环境管理</w:t>
      </w:r>
      <w:r>
        <w:tab/>
      </w:r>
      <w:r>
        <w:fldChar w:fldCharType="begin"/>
      </w:r>
      <w:r>
        <w:instrText xml:space="preserve"> PAGEREF _Toc20241 \h </w:instrText>
      </w:r>
      <w:r>
        <w:fldChar w:fldCharType="separate"/>
      </w:r>
      <w:r>
        <w:t>- 85 -</w:t>
      </w:r>
      <w:r>
        <w:fldChar w:fldCharType="end"/>
      </w:r>
    </w:p>
    <w:p>
      <w:pPr>
        <w:pStyle w:val="19"/>
        <w:tabs>
          <w:tab w:val="right" w:leader="dot" w:pos="8312"/>
        </w:tabs>
      </w:pPr>
      <w:r>
        <w:rPr>
          <w:rFonts w:hint="eastAsia" w:eastAsia="宋体"/>
        </w:rPr>
        <w:t xml:space="preserve">7.2 </w:t>
      </w:r>
      <w:r>
        <w:rPr>
          <w:rFonts w:eastAsia="宋体"/>
        </w:rPr>
        <w:t>环境监测</w:t>
      </w:r>
      <w:r>
        <w:tab/>
      </w:r>
      <w:r>
        <w:fldChar w:fldCharType="begin"/>
      </w:r>
      <w:r>
        <w:instrText xml:space="preserve"> PAGEREF _Toc29398 \h </w:instrText>
      </w:r>
      <w:r>
        <w:fldChar w:fldCharType="separate"/>
      </w:r>
      <w:r>
        <w:t>- 92 -</w:t>
      </w:r>
      <w:r>
        <w:fldChar w:fldCharType="end"/>
      </w:r>
    </w:p>
    <w:p>
      <w:pPr>
        <w:pStyle w:val="19"/>
        <w:tabs>
          <w:tab w:val="right" w:leader="dot" w:pos="8312"/>
        </w:tabs>
      </w:pPr>
      <w:r>
        <w:rPr>
          <w:rFonts w:hint="eastAsia" w:eastAsia="宋体"/>
        </w:rPr>
        <w:t xml:space="preserve">7.3 </w:t>
      </w:r>
      <w:r>
        <w:rPr>
          <w:rFonts w:eastAsia="宋体"/>
        </w:rPr>
        <w:t>污染物排放清单</w:t>
      </w:r>
      <w:r>
        <w:tab/>
      </w:r>
      <w:r>
        <w:fldChar w:fldCharType="begin"/>
      </w:r>
      <w:r>
        <w:instrText xml:space="preserve"> PAGEREF _Toc15961 \h </w:instrText>
      </w:r>
      <w:r>
        <w:fldChar w:fldCharType="separate"/>
      </w:r>
      <w:r>
        <w:t>- 93 -</w:t>
      </w:r>
      <w:r>
        <w:fldChar w:fldCharType="end"/>
      </w:r>
    </w:p>
    <w:p>
      <w:pPr>
        <w:pStyle w:val="19"/>
        <w:tabs>
          <w:tab w:val="right" w:leader="dot" w:pos="8312"/>
        </w:tabs>
      </w:pPr>
      <w:r>
        <w:rPr>
          <w:rFonts w:hint="eastAsia" w:eastAsia="宋体"/>
        </w:rPr>
        <w:t xml:space="preserve">7.4 </w:t>
      </w:r>
      <w:r>
        <w:rPr>
          <w:rFonts w:eastAsia="宋体"/>
        </w:rPr>
        <w:t>竣工环境保护验收</w:t>
      </w:r>
      <w:r>
        <w:tab/>
      </w:r>
      <w:r>
        <w:fldChar w:fldCharType="begin"/>
      </w:r>
      <w:r>
        <w:instrText xml:space="preserve"> PAGEREF _Toc465 \h </w:instrText>
      </w:r>
      <w:r>
        <w:fldChar w:fldCharType="separate"/>
      </w:r>
      <w:r>
        <w:t>- 96 -</w:t>
      </w:r>
      <w:r>
        <w:fldChar w:fldCharType="end"/>
      </w:r>
    </w:p>
    <w:p>
      <w:pPr>
        <w:pStyle w:val="18"/>
        <w:tabs>
          <w:tab w:val="right" w:leader="dot" w:pos="8312"/>
        </w:tabs>
      </w:pPr>
      <w:r>
        <w:rPr>
          <w:rFonts w:hint="eastAsia" w:eastAsia="宋体"/>
        </w:rPr>
        <w:t xml:space="preserve">8 </w:t>
      </w:r>
      <w:r>
        <w:rPr>
          <w:rFonts w:eastAsia="宋体"/>
        </w:rPr>
        <w:t>环境影响评价结论</w:t>
      </w:r>
      <w:r>
        <w:tab/>
      </w:r>
      <w:r>
        <w:fldChar w:fldCharType="begin"/>
      </w:r>
      <w:r>
        <w:instrText xml:space="preserve"> PAGEREF _Toc9751 \h </w:instrText>
      </w:r>
      <w:r>
        <w:fldChar w:fldCharType="separate"/>
      </w:r>
      <w:r>
        <w:t>- 99 -</w:t>
      </w:r>
      <w:r>
        <w:fldChar w:fldCharType="end"/>
      </w:r>
    </w:p>
    <w:p>
      <w:pPr>
        <w:pStyle w:val="19"/>
        <w:tabs>
          <w:tab w:val="right" w:leader="dot" w:pos="8312"/>
        </w:tabs>
      </w:pPr>
      <w:r>
        <w:rPr>
          <w:rFonts w:hint="eastAsia" w:eastAsia="宋体"/>
        </w:rPr>
        <w:t xml:space="preserve">8.1 </w:t>
      </w:r>
      <w:r>
        <w:rPr>
          <w:rFonts w:eastAsia="宋体"/>
        </w:rPr>
        <w:t>建设项目基本情况</w:t>
      </w:r>
      <w:r>
        <w:tab/>
      </w:r>
      <w:r>
        <w:fldChar w:fldCharType="begin"/>
      </w:r>
      <w:r>
        <w:instrText xml:space="preserve"> PAGEREF _Toc2855 \h </w:instrText>
      </w:r>
      <w:r>
        <w:fldChar w:fldCharType="separate"/>
      </w:r>
      <w:r>
        <w:t>- 99 -</w:t>
      </w:r>
      <w:r>
        <w:fldChar w:fldCharType="end"/>
      </w:r>
    </w:p>
    <w:p>
      <w:pPr>
        <w:pStyle w:val="19"/>
        <w:tabs>
          <w:tab w:val="right" w:leader="dot" w:pos="8312"/>
        </w:tabs>
      </w:pPr>
      <w:r>
        <w:rPr>
          <w:rFonts w:hint="eastAsia" w:eastAsia="宋体"/>
        </w:rPr>
        <w:t xml:space="preserve">8.2 </w:t>
      </w:r>
      <w:r>
        <w:rPr>
          <w:rFonts w:eastAsia="宋体"/>
        </w:rPr>
        <w:t>污染物排放情况</w:t>
      </w:r>
      <w:r>
        <w:rPr>
          <w:rFonts w:hint="eastAsia" w:eastAsia="宋体"/>
          <w:lang w:eastAsia="zh-CN"/>
        </w:rPr>
        <w:t>及总量控制</w:t>
      </w:r>
      <w:r>
        <w:tab/>
      </w:r>
      <w:r>
        <w:fldChar w:fldCharType="begin"/>
      </w:r>
      <w:r>
        <w:instrText xml:space="preserve"> PAGEREF _Toc19580 \h </w:instrText>
      </w:r>
      <w:r>
        <w:fldChar w:fldCharType="separate"/>
      </w:r>
      <w:r>
        <w:t>- 99 -</w:t>
      </w:r>
      <w:r>
        <w:fldChar w:fldCharType="end"/>
      </w:r>
    </w:p>
    <w:p>
      <w:pPr>
        <w:pStyle w:val="19"/>
        <w:tabs>
          <w:tab w:val="right" w:leader="dot" w:pos="8312"/>
        </w:tabs>
      </w:pPr>
      <w:r>
        <w:rPr>
          <w:rFonts w:hint="eastAsia" w:eastAsia="宋体"/>
        </w:rPr>
        <w:t xml:space="preserve">8.3 </w:t>
      </w:r>
      <w:r>
        <w:rPr>
          <w:rFonts w:eastAsia="宋体"/>
        </w:rPr>
        <w:t>主要环境影响</w:t>
      </w:r>
      <w:r>
        <w:tab/>
      </w:r>
      <w:r>
        <w:fldChar w:fldCharType="begin"/>
      </w:r>
      <w:r>
        <w:instrText xml:space="preserve"> PAGEREF _Toc17502 \h </w:instrText>
      </w:r>
      <w:r>
        <w:fldChar w:fldCharType="separate"/>
      </w:r>
      <w:r>
        <w:t>- 99 -</w:t>
      </w:r>
      <w:r>
        <w:fldChar w:fldCharType="end"/>
      </w:r>
    </w:p>
    <w:p>
      <w:pPr>
        <w:pStyle w:val="19"/>
        <w:tabs>
          <w:tab w:val="right" w:leader="dot" w:pos="8312"/>
        </w:tabs>
      </w:pPr>
      <w:r>
        <w:rPr>
          <w:rFonts w:hint="eastAsia" w:eastAsia="宋体"/>
        </w:rPr>
        <w:t xml:space="preserve">8.4 </w:t>
      </w:r>
      <w:r>
        <w:rPr>
          <w:rFonts w:eastAsia="宋体"/>
        </w:rPr>
        <w:t>环境保护措施</w:t>
      </w:r>
      <w:r>
        <w:tab/>
      </w:r>
      <w:r>
        <w:fldChar w:fldCharType="begin"/>
      </w:r>
      <w:r>
        <w:instrText xml:space="preserve"> PAGEREF _Toc16578 \h </w:instrText>
      </w:r>
      <w:r>
        <w:fldChar w:fldCharType="separate"/>
      </w:r>
      <w:r>
        <w:t>- 99 -</w:t>
      </w:r>
      <w:r>
        <w:fldChar w:fldCharType="end"/>
      </w:r>
    </w:p>
    <w:p>
      <w:pPr>
        <w:pStyle w:val="19"/>
        <w:tabs>
          <w:tab w:val="right" w:leader="dot" w:pos="8312"/>
        </w:tabs>
      </w:pPr>
      <w:r>
        <w:rPr>
          <w:rFonts w:hint="eastAsia" w:eastAsia="宋体"/>
        </w:rPr>
        <w:t xml:space="preserve">8.5 </w:t>
      </w:r>
      <w:r>
        <w:rPr>
          <w:rFonts w:eastAsia="宋体"/>
        </w:rPr>
        <w:t>环境影响经济损益分析</w:t>
      </w:r>
      <w:r>
        <w:tab/>
      </w:r>
      <w:r>
        <w:fldChar w:fldCharType="begin"/>
      </w:r>
      <w:r>
        <w:instrText xml:space="preserve"> PAGEREF _Toc6252 \h </w:instrText>
      </w:r>
      <w:r>
        <w:fldChar w:fldCharType="separate"/>
      </w:r>
      <w:r>
        <w:t>- 100 -</w:t>
      </w:r>
      <w:r>
        <w:fldChar w:fldCharType="end"/>
      </w:r>
    </w:p>
    <w:p>
      <w:pPr>
        <w:pStyle w:val="19"/>
        <w:tabs>
          <w:tab w:val="right" w:leader="dot" w:pos="8312"/>
        </w:tabs>
      </w:pPr>
      <w:r>
        <w:rPr>
          <w:rFonts w:hint="eastAsia" w:eastAsia="宋体"/>
        </w:rPr>
        <w:t xml:space="preserve">8.6 </w:t>
      </w:r>
      <w:r>
        <w:rPr>
          <w:rFonts w:eastAsia="宋体"/>
        </w:rPr>
        <w:t>环境管理与监测计划</w:t>
      </w:r>
      <w:r>
        <w:tab/>
      </w:r>
      <w:r>
        <w:fldChar w:fldCharType="begin"/>
      </w:r>
      <w:r>
        <w:instrText xml:space="preserve"> PAGEREF _Toc35 \h </w:instrText>
      </w:r>
      <w:r>
        <w:fldChar w:fldCharType="separate"/>
      </w:r>
      <w:r>
        <w:t>- 100 -</w:t>
      </w:r>
      <w:r>
        <w:fldChar w:fldCharType="end"/>
      </w:r>
    </w:p>
    <w:p>
      <w:pPr>
        <w:pStyle w:val="19"/>
        <w:tabs>
          <w:tab w:val="right" w:leader="dot" w:pos="8312"/>
        </w:tabs>
      </w:pPr>
      <w:r>
        <w:rPr>
          <w:rFonts w:hint="eastAsia" w:eastAsia="宋体"/>
        </w:rPr>
        <w:t xml:space="preserve">8.7 </w:t>
      </w:r>
      <w:r>
        <w:rPr>
          <w:rFonts w:eastAsia="宋体"/>
        </w:rPr>
        <w:t>总结论</w:t>
      </w:r>
      <w:r>
        <w:tab/>
      </w:r>
      <w:r>
        <w:fldChar w:fldCharType="begin"/>
      </w:r>
      <w:r>
        <w:instrText xml:space="preserve"> PAGEREF _Toc15693 \h </w:instrText>
      </w:r>
      <w:r>
        <w:fldChar w:fldCharType="separate"/>
      </w:r>
      <w:r>
        <w:t>- 100 -</w:t>
      </w:r>
      <w:r>
        <w:fldChar w:fldCharType="end"/>
      </w:r>
    </w:p>
    <w:p>
      <w:pPr>
        <w:pStyle w:val="7"/>
        <w:spacing w:before="120" w:beforeLines="50"/>
        <w:ind w:firstLine="480"/>
        <w:rPr>
          <w:rFonts w:cs="Times New Roman"/>
          <w:b/>
          <w:bCs/>
          <w:caps/>
          <w:sz w:val="20"/>
        </w:rPr>
      </w:pPr>
      <w:r>
        <w:rPr>
          <w:rFonts w:cs="Times New Roman"/>
          <w:bCs/>
          <w:caps/>
          <w:szCs w:val="24"/>
        </w:rPr>
        <w:fldChar w:fldCharType="end"/>
      </w:r>
      <w:r>
        <w:rPr>
          <w:rFonts w:cs="Times New Roman"/>
          <w:b/>
          <w:bCs/>
          <w:caps/>
          <w:sz w:val="20"/>
        </w:rPr>
        <w:t xml:space="preserve"> </w:t>
      </w:r>
    </w:p>
    <w:p>
      <w:pPr>
        <w:pStyle w:val="7"/>
        <w:spacing w:before="120" w:beforeLines="50"/>
        <w:ind w:firstLine="0" w:firstLineChars="0"/>
        <w:rPr>
          <w:rFonts w:cs="Times New Roman"/>
          <w:b/>
          <w:bCs/>
          <w:caps/>
          <w:szCs w:val="24"/>
        </w:rPr>
      </w:pPr>
      <w:r>
        <w:rPr>
          <w:rFonts w:cs="Times New Roman"/>
          <w:b/>
          <w:bCs/>
          <w:caps/>
          <w:szCs w:val="24"/>
        </w:rPr>
        <w:t>附件：</w:t>
      </w:r>
    </w:p>
    <w:p>
      <w:pPr>
        <w:pStyle w:val="7"/>
        <w:ind w:firstLine="480"/>
        <w:rPr>
          <w:rFonts w:cs="Times New Roman"/>
          <w:bCs/>
          <w:caps/>
          <w:szCs w:val="24"/>
        </w:rPr>
      </w:pPr>
      <w:r>
        <w:rPr>
          <w:rFonts w:cs="Times New Roman"/>
          <w:bCs/>
          <w:caps/>
          <w:szCs w:val="24"/>
        </w:rPr>
        <w:t>附件1  委托书</w:t>
      </w:r>
    </w:p>
    <w:p>
      <w:pPr>
        <w:pStyle w:val="7"/>
        <w:ind w:firstLine="480"/>
        <w:rPr>
          <w:rFonts w:cs="Times New Roman"/>
          <w:bCs/>
          <w:caps/>
          <w:szCs w:val="24"/>
        </w:rPr>
      </w:pPr>
      <w:r>
        <w:rPr>
          <w:rFonts w:cs="Times New Roman"/>
          <w:bCs/>
          <w:caps/>
          <w:szCs w:val="24"/>
        </w:rPr>
        <w:t xml:space="preserve">附件2  </w:t>
      </w:r>
      <w:r>
        <w:rPr>
          <w:rFonts w:hint="eastAsia" w:cs="Times New Roman"/>
          <w:bCs/>
          <w:caps/>
          <w:szCs w:val="24"/>
        </w:rPr>
        <w:t>农村集体经济组织登记证</w:t>
      </w:r>
    </w:p>
    <w:p>
      <w:pPr>
        <w:pStyle w:val="7"/>
        <w:ind w:firstLine="480"/>
        <w:rPr>
          <w:rFonts w:cs="Times New Roman"/>
          <w:bCs/>
          <w:caps/>
          <w:szCs w:val="24"/>
        </w:rPr>
      </w:pPr>
      <w:r>
        <w:rPr>
          <w:rFonts w:cs="Times New Roman"/>
          <w:bCs/>
          <w:caps/>
          <w:szCs w:val="24"/>
        </w:rPr>
        <w:t>附件3  登记备案证</w:t>
      </w:r>
    </w:p>
    <w:p>
      <w:pPr>
        <w:pStyle w:val="7"/>
        <w:ind w:firstLine="480"/>
        <w:rPr>
          <w:rFonts w:cs="Times New Roman"/>
          <w:bCs/>
          <w:caps/>
          <w:szCs w:val="24"/>
        </w:rPr>
      </w:pPr>
      <w:r>
        <w:rPr>
          <w:rFonts w:cs="Times New Roman"/>
          <w:bCs/>
          <w:caps/>
          <w:szCs w:val="24"/>
        </w:rPr>
        <w:t>附件4  监测报告</w:t>
      </w:r>
    </w:p>
    <w:p>
      <w:pPr>
        <w:pStyle w:val="7"/>
        <w:ind w:firstLine="480"/>
        <w:rPr>
          <w:rFonts w:cs="Times New Roman"/>
          <w:bCs/>
          <w:caps/>
          <w:szCs w:val="24"/>
        </w:rPr>
      </w:pPr>
      <w:r>
        <w:rPr>
          <w:rFonts w:hint="eastAsia" w:cs="Times New Roman"/>
          <w:bCs/>
          <w:caps/>
          <w:szCs w:val="24"/>
        </w:rPr>
        <w:t>附件5  建设用地批复函</w:t>
      </w:r>
    </w:p>
    <w:p>
      <w:pPr>
        <w:pStyle w:val="7"/>
        <w:ind w:firstLine="480"/>
        <w:rPr>
          <w:rFonts w:cs="Times New Roman"/>
          <w:bCs/>
          <w:caps/>
          <w:szCs w:val="24"/>
        </w:rPr>
      </w:pPr>
      <w:r>
        <w:rPr>
          <w:rFonts w:hint="eastAsia" w:cs="Times New Roman"/>
          <w:bCs/>
          <w:caps/>
          <w:szCs w:val="24"/>
        </w:rPr>
        <w:t>附件6</w:t>
      </w:r>
      <w:r>
        <w:rPr>
          <w:rFonts w:cs="Times New Roman"/>
          <w:bCs/>
          <w:caps/>
          <w:szCs w:val="24"/>
        </w:rPr>
        <w:t xml:space="preserve">  </w:t>
      </w:r>
      <w:r>
        <w:rPr>
          <w:rFonts w:hint="eastAsia" w:cs="Times New Roman"/>
          <w:bCs/>
          <w:caps/>
          <w:szCs w:val="24"/>
        </w:rPr>
        <w:t>乡村建设规划许可证</w:t>
      </w:r>
    </w:p>
    <w:p>
      <w:pPr>
        <w:pStyle w:val="7"/>
        <w:ind w:firstLine="400"/>
        <w:rPr>
          <w:rFonts w:cs="Times New Roman"/>
          <w:bCs/>
          <w:caps/>
          <w:sz w:val="20"/>
        </w:rPr>
      </w:pPr>
    </w:p>
    <w:p>
      <w:pPr>
        <w:pStyle w:val="7"/>
        <w:ind w:firstLine="402"/>
        <w:rPr>
          <w:rFonts w:cs="Times New Roman"/>
          <w:b/>
          <w:bCs/>
          <w:caps/>
          <w:sz w:val="20"/>
        </w:rPr>
        <w:sectPr>
          <w:headerReference r:id="rId3" w:type="default"/>
          <w:footerReference r:id="rId4" w:type="default"/>
          <w:pgSz w:w="11906" w:h="16838"/>
          <w:pgMar w:top="1440" w:right="1797" w:bottom="1440" w:left="1797" w:header="851" w:footer="992" w:gutter="0"/>
          <w:pgNumType w:fmt="upperRoman" w:start="1"/>
          <w:cols w:space="720" w:num="1"/>
          <w:docGrid w:linePitch="312" w:charSpace="0"/>
        </w:sectPr>
      </w:pPr>
    </w:p>
    <w:p>
      <w:pPr>
        <w:pStyle w:val="3"/>
        <w:spacing w:before="156" w:after="156"/>
        <w:jc w:val="center"/>
        <w:rPr>
          <w:rFonts w:eastAsia="宋体"/>
        </w:rPr>
      </w:pPr>
      <w:r>
        <w:rPr>
          <w:rFonts w:eastAsia="宋体"/>
        </w:rPr>
        <w:t xml:space="preserve">  </w:t>
      </w:r>
      <w:bookmarkStart w:id="3" w:name="_Toc32348"/>
      <w:r>
        <w:rPr>
          <w:rFonts w:eastAsia="宋体"/>
        </w:rPr>
        <w:t>概述</w:t>
      </w:r>
      <w:bookmarkEnd w:id="3"/>
    </w:p>
    <w:p>
      <w:pPr>
        <w:pStyle w:val="4"/>
        <w:spacing w:before="156" w:after="156"/>
        <w:rPr>
          <w:rFonts w:eastAsia="宋体"/>
        </w:rPr>
      </w:pPr>
      <w:bookmarkStart w:id="4" w:name="_Toc31235"/>
      <w:r>
        <w:rPr>
          <w:rFonts w:eastAsia="宋体"/>
        </w:rPr>
        <w:t>项目背景</w:t>
      </w:r>
      <w:bookmarkEnd w:id="4"/>
    </w:p>
    <w:p>
      <w:pPr>
        <w:pStyle w:val="7"/>
        <w:ind w:firstLine="480"/>
      </w:pPr>
      <w:r>
        <w:t>近年来，各地、各部门把发展循环经济作为调整经济结构、转变发展方式的有效途径。循环经济是最大限度地节约资源和保护环境的经济发展模式，是解决我国资源环境瓶颈约束的根本性举措。</w:t>
      </w:r>
    </w:p>
    <w:p>
      <w:pPr>
        <w:pStyle w:val="7"/>
        <w:ind w:firstLine="480"/>
        <w:rPr>
          <w:rFonts w:cs="Times New Roman"/>
        </w:rPr>
      </w:pPr>
      <w:r>
        <w:rPr>
          <w:rFonts w:cs="Times New Roman"/>
        </w:rPr>
        <w:t>废旧塑料的回收利用作为一项节约资源、保护环境的措施，正日益受到重视。尤其是发达国家工作起步早，已经收到明显效益。废旧塑料加工成颗粒后，依然具有良好的综合材料性能，可满足吹膜、拉丝、拉管、注塑、挤出型材等技术要求，大量应用于塑料制品的生产。由于再生塑料价格优势突出，效益明显，国内废旧塑料回收市场已渐成气候。</w:t>
      </w:r>
    </w:p>
    <w:p>
      <w:pPr>
        <w:pStyle w:val="7"/>
        <w:ind w:firstLine="480"/>
        <w:rPr>
          <w:rFonts w:cs="Times New Roman"/>
        </w:rPr>
      </w:pPr>
      <w:r>
        <w:rPr>
          <w:rFonts w:cs="Times New Roman"/>
        </w:rPr>
        <w:t>滴灌灌溉系统是按照作物需水要求，通过低压管道系统与安装在毛管上的灌水器，将水和作物需要的养分一滴一滴、均匀而又缓慢地滴入作物根区土壤中的灌溉技术，滴灌带是滴灌灌溉系统中的重要灌溉器，近年来随着滴灌灌溉系统的发展，市场对滴灌带的需求越来越大。随着国家农业节水工作的推行，区域农作物灌溉已从传统的地面灌溉转换为滴灌方式。灌溉所使用的滴灌带主要成分为聚乙烯，经长期风吹日晒后会老化破裂，需要定期更换新的滴灌带，因此会产生大量的废旧滴灌带，如不加以回收利用，会造成农田污染及资源浪费。</w:t>
      </w:r>
    </w:p>
    <w:p>
      <w:pPr>
        <w:pStyle w:val="7"/>
        <w:ind w:firstLine="480"/>
        <w:rPr>
          <w:rFonts w:cs="Times New Roman"/>
        </w:rPr>
      </w:pPr>
      <w:r>
        <w:rPr>
          <w:rFonts w:cs="Times New Roman"/>
        </w:rPr>
        <w:t>在此背景下，</w:t>
      </w:r>
      <w:r>
        <w:rPr>
          <w:rFonts w:hint="eastAsia" w:cs="Times New Roman"/>
        </w:rPr>
        <w:t>塔城市恰夏镇珠茹社日村股份经济合作社</w:t>
      </w:r>
      <w:r>
        <w:rPr>
          <w:rFonts w:cs="Times New Roman"/>
        </w:rPr>
        <w:t>拟在</w:t>
      </w:r>
      <w:r>
        <w:rPr>
          <w:rFonts w:hint="eastAsia" w:cs="Times New Roman"/>
        </w:rPr>
        <w:t>恰夏镇珠茹社日村（又名双泉村）</w:t>
      </w:r>
      <w:r>
        <w:rPr>
          <w:rFonts w:cs="Times New Roman"/>
        </w:rPr>
        <w:t>新建</w:t>
      </w:r>
      <w:r>
        <w:rPr>
          <w:rFonts w:hint="eastAsia" w:cs="Times New Roman"/>
        </w:rPr>
        <w:t>塔城市恰夏镇珠茹社日村股份经济合作社滴灌带生产加工厂建设项目</w:t>
      </w:r>
      <w:r>
        <w:rPr>
          <w:rFonts w:cs="Times New Roman"/>
        </w:rPr>
        <w:t>。本项目以回收的废旧滴灌带为主要原料</w:t>
      </w:r>
      <w:r>
        <w:rPr>
          <w:rFonts w:hint="eastAsia" w:cs="Times New Roman"/>
        </w:rPr>
        <w:t>，在</w:t>
      </w:r>
      <w:r>
        <w:rPr>
          <w:rFonts w:cs="Times New Roman"/>
        </w:rPr>
        <w:t>再生</w:t>
      </w:r>
      <w:r>
        <w:rPr>
          <w:rFonts w:hint="eastAsia" w:cs="Times New Roman"/>
        </w:rPr>
        <w:t>的</w:t>
      </w:r>
      <w:r>
        <w:rPr>
          <w:rFonts w:cs="Times New Roman"/>
        </w:rPr>
        <w:t>塑料颗粒</w:t>
      </w:r>
      <w:r>
        <w:rPr>
          <w:rFonts w:hint="eastAsia" w:cs="Times New Roman"/>
        </w:rPr>
        <w:t>中</w:t>
      </w:r>
      <w:r>
        <w:rPr>
          <w:rFonts w:cs="Times New Roman"/>
        </w:rPr>
        <w:t>加入少量商品聚乙烯颗粒、</w:t>
      </w:r>
      <w:r>
        <w:rPr>
          <w:rFonts w:hint="eastAsia" w:cs="Times New Roman"/>
        </w:rPr>
        <w:t>黑</w:t>
      </w:r>
      <w:r>
        <w:rPr>
          <w:rFonts w:cs="Times New Roman"/>
        </w:rPr>
        <w:t>色母料和抗老化剂等助剂，加工制成塑料制品——滴灌带、水带。不仅减少了废旧塑料对环境的污染，还产生了经济效益。</w:t>
      </w:r>
    </w:p>
    <w:p>
      <w:pPr>
        <w:pStyle w:val="4"/>
        <w:spacing w:before="156" w:after="156"/>
        <w:rPr>
          <w:rFonts w:eastAsia="宋体"/>
        </w:rPr>
      </w:pPr>
      <w:bookmarkStart w:id="5" w:name="_Toc32682"/>
      <w:r>
        <w:rPr>
          <w:rFonts w:eastAsia="宋体"/>
        </w:rPr>
        <w:t>建设项目</w:t>
      </w:r>
      <w:r>
        <w:rPr>
          <w:rFonts w:hint="eastAsia" w:eastAsia="宋体"/>
        </w:rPr>
        <w:t>的</w:t>
      </w:r>
      <w:r>
        <w:rPr>
          <w:rFonts w:eastAsia="宋体"/>
        </w:rPr>
        <w:t>特点</w:t>
      </w:r>
      <w:bookmarkEnd w:id="5"/>
    </w:p>
    <w:p>
      <w:pPr>
        <w:pStyle w:val="7"/>
        <w:ind w:firstLine="480"/>
      </w:pPr>
      <w:r>
        <w:rPr>
          <w:rFonts w:hint="eastAsia"/>
        </w:rPr>
        <w:t>塔城市恰夏镇珠茹社日村股份经济合作社滴灌带生产加工厂建设项目</w:t>
      </w:r>
      <w:r>
        <w:t>是以回收的废旧滴灌带为主要原料再生塑料颗粒，再用再生的塑料颗粒与少量商品聚乙烯颗粒、</w:t>
      </w:r>
      <w:r>
        <w:rPr>
          <w:rFonts w:hint="eastAsia"/>
        </w:rPr>
        <w:t>黑</w:t>
      </w:r>
      <w:r>
        <w:t>色母料和抗老化剂加工制成塑料制品。本项目通过废旧滴灌带的回收和再利用，可以实现废旧资源综合利用，减少环境污染。通过再加工生产滴灌带、水带等农业节水产品，可以促进当地节水农业建设，进一步提高旱作耕地的土地生产率和产出效益，而且对缓解项目区水资源供需矛盾、增强农业产业的经济实力具有促进作用。本项目的实施不仅可实现废旧资源综合利用，获得较高经济和社会效益，同时也产生了良好的环境效益。</w:t>
      </w:r>
    </w:p>
    <w:p>
      <w:pPr>
        <w:pStyle w:val="7"/>
        <w:ind w:firstLine="480"/>
      </w:pPr>
      <w:r>
        <w:t>本项目位于塔城市</w:t>
      </w:r>
      <w:r>
        <w:rPr>
          <w:rFonts w:hint="eastAsia"/>
        </w:rPr>
        <w:t>恰夏镇珠茹社日村南侧</w:t>
      </w:r>
      <w:r>
        <w:t>，占地面积</w:t>
      </w:r>
      <w:r>
        <w:rPr>
          <w:rFonts w:hint="eastAsia"/>
        </w:rPr>
        <w:t>9974.4</w:t>
      </w:r>
      <w:r>
        <w:t>m</w:t>
      </w:r>
      <w:r>
        <w:rPr>
          <w:vertAlign w:val="superscript"/>
        </w:rPr>
        <w:t>2</w:t>
      </w:r>
      <w:r>
        <w:t>（约</w:t>
      </w:r>
      <w:r>
        <w:rPr>
          <w:rFonts w:hint="eastAsia"/>
        </w:rPr>
        <w:t>15</w:t>
      </w:r>
      <w:r>
        <w:t>亩），总建筑面积</w:t>
      </w:r>
      <w:r>
        <w:rPr>
          <w:rFonts w:hint="eastAsia"/>
        </w:rPr>
        <w:t>90</w:t>
      </w:r>
      <w:r>
        <w:t>00m</w:t>
      </w:r>
      <w:r>
        <w:rPr>
          <w:vertAlign w:val="superscript"/>
        </w:rPr>
        <w:t>2</w:t>
      </w:r>
      <w:r>
        <w:t>，投资</w:t>
      </w:r>
      <w:r>
        <w:rPr>
          <w:rFonts w:hint="eastAsia"/>
        </w:rPr>
        <w:t>500</w:t>
      </w:r>
      <w:r>
        <w:t>万元建设滴灌带加工生产线</w:t>
      </w:r>
      <w:r>
        <w:rPr>
          <w:rFonts w:hint="eastAsia"/>
        </w:rPr>
        <w:t>8</w:t>
      </w:r>
      <w:r>
        <w:t>条、水带生产线2条，破碎生产线1条、造粒生产线2条，年产滴灌带3000t、水带2000t。主要建设内容</w:t>
      </w:r>
      <w:r>
        <w:rPr>
          <w:rFonts w:hint="eastAsia"/>
        </w:rPr>
        <w:t>包括粉碎造粒车间、成品生产车间、原料库房、成品库房、办公室和其他配套辅助设施等，</w:t>
      </w:r>
      <w:r>
        <w:t>成品滴灌带、</w:t>
      </w:r>
      <w:r>
        <w:rPr>
          <w:rFonts w:hint="eastAsia"/>
        </w:rPr>
        <w:t>水带</w:t>
      </w:r>
      <w:r>
        <w:t>全部外售。</w:t>
      </w:r>
    </w:p>
    <w:p>
      <w:pPr>
        <w:pStyle w:val="4"/>
        <w:spacing w:before="156" w:after="156"/>
        <w:rPr>
          <w:rFonts w:eastAsia="宋体"/>
          <w:lang w:val="zh-CN"/>
        </w:rPr>
      </w:pPr>
      <w:bookmarkStart w:id="6" w:name="_Toc30551"/>
      <w:r>
        <w:rPr>
          <w:rFonts w:eastAsia="宋体"/>
          <w:lang w:val="zh-CN"/>
        </w:rPr>
        <w:t>环境影响评价工作过程</w:t>
      </w:r>
      <w:bookmarkEnd w:id="6"/>
    </w:p>
    <w:p>
      <w:pPr>
        <w:pStyle w:val="7"/>
        <w:ind w:firstLine="480"/>
        <w:rPr>
          <w:rFonts w:cs="Times New Roman"/>
          <w:lang w:val="zh-CN"/>
        </w:rPr>
      </w:pPr>
      <w:r>
        <w:rPr>
          <w:rFonts w:cs="Times New Roman"/>
          <w:lang w:val="zh-CN"/>
        </w:rPr>
        <w:t>环境影响评价一般分为三个阶段，即调</w:t>
      </w:r>
      <w:r>
        <w:rPr>
          <w:rFonts w:hint="eastAsia" w:cs="Times New Roman"/>
          <w:lang w:val="zh-CN"/>
        </w:rPr>
        <w:t>查</w:t>
      </w:r>
      <w:r>
        <w:rPr>
          <w:rFonts w:cs="Times New Roman"/>
          <w:lang w:val="zh-CN"/>
        </w:rPr>
        <w:t>分析和工作方案制定阶段，分析论证和预测评价阶段，环境影响报告书编制阶段。</w:t>
      </w:r>
    </w:p>
    <w:p>
      <w:pPr>
        <w:pStyle w:val="7"/>
        <w:ind w:firstLine="480"/>
        <w:rPr>
          <w:rFonts w:cs="Times New Roman"/>
          <w:lang w:val="zh-CN"/>
        </w:rPr>
      </w:pPr>
      <w:r>
        <w:rPr>
          <w:rFonts w:cs="Times New Roman"/>
          <w:lang w:val="zh-CN"/>
        </w:rPr>
        <w:t>（1）</w:t>
      </w:r>
      <w:r>
        <w:rPr>
          <w:rFonts w:hint="eastAsia" w:cs="Times New Roman"/>
          <w:lang w:val="zh-CN"/>
        </w:rPr>
        <w:t>调查分析</w:t>
      </w:r>
      <w:r>
        <w:rPr>
          <w:rFonts w:cs="Times New Roman"/>
          <w:lang w:val="zh-CN"/>
        </w:rPr>
        <w:t>和工作方案制定阶段</w:t>
      </w:r>
    </w:p>
    <w:p>
      <w:pPr>
        <w:pStyle w:val="7"/>
        <w:ind w:firstLine="480"/>
        <w:rPr>
          <w:rFonts w:cs="Times New Roman"/>
          <w:lang w:val="zh-CN"/>
        </w:rPr>
      </w:pPr>
      <w:r>
        <w:rPr>
          <w:rFonts w:cs="Times New Roman"/>
          <w:lang w:val="zh-CN"/>
        </w:rPr>
        <w:t>根据《建设项目环境影响评价分类管理名录（2021年版）》，本项目属于名录中的“二十六、橡胶和塑料制品业，53塑料制品业292-以再生塑料为原料</w:t>
      </w:r>
      <w:r>
        <w:rPr>
          <w:rFonts w:hint="eastAsia" w:cs="Times New Roman"/>
          <w:lang w:val="zh-CN"/>
        </w:rPr>
        <w:t>生产</w:t>
      </w:r>
      <w:r>
        <w:rPr>
          <w:rFonts w:cs="Times New Roman"/>
          <w:lang w:val="zh-CN"/>
        </w:rPr>
        <w:t>的”，应编制环境影响报告书。建设单位于20</w:t>
      </w:r>
      <w:r>
        <w:rPr>
          <w:rFonts w:cs="Times New Roman"/>
        </w:rPr>
        <w:t>2</w:t>
      </w:r>
      <w:r>
        <w:rPr>
          <w:rFonts w:hint="eastAsia" w:cs="Times New Roman"/>
        </w:rPr>
        <w:t>4</w:t>
      </w:r>
      <w:r>
        <w:rPr>
          <w:rFonts w:cs="Times New Roman"/>
          <w:lang w:val="zh-CN"/>
        </w:rPr>
        <w:t>年</w:t>
      </w:r>
      <w:r>
        <w:rPr>
          <w:rFonts w:hint="eastAsia" w:cs="Times New Roman"/>
        </w:rPr>
        <w:t>11</w:t>
      </w:r>
      <w:r>
        <w:rPr>
          <w:rFonts w:cs="Times New Roman"/>
          <w:lang w:val="zh-CN"/>
        </w:rPr>
        <w:t>月</w:t>
      </w:r>
      <w:r>
        <w:rPr>
          <w:rFonts w:hint="eastAsia" w:cs="Times New Roman"/>
        </w:rPr>
        <w:t>11</w:t>
      </w:r>
      <w:r>
        <w:rPr>
          <w:rFonts w:cs="Times New Roman"/>
          <w:lang w:val="zh-CN"/>
        </w:rPr>
        <w:t>日委托乌鲁木齐湘永丽景环保科技有限公司承担《</w:t>
      </w:r>
      <w:r>
        <w:rPr>
          <w:rFonts w:hint="eastAsia" w:cs="Times New Roman"/>
          <w:lang w:val="zh-CN"/>
        </w:rPr>
        <w:t>塔城市恰夏镇珠茹社日村股份经济合作社滴灌带生产加工厂建设项目</w:t>
      </w:r>
      <w:r>
        <w:rPr>
          <w:rFonts w:cs="Times New Roman"/>
          <w:lang w:val="zh-CN"/>
        </w:rPr>
        <w:t>环境影响报告书》的编制工作。</w:t>
      </w:r>
    </w:p>
    <w:p>
      <w:pPr>
        <w:pStyle w:val="7"/>
        <w:ind w:firstLine="480"/>
        <w:rPr>
          <w:rFonts w:cs="Times New Roman"/>
          <w:lang w:val="zh-CN"/>
        </w:rPr>
      </w:pPr>
      <w:r>
        <w:rPr>
          <w:rFonts w:cs="Times New Roman"/>
          <w:lang w:val="zh-CN"/>
        </w:rPr>
        <w:t>编制单位接受委托后，即刻组织相关技术人员赴现场进行实地踏勘和资料收集，根据建设单位提供的资料及当地环境特征，按照</w:t>
      </w:r>
      <w:r>
        <w:rPr>
          <w:rFonts w:hint="eastAsia" w:cs="Times New Roman"/>
          <w:lang w:val="zh-CN"/>
        </w:rPr>
        <w:t>国家</w:t>
      </w:r>
      <w:r>
        <w:rPr>
          <w:rFonts w:cs="Times New Roman"/>
          <w:lang w:val="zh-CN"/>
        </w:rPr>
        <w:t>生态环境保护政策以及环评技术导则、规范的要求，开展本项目的环境影响评价工作。通过初步的工程分析以及环境现状调查，识别本项目的环境影响因素，筛选主要的环境影响评价因子，明确评价重点和环境保护目标，确定环境影响评价范围、工作等级和评价标准，最后制订工作方案。</w:t>
      </w:r>
    </w:p>
    <w:p>
      <w:pPr>
        <w:pStyle w:val="7"/>
        <w:ind w:firstLine="480"/>
        <w:rPr>
          <w:rFonts w:cs="Times New Roman"/>
          <w:lang w:val="zh-CN"/>
        </w:rPr>
      </w:pPr>
      <w:r>
        <w:rPr>
          <w:rFonts w:cs="Times New Roman"/>
          <w:lang w:val="zh-CN"/>
        </w:rPr>
        <w:t>（2）分析论证和预测评价阶段</w:t>
      </w:r>
    </w:p>
    <w:p>
      <w:pPr>
        <w:pStyle w:val="7"/>
        <w:ind w:firstLine="480"/>
        <w:rPr>
          <w:rFonts w:cs="Times New Roman"/>
          <w:lang w:val="zh-CN"/>
        </w:rPr>
      </w:pPr>
      <w:r>
        <w:rPr>
          <w:rFonts w:cs="Times New Roman"/>
          <w:lang w:val="zh-CN"/>
        </w:rPr>
        <w:t>在调</w:t>
      </w:r>
      <w:r>
        <w:rPr>
          <w:rFonts w:hint="eastAsia" w:cs="Times New Roman"/>
          <w:lang w:val="zh-CN"/>
        </w:rPr>
        <w:t>查</w:t>
      </w:r>
      <w:r>
        <w:rPr>
          <w:rFonts w:cs="Times New Roman"/>
          <w:lang w:val="zh-CN"/>
        </w:rPr>
        <w:t>分析和工作方案制定的基础上，做进一步的工程分析，进行充分的环境现状调查、监测并开展环境质量现状评价，之后根据污染</w:t>
      </w:r>
      <w:r>
        <w:rPr>
          <w:rFonts w:cs="Times New Roman"/>
        </w:rPr>
        <w:t>源</w:t>
      </w:r>
      <w:r>
        <w:rPr>
          <w:rFonts w:cs="Times New Roman"/>
          <w:lang w:val="zh-CN"/>
        </w:rPr>
        <w:t>源强和环境现状资料进行</w:t>
      </w:r>
      <w:r>
        <w:rPr>
          <w:rFonts w:hint="eastAsia" w:cs="Times New Roman"/>
          <w:lang w:val="zh-CN"/>
        </w:rPr>
        <w:t>各</w:t>
      </w:r>
      <w:r>
        <w:rPr>
          <w:rFonts w:cs="Times New Roman"/>
          <w:lang w:val="zh-CN"/>
        </w:rPr>
        <w:t>环境</w:t>
      </w:r>
      <w:r>
        <w:rPr>
          <w:rFonts w:hint="eastAsia" w:cs="Times New Roman"/>
          <w:lang w:val="zh-CN"/>
        </w:rPr>
        <w:t>要素</w:t>
      </w:r>
      <w:r>
        <w:rPr>
          <w:rFonts w:cs="Times New Roman"/>
          <w:lang w:val="zh-CN"/>
        </w:rPr>
        <w:t>影响预测</w:t>
      </w:r>
      <w:r>
        <w:rPr>
          <w:rFonts w:cs="Times New Roman"/>
        </w:rPr>
        <w:t>与</w:t>
      </w:r>
      <w:r>
        <w:rPr>
          <w:rFonts w:cs="Times New Roman"/>
          <w:lang w:val="zh-CN"/>
        </w:rPr>
        <w:t>评价。</w:t>
      </w:r>
    </w:p>
    <w:p>
      <w:pPr>
        <w:pStyle w:val="7"/>
        <w:ind w:firstLine="480"/>
        <w:rPr>
          <w:rFonts w:cs="Times New Roman"/>
          <w:lang w:val="zh-CN"/>
        </w:rPr>
      </w:pPr>
      <w:r>
        <w:rPr>
          <w:rFonts w:cs="Times New Roman"/>
          <w:lang w:val="zh-CN"/>
        </w:rPr>
        <w:t>（3）环境影响报告书编制阶段</w:t>
      </w:r>
    </w:p>
    <w:p>
      <w:pPr>
        <w:pStyle w:val="7"/>
        <w:ind w:firstLine="480"/>
        <w:rPr>
          <w:rFonts w:cs="Times New Roman"/>
          <w:lang w:val="zh-CN"/>
        </w:rPr>
      </w:pPr>
      <w:r>
        <w:rPr>
          <w:rFonts w:hint="eastAsia" w:cs="Times New Roman"/>
          <w:lang w:val="zh-CN"/>
        </w:rPr>
        <w:t>最后根据项目工程分析、预测与评价结果</w:t>
      </w:r>
      <w:r>
        <w:rPr>
          <w:rFonts w:cs="Times New Roman"/>
          <w:lang w:val="zh-CN"/>
        </w:rPr>
        <w:t>，提出了相应的环境保护措施并进行了可行性论证。在上述工作的基础上</w:t>
      </w:r>
      <w:r>
        <w:rPr>
          <w:rFonts w:hint="eastAsia" w:cs="Times New Roman"/>
          <w:lang w:val="zh-CN"/>
        </w:rPr>
        <w:t>得出</w:t>
      </w:r>
      <w:r>
        <w:rPr>
          <w:rFonts w:cs="Times New Roman"/>
          <w:lang w:val="zh-CN"/>
        </w:rPr>
        <w:t>了项目建设的环境可行性。</w:t>
      </w:r>
      <w:r>
        <w:rPr>
          <w:rFonts w:hint="eastAsia"/>
        </w:rPr>
        <w:t>最终</w:t>
      </w:r>
      <w:r>
        <w:rPr>
          <w:spacing w:val="-6"/>
          <w:kern w:val="0"/>
          <w:szCs w:val="24"/>
          <w:lang w:bidi="ar"/>
        </w:rPr>
        <w:t>编制完成了《</w:t>
      </w:r>
      <w:r>
        <w:rPr>
          <w:rFonts w:hint="eastAsia"/>
          <w:lang w:val="zh-CN"/>
        </w:rPr>
        <w:t>塔城市恰夏镇珠茹社日村股份经济合作社滴灌带生产加工厂建设项目</w:t>
      </w:r>
      <w:r>
        <w:rPr>
          <w:spacing w:val="-6"/>
          <w:kern w:val="0"/>
          <w:szCs w:val="24"/>
          <w:lang w:bidi="ar"/>
        </w:rPr>
        <w:t>环境影响报告书》。</w:t>
      </w:r>
    </w:p>
    <w:p>
      <w:pPr>
        <w:pStyle w:val="7"/>
        <w:ind w:firstLine="480"/>
        <w:rPr>
          <w:rFonts w:cs="Times New Roman"/>
          <w:lang w:val="zh-CN"/>
        </w:rPr>
      </w:pPr>
      <w:r>
        <w:rPr>
          <w:rFonts w:cs="Times New Roman"/>
          <w:lang w:val="zh-CN"/>
        </w:rPr>
        <w:t>在整个环境影响评价过程中，建设单位作为责任主体将本项目环境影响评价的基本情况和内容成果向社会公众进行了公开，广泛征集公众对建设项目环境保护方面的意见</w:t>
      </w:r>
      <w:r>
        <w:rPr>
          <w:rFonts w:hint="eastAsia" w:cs="Times New Roman"/>
          <w:lang w:val="zh-CN"/>
        </w:rPr>
        <w:t>，公示期间未收到公众的意见</w:t>
      </w:r>
      <w:r>
        <w:rPr>
          <w:rFonts w:cs="Times New Roman"/>
          <w:lang w:val="zh-CN"/>
        </w:rPr>
        <w:t>。最终将项目环评报告提交生态环境主管部门和专家评审，本项目环境影响报告书经生态环境主管部门批复后，环境影响评价工作即全部结束。</w:t>
      </w:r>
    </w:p>
    <w:p>
      <w:pPr>
        <w:pStyle w:val="38"/>
        <w:adjustRightInd w:val="0"/>
        <w:snapToGrid w:val="0"/>
        <w:spacing w:before="0" w:beforeLines="0" w:after="0" w:afterLines="0"/>
        <w:rPr>
          <w:rFonts w:eastAsia="宋体" w:cs="Times New Roman"/>
          <w:lang w:val="zh-CN"/>
        </w:rPr>
      </w:pPr>
    </w:p>
    <w:p>
      <w:pPr>
        <w:pStyle w:val="4"/>
        <w:spacing w:before="156" w:after="156"/>
        <w:rPr>
          <w:rFonts w:eastAsia="宋体"/>
        </w:rPr>
      </w:pPr>
      <w:bookmarkStart w:id="7" w:name="_Toc24344"/>
      <w:r>
        <w:rPr>
          <w:rFonts w:eastAsia="宋体"/>
        </w:rPr>
        <w:t>分析判定相关情况</w:t>
      </w:r>
      <w:bookmarkEnd w:id="7"/>
    </w:p>
    <w:p>
      <w:pPr>
        <w:pStyle w:val="7"/>
        <w:ind w:firstLine="480"/>
        <w:rPr>
          <w:rFonts w:cs="Times New Roman"/>
        </w:rPr>
      </w:pPr>
      <w:r>
        <w:rPr>
          <w:rFonts w:cs="Times New Roman"/>
        </w:rPr>
        <w:t>本项目属于废旧资源回收利用项目，是利用废旧塑料进行再生造粒后，再通过添加助剂生产塑料制品，属于《产业结构调整指导目录(2024年本)》中“第一类 鼓励类 四十</w:t>
      </w:r>
      <w:r>
        <w:rPr>
          <w:rFonts w:hint="eastAsia" w:cs="Times New Roman"/>
        </w:rPr>
        <w:t>二</w:t>
      </w:r>
      <w:r>
        <w:rPr>
          <w:rFonts w:cs="Times New Roman"/>
        </w:rPr>
        <w:t>、环境保护与资源节约综合利用</w:t>
      </w:r>
      <w:r>
        <w:rPr>
          <w:rFonts w:hint="eastAsia" w:cs="Times New Roman"/>
        </w:rPr>
        <w:t>8．废弃物循环利用：废橡胶、废塑料、废旧农具等城市典型废弃物循环利用、技术设备开发及应用”</w:t>
      </w:r>
      <w:r>
        <w:rPr>
          <w:rFonts w:cs="Times New Roman"/>
        </w:rPr>
        <w:t>，符合国家产业政策要求。</w:t>
      </w:r>
    </w:p>
    <w:p>
      <w:pPr>
        <w:pStyle w:val="7"/>
        <w:ind w:firstLine="480"/>
        <w:rPr>
          <w:rFonts w:cs="Times New Roman"/>
        </w:rPr>
      </w:pPr>
      <w:r>
        <w:rPr>
          <w:rFonts w:cs="Times New Roman"/>
        </w:rPr>
        <w:t>本项目生产过程中产生的挥发性有机</w:t>
      </w:r>
      <w:r>
        <w:rPr>
          <w:rFonts w:hint="eastAsia" w:cs="Times New Roman"/>
        </w:rPr>
        <w:t>废气</w:t>
      </w:r>
      <w:r>
        <w:rPr>
          <w:rFonts w:cs="Times New Roman"/>
        </w:rPr>
        <w:t>经收集后通过UV光氧催化及活性炭吸附装置处理达标后，经15米高排气筒排放；生产废水经沉淀池处理后全部回用，生活污水经化粪池收集后</w:t>
      </w:r>
      <w:r>
        <w:rPr>
          <w:rFonts w:hint="eastAsia" w:cs="Times New Roman"/>
        </w:rPr>
        <w:t>由环卫</w:t>
      </w:r>
      <w:r>
        <w:rPr>
          <w:rFonts w:hint="eastAsia" w:cs="Times New Roman"/>
          <w:lang w:eastAsia="zh-CN"/>
        </w:rPr>
        <w:t>部门</w:t>
      </w:r>
      <w:r>
        <w:rPr>
          <w:rFonts w:cs="Times New Roman"/>
        </w:rPr>
        <w:t>定期拉运处理；产生的固体废物经分类收集，综合利用或交由有资质的单位处置，不会产生二次污染；项目选用低噪声设备，并采取基础减振、厂房隔声等措施降低噪声对外环境的影响。总体而言，项目采取的污染治理措施满足开展环境保护工作的需要，各污染物可以长期稳定达标排放。</w:t>
      </w:r>
    </w:p>
    <w:p>
      <w:pPr>
        <w:pStyle w:val="7"/>
        <w:ind w:firstLine="480"/>
        <w:rPr>
          <w:rFonts w:cs="Times New Roman"/>
        </w:rPr>
      </w:pPr>
      <w:r>
        <w:rPr>
          <w:rFonts w:cs="Times New Roman"/>
        </w:rPr>
        <w:t>根据分析，本项目的建设符合</w:t>
      </w:r>
      <w:r>
        <w:rPr>
          <w:rFonts w:hint="eastAsia"/>
        </w:rPr>
        <w:t>《关于印发“十四五”塑料污染治理行动方案的通知》《废塑料加工利用污染防治管理规定》</w:t>
      </w:r>
      <w:r>
        <w:rPr>
          <w:rFonts w:cs="Times New Roman"/>
        </w:rPr>
        <w:t>《废塑料综合利用行业规范条件》《废塑料污染控制技术规范》《关于加快推进再生资源产业发展的指导意见》《关于进一步加强塑料污染治理的意见》《关于加快推进再生资源产业发展的指导意见》</w:t>
      </w:r>
      <w:r>
        <w:rPr>
          <w:rFonts w:hint="eastAsia"/>
        </w:rPr>
        <w:t>《关于进一步加强塑料污染治理工作实施方案》</w:t>
      </w:r>
      <w:r>
        <w:rPr>
          <w:rFonts w:cs="Times New Roman"/>
        </w:rPr>
        <w:t>等规范及规划要求。</w:t>
      </w:r>
    </w:p>
    <w:p>
      <w:pPr>
        <w:pStyle w:val="7"/>
        <w:ind w:firstLine="480"/>
        <w:rPr>
          <w:rFonts w:cs="Times New Roman"/>
        </w:rPr>
      </w:pPr>
      <w:r>
        <w:rPr>
          <w:rFonts w:cs="Times New Roman"/>
        </w:rPr>
        <w:t>根据202</w:t>
      </w:r>
      <w:r>
        <w:rPr>
          <w:rFonts w:hint="eastAsia" w:cs="Times New Roman"/>
        </w:rPr>
        <w:t>4</w:t>
      </w:r>
      <w:r>
        <w:rPr>
          <w:rFonts w:cs="Times New Roman"/>
        </w:rPr>
        <w:t>年</w:t>
      </w:r>
      <w:r>
        <w:rPr>
          <w:rFonts w:hint="eastAsia" w:cs="Times New Roman"/>
        </w:rPr>
        <w:t>1</w:t>
      </w:r>
      <w:r>
        <w:rPr>
          <w:rFonts w:cs="Times New Roman"/>
        </w:rPr>
        <w:t>2月项目区进行的环境质量现状监测结果可知，监测期间项目区周边非甲烷总烃浓度满足《大气污染物综合排放标准详解》中的环境管理推荐限值，地下水各因子监测浓度</w:t>
      </w:r>
      <w:r>
        <w:rPr>
          <w:rFonts w:hint="eastAsia" w:cs="Times New Roman"/>
        </w:rPr>
        <w:t>基本</w:t>
      </w:r>
      <w:r>
        <w:rPr>
          <w:rFonts w:cs="Times New Roman"/>
        </w:rPr>
        <w:t>符合《地下水质量标准》（GB/T14848-2017）中Ⅲ类标准，噪声监测结果满足《声环境质量标准》（GB3096-2008）2 类声环境功能区环境噪声限值，土壤各因子监测结果满足《土壤环境质量标准 建设用地土壤污染风险管控标准（试行）》（GB36600-2018）表1中第二类用地筛选值。</w:t>
      </w:r>
    </w:p>
    <w:p>
      <w:pPr>
        <w:pStyle w:val="7"/>
        <w:ind w:firstLine="480"/>
        <w:rPr>
          <w:rFonts w:cs="Times New Roman"/>
        </w:rPr>
      </w:pPr>
      <w:r>
        <w:rPr>
          <w:rFonts w:cs="Times New Roman"/>
        </w:rPr>
        <w:t>本项目所在区域不涉及国家及地方划定的自然保护区、风景名胜区、生态功能保护区、水土流失重点防治区、森林公园、地质公园、世界遗产地、国家重点文物保护单位、历史文化保护地等敏感目标，区内无珍稀野生保护动植物。</w:t>
      </w:r>
    </w:p>
    <w:p>
      <w:pPr>
        <w:pStyle w:val="7"/>
        <w:ind w:firstLine="480"/>
        <w:rPr>
          <w:rFonts w:cs="Times New Roman"/>
        </w:rPr>
      </w:pPr>
      <w:r>
        <w:rPr>
          <w:rFonts w:cs="Times New Roman"/>
        </w:rPr>
        <w:t>综合以上分析判定结果</w:t>
      </w:r>
      <w:r>
        <w:rPr>
          <w:rFonts w:hint="eastAsia" w:cs="Times New Roman"/>
        </w:rPr>
        <w:t>可知</w:t>
      </w:r>
      <w:r>
        <w:rPr>
          <w:rFonts w:cs="Times New Roman"/>
        </w:rPr>
        <w:t>，</w:t>
      </w:r>
      <w:r>
        <w:rPr>
          <w:rFonts w:hint="eastAsia" w:cs="Times New Roman"/>
        </w:rPr>
        <w:t>本项目选址、规模、性质和工艺路线等与国家和地方有关环境保护法律法规、标准、政策、规范、相关规划相符，与所在地生态保护红线、环境质量底线、资源利用上线和生态环境准入清单进行对照也是相符的。</w:t>
      </w:r>
    </w:p>
    <w:p>
      <w:pPr>
        <w:pStyle w:val="4"/>
        <w:spacing w:before="156" w:after="156"/>
        <w:rPr>
          <w:rFonts w:eastAsia="宋体"/>
        </w:rPr>
      </w:pPr>
      <w:bookmarkStart w:id="8" w:name="_Toc16747"/>
      <w:r>
        <w:rPr>
          <w:rFonts w:eastAsia="宋体"/>
        </w:rPr>
        <w:t>关注的主要环境影响及环境问题</w:t>
      </w:r>
      <w:bookmarkEnd w:id="8"/>
    </w:p>
    <w:p>
      <w:pPr>
        <w:pStyle w:val="7"/>
        <w:ind w:firstLine="480"/>
        <w:rPr>
          <w:rFonts w:cs="Times New Roman"/>
        </w:rPr>
      </w:pPr>
      <w:r>
        <w:rPr>
          <w:rFonts w:cs="Times New Roman"/>
        </w:rPr>
        <w:t>本项目主要原料为回收的废旧滴灌带，其利用过程需符合国家相关技术政策，环评关注的主要环境问题一是本项目与相关政策、规范的符合性，以及选址的合理性；二是项目生产过程中产生的有机废气的收集与处理是否符合挥发性有机物（VOCs）有关污染防治要求；三是清洗废水的处理及项目产生的各类固体废物的收集及处置措施是否可行，是否会造成二次污染。</w:t>
      </w:r>
    </w:p>
    <w:p>
      <w:pPr>
        <w:pStyle w:val="7"/>
        <w:ind w:firstLine="480"/>
        <w:rPr>
          <w:rFonts w:cs="Times New Roman"/>
        </w:rPr>
      </w:pPr>
      <w:r>
        <w:rPr>
          <w:rFonts w:cs="Times New Roman"/>
        </w:rPr>
        <w:t>关注的主要环境影响是挥发性有机物对大气环境的影响。</w:t>
      </w:r>
    </w:p>
    <w:p>
      <w:pPr>
        <w:pStyle w:val="4"/>
        <w:spacing w:before="156" w:after="156"/>
        <w:rPr>
          <w:rFonts w:eastAsia="宋体"/>
        </w:rPr>
      </w:pPr>
      <w:bookmarkStart w:id="9" w:name="_Toc31713"/>
      <w:r>
        <w:rPr>
          <w:rFonts w:eastAsia="宋体"/>
        </w:rPr>
        <w:t>环境影响报告书的主要结论</w:t>
      </w:r>
      <w:bookmarkEnd w:id="9"/>
    </w:p>
    <w:p>
      <w:pPr>
        <w:pStyle w:val="7"/>
        <w:ind w:firstLine="480"/>
        <w:rPr>
          <w:rFonts w:cs="Times New Roman"/>
        </w:rPr>
        <w:sectPr>
          <w:footerReference r:id="rId5" w:type="even"/>
          <w:pgSz w:w="11906" w:h="16838"/>
          <w:pgMar w:top="1440" w:right="1797" w:bottom="1440" w:left="1797" w:header="851" w:footer="992" w:gutter="0"/>
          <w:pgNumType w:fmt="numberInDash" w:start="1"/>
          <w:cols w:space="720" w:num="1"/>
          <w:docGrid w:type="lines" w:linePitch="312" w:charSpace="0"/>
        </w:sectPr>
      </w:pPr>
      <w:r>
        <w:rPr>
          <w:rFonts w:cs="Times New Roman"/>
        </w:rPr>
        <w:t>本项目为废旧资源综合利用项目，属于《产业结构调整指导目录(2024年本)》中的鼓励类，项目已取得投资项目登记备案证，符合国家及地方产业政策。项目选址合理，生产工艺满足清洁生产要求，污染物的防治措施在技术及经济上可行，能实现污染物达标排放和总量控制要求。项目产生的废水、废气、噪声及固废在采取相应的治理措施后可达标排放或无害化处置，不会降低评价区域原有环境功能，在完善各项环保规章制度和应急预案，配套相应的事故防范措施后，环境风险可控制。从环境保护角度分析，本项目的建设是可行的</w:t>
      </w:r>
      <w:r>
        <w:rPr>
          <w:rFonts w:hint="eastAsia" w:cs="Times New Roman"/>
        </w:rPr>
        <w:t>，环境影响可接受</w:t>
      </w:r>
      <w:r>
        <w:rPr>
          <w:rFonts w:cs="Times New Roman"/>
        </w:rPr>
        <w:t>。</w:t>
      </w:r>
    </w:p>
    <w:p>
      <w:pPr>
        <w:pStyle w:val="3"/>
        <w:spacing w:before="156" w:after="156"/>
        <w:jc w:val="center"/>
        <w:rPr>
          <w:rFonts w:eastAsia="宋体"/>
        </w:rPr>
      </w:pPr>
      <w:r>
        <w:rPr>
          <w:rFonts w:eastAsia="宋体"/>
        </w:rPr>
        <w:t xml:space="preserve">  </w:t>
      </w:r>
      <w:bookmarkStart w:id="10" w:name="_Toc23971"/>
      <w:r>
        <w:rPr>
          <w:rFonts w:eastAsia="宋体"/>
        </w:rPr>
        <w:t>总则</w:t>
      </w:r>
      <w:bookmarkEnd w:id="10"/>
    </w:p>
    <w:p>
      <w:pPr>
        <w:pStyle w:val="4"/>
        <w:spacing w:before="156" w:after="156"/>
        <w:rPr>
          <w:rFonts w:eastAsia="宋体"/>
          <w:lang w:val="zh-CN"/>
        </w:rPr>
      </w:pPr>
      <w:bookmarkStart w:id="11" w:name="_Toc9374"/>
      <w:r>
        <w:rPr>
          <w:rFonts w:hint="eastAsia" w:eastAsia="宋体"/>
          <w:lang w:val="zh-CN"/>
        </w:rPr>
        <w:t>编制依据</w:t>
      </w:r>
      <w:bookmarkEnd w:id="11"/>
    </w:p>
    <w:p>
      <w:pPr>
        <w:pStyle w:val="5"/>
        <w:rPr>
          <w:rFonts w:cs="Times New Roman"/>
        </w:rPr>
      </w:pPr>
      <w:r>
        <w:rPr>
          <w:rFonts w:cs="Times New Roman"/>
        </w:rPr>
        <w:t>评价技术导则及行业规范</w:t>
      </w:r>
    </w:p>
    <w:p>
      <w:pPr>
        <w:pStyle w:val="7"/>
        <w:ind w:firstLine="480"/>
        <w:rPr>
          <w:rFonts w:cs="Times New Roman"/>
          <w:lang w:val="zh-CN"/>
        </w:rPr>
      </w:pPr>
      <w:r>
        <w:rPr>
          <w:rFonts w:cs="Times New Roman"/>
          <w:lang w:val="zh-CN"/>
        </w:rPr>
        <w:t>（1）《建设项目环境影响评价技术导则 总纲》（HJ2.1-2016）；</w:t>
      </w:r>
    </w:p>
    <w:p>
      <w:pPr>
        <w:pStyle w:val="7"/>
        <w:ind w:firstLine="480"/>
        <w:rPr>
          <w:rFonts w:cs="Times New Roman"/>
          <w:lang w:val="zh-CN"/>
        </w:rPr>
      </w:pPr>
      <w:r>
        <w:rPr>
          <w:rFonts w:cs="Times New Roman"/>
          <w:lang w:val="zh-CN"/>
        </w:rPr>
        <w:t>（2）《环境影响评价技术导则 大气环境》（HJ2.2-2018）；</w:t>
      </w:r>
    </w:p>
    <w:p>
      <w:pPr>
        <w:pStyle w:val="7"/>
        <w:ind w:firstLine="480"/>
        <w:rPr>
          <w:rFonts w:cs="Times New Roman"/>
          <w:lang w:val="zh-CN"/>
        </w:rPr>
      </w:pPr>
      <w:r>
        <w:rPr>
          <w:rFonts w:cs="Times New Roman"/>
          <w:lang w:val="zh-CN"/>
        </w:rPr>
        <w:t>（3）《环境影响评价技术导则 地表水环境》（HJ2.3-2018）；</w:t>
      </w:r>
    </w:p>
    <w:p>
      <w:pPr>
        <w:pStyle w:val="7"/>
        <w:ind w:firstLine="480"/>
        <w:rPr>
          <w:rFonts w:cs="Times New Roman"/>
          <w:lang w:val="zh-CN"/>
        </w:rPr>
      </w:pPr>
      <w:r>
        <w:rPr>
          <w:rFonts w:cs="Times New Roman"/>
          <w:lang w:val="zh-CN"/>
        </w:rPr>
        <w:t>（4）《环境影响评价技术导则 地下水环境》（HJ610-2016）；</w:t>
      </w:r>
    </w:p>
    <w:p>
      <w:pPr>
        <w:pStyle w:val="7"/>
        <w:ind w:firstLine="480"/>
        <w:rPr>
          <w:rFonts w:cs="Times New Roman"/>
          <w:lang w:val="zh-CN"/>
        </w:rPr>
      </w:pPr>
      <w:r>
        <w:rPr>
          <w:rFonts w:cs="Times New Roman"/>
          <w:lang w:val="zh-CN"/>
        </w:rPr>
        <w:t>（5）《环境影响评价技术导则 声环境》（HJ2.4-2021）；</w:t>
      </w:r>
    </w:p>
    <w:p>
      <w:pPr>
        <w:pStyle w:val="7"/>
        <w:ind w:firstLine="480"/>
        <w:rPr>
          <w:rFonts w:cs="Times New Roman"/>
          <w:lang w:val="zh-CN"/>
        </w:rPr>
      </w:pPr>
      <w:r>
        <w:rPr>
          <w:rFonts w:cs="Times New Roman"/>
          <w:lang w:val="zh-CN"/>
        </w:rPr>
        <w:t>（6）《环境影响评价技术导则 生态影响》（HJ19-2022）；</w:t>
      </w:r>
    </w:p>
    <w:p>
      <w:pPr>
        <w:pStyle w:val="7"/>
        <w:ind w:firstLine="480"/>
        <w:rPr>
          <w:rFonts w:cs="Times New Roman"/>
          <w:lang w:val="zh-CN"/>
        </w:rPr>
      </w:pPr>
      <w:r>
        <w:rPr>
          <w:rFonts w:cs="Times New Roman"/>
          <w:lang w:val="zh-CN"/>
        </w:rPr>
        <w:t>（7）《环境影响评价技术导则 土壤环境（试行）》（HJ964-2018）；</w:t>
      </w:r>
    </w:p>
    <w:p>
      <w:pPr>
        <w:pStyle w:val="7"/>
        <w:ind w:firstLine="480"/>
        <w:rPr>
          <w:rFonts w:cs="Times New Roman"/>
          <w:lang w:val="zh-CN"/>
        </w:rPr>
      </w:pPr>
      <w:r>
        <w:rPr>
          <w:rFonts w:cs="Times New Roman"/>
          <w:lang w:val="zh-CN"/>
        </w:rPr>
        <w:t>（8）《建设项目环境风险评价技术导则》（HJ169-2018）；</w:t>
      </w:r>
    </w:p>
    <w:p>
      <w:pPr>
        <w:pStyle w:val="7"/>
        <w:ind w:firstLine="480"/>
        <w:rPr>
          <w:rFonts w:cs="Times New Roman"/>
          <w:lang w:val="zh-CN"/>
        </w:rPr>
      </w:pPr>
      <w:r>
        <w:rPr>
          <w:rFonts w:cs="Times New Roman"/>
          <w:lang w:val="zh-CN"/>
        </w:rPr>
        <w:t>（9）《水污染治理工程技术导则》（HJ2015-2012)；</w:t>
      </w:r>
    </w:p>
    <w:p>
      <w:pPr>
        <w:pStyle w:val="7"/>
        <w:ind w:firstLine="480"/>
        <w:rPr>
          <w:rFonts w:cs="Times New Roman"/>
          <w:lang w:val="zh-CN"/>
        </w:rPr>
      </w:pPr>
      <w:r>
        <w:rPr>
          <w:rFonts w:cs="Times New Roman"/>
          <w:lang w:val="zh-CN"/>
        </w:rPr>
        <w:t>（10）《大气污染防治工程技术导则》（HJ2000-2010）；</w:t>
      </w:r>
    </w:p>
    <w:p>
      <w:pPr>
        <w:pStyle w:val="7"/>
        <w:ind w:firstLine="480"/>
        <w:rPr>
          <w:rFonts w:cs="Times New Roman"/>
          <w:lang w:val="zh-CN"/>
        </w:rPr>
      </w:pPr>
      <w:r>
        <w:rPr>
          <w:rFonts w:cs="Times New Roman"/>
          <w:lang w:val="zh-CN"/>
        </w:rPr>
        <w:t>（11）《环境噪声与振动控制工程技术导则》（HJ2034-2013）；</w:t>
      </w:r>
    </w:p>
    <w:p>
      <w:pPr>
        <w:pStyle w:val="7"/>
        <w:ind w:firstLine="480"/>
        <w:rPr>
          <w:rFonts w:cs="Times New Roman"/>
          <w:lang w:val="zh-CN"/>
        </w:rPr>
      </w:pPr>
      <w:r>
        <w:rPr>
          <w:rFonts w:cs="Times New Roman"/>
          <w:lang w:val="zh-CN"/>
        </w:rPr>
        <w:t>（12）《固体废物处理处置工程技术导则》（HJ2035-2013）；</w:t>
      </w:r>
    </w:p>
    <w:p>
      <w:pPr>
        <w:pStyle w:val="7"/>
        <w:ind w:firstLine="480"/>
        <w:rPr>
          <w:rFonts w:cs="Times New Roman"/>
          <w:lang w:val="zh-CN"/>
        </w:rPr>
      </w:pPr>
      <w:r>
        <w:rPr>
          <w:rFonts w:cs="Times New Roman"/>
          <w:lang w:val="zh-CN"/>
        </w:rPr>
        <w:t>（13）《废塑料污染控制技术规范》（HJ 364-2022）；</w:t>
      </w:r>
    </w:p>
    <w:p>
      <w:pPr>
        <w:pStyle w:val="7"/>
        <w:ind w:firstLine="480"/>
        <w:rPr>
          <w:rFonts w:cs="Times New Roman"/>
          <w:lang w:val="zh-CN"/>
        </w:rPr>
      </w:pPr>
      <w:r>
        <w:rPr>
          <w:rFonts w:cs="Times New Roman"/>
          <w:lang w:val="zh-CN"/>
        </w:rPr>
        <w:t>（14）</w:t>
      </w:r>
      <w:r>
        <w:rPr>
          <w:rFonts w:hint="eastAsia" w:cs="Times New Roman"/>
          <w:lang w:val="zh-CN"/>
        </w:rPr>
        <w:t>《危险废物管理计划和管理台账制定技术导则》（</w:t>
      </w:r>
      <w:r>
        <w:rPr>
          <w:rFonts w:cs="Times New Roman"/>
          <w:lang w:val="zh-CN"/>
        </w:rPr>
        <w:t>HJ 1259—2022</w:t>
      </w:r>
      <w:r>
        <w:rPr>
          <w:rFonts w:hint="eastAsia" w:cs="Times New Roman"/>
          <w:lang w:val="zh-CN"/>
        </w:rPr>
        <w:t>）；</w:t>
      </w:r>
    </w:p>
    <w:p>
      <w:pPr>
        <w:pStyle w:val="7"/>
        <w:ind w:firstLine="480"/>
        <w:rPr>
          <w:rFonts w:cs="Times New Roman"/>
          <w:lang w:val="zh-CN"/>
        </w:rPr>
      </w:pPr>
      <w:r>
        <w:rPr>
          <w:rFonts w:cs="Times New Roman"/>
          <w:lang w:val="zh-CN"/>
        </w:rPr>
        <w:t>（15）《排污许可证申请与核发技术规范 橡胶和塑料制品工业》（HJ1122-2020）；</w:t>
      </w:r>
    </w:p>
    <w:p>
      <w:pPr>
        <w:pStyle w:val="7"/>
        <w:ind w:firstLine="480"/>
        <w:rPr>
          <w:rFonts w:cs="Times New Roman"/>
          <w:lang w:val="zh-CN"/>
        </w:rPr>
      </w:pPr>
      <w:r>
        <w:rPr>
          <w:rFonts w:cs="Times New Roman"/>
          <w:lang w:val="zh-CN"/>
        </w:rPr>
        <w:t>（16）《排污许可证申请与核发技术规范 废弃资源加工工业》（HJ 1034-2019）；</w:t>
      </w:r>
    </w:p>
    <w:p>
      <w:pPr>
        <w:pStyle w:val="7"/>
        <w:ind w:firstLine="480"/>
        <w:rPr>
          <w:rFonts w:cs="Times New Roman"/>
          <w:lang w:val="zh-CN"/>
        </w:rPr>
      </w:pPr>
      <w:r>
        <w:rPr>
          <w:rFonts w:cs="Times New Roman"/>
          <w:lang w:val="zh-CN"/>
        </w:rPr>
        <w:t>（1</w:t>
      </w:r>
      <w:r>
        <w:rPr>
          <w:rFonts w:cs="Times New Roman"/>
        </w:rPr>
        <w:t>7</w:t>
      </w:r>
      <w:r>
        <w:rPr>
          <w:rFonts w:cs="Times New Roman"/>
          <w:lang w:val="zh-CN"/>
        </w:rPr>
        <w:t>）《排污单位自行监测技术指南 总则》（HJ819-2017）；</w:t>
      </w:r>
    </w:p>
    <w:p>
      <w:pPr>
        <w:pStyle w:val="7"/>
        <w:ind w:firstLine="480"/>
        <w:rPr>
          <w:rFonts w:cs="Times New Roman"/>
          <w:lang w:val="zh-CN"/>
        </w:rPr>
      </w:pPr>
      <w:r>
        <w:rPr>
          <w:rFonts w:cs="Times New Roman"/>
          <w:lang w:val="zh-CN"/>
        </w:rPr>
        <w:t>（</w:t>
      </w:r>
      <w:r>
        <w:rPr>
          <w:rFonts w:cs="Times New Roman"/>
        </w:rPr>
        <w:t>18</w:t>
      </w:r>
      <w:r>
        <w:rPr>
          <w:rFonts w:cs="Times New Roman"/>
          <w:lang w:val="zh-CN"/>
        </w:rPr>
        <w:t>）《危险废物收集 贮存 运输技术规范》（HJ 2025-2012）；</w:t>
      </w:r>
    </w:p>
    <w:p>
      <w:pPr>
        <w:pStyle w:val="7"/>
        <w:ind w:firstLine="480"/>
        <w:rPr>
          <w:rFonts w:cs="Times New Roman"/>
          <w:lang w:val="zh-CN"/>
        </w:rPr>
      </w:pPr>
      <w:r>
        <w:rPr>
          <w:rFonts w:cs="Times New Roman"/>
          <w:lang w:val="zh-CN"/>
        </w:rPr>
        <w:t>（</w:t>
      </w:r>
      <w:r>
        <w:rPr>
          <w:rFonts w:cs="Times New Roman"/>
        </w:rPr>
        <w:t>19</w:t>
      </w:r>
      <w:r>
        <w:rPr>
          <w:rFonts w:cs="Times New Roman"/>
          <w:lang w:val="zh-CN"/>
        </w:rPr>
        <w:t>）《地下水环境监测技术规范》（HJ 164-2020）；</w:t>
      </w:r>
    </w:p>
    <w:p>
      <w:pPr>
        <w:pStyle w:val="7"/>
        <w:ind w:firstLine="480"/>
        <w:rPr>
          <w:rFonts w:cs="Times New Roman"/>
          <w:lang w:val="zh-CN"/>
        </w:rPr>
      </w:pPr>
      <w:r>
        <w:rPr>
          <w:rFonts w:cs="Times New Roman"/>
          <w:lang w:val="zh-CN"/>
        </w:rPr>
        <w:t>（2</w:t>
      </w:r>
      <w:r>
        <w:rPr>
          <w:rFonts w:cs="Times New Roman"/>
        </w:rPr>
        <w:t>0</w:t>
      </w:r>
      <w:r>
        <w:rPr>
          <w:rFonts w:cs="Times New Roman"/>
          <w:lang w:val="zh-CN"/>
        </w:rPr>
        <w:t>）《土壤环境监测技术规范》（HJ/T 166 -2004）；</w:t>
      </w:r>
    </w:p>
    <w:p>
      <w:pPr>
        <w:pStyle w:val="7"/>
        <w:ind w:firstLine="480"/>
        <w:rPr>
          <w:rFonts w:cs="Times New Roman"/>
          <w:lang w:val="zh-CN"/>
        </w:rPr>
      </w:pPr>
      <w:r>
        <w:rPr>
          <w:rFonts w:cs="Times New Roman"/>
          <w:lang w:val="zh-CN"/>
        </w:rPr>
        <w:t>（2</w:t>
      </w:r>
      <w:r>
        <w:rPr>
          <w:rFonts w:cs="Times New Roman"/>
        </w:rPr>
        <w:t>1</w:t>
      </w:r>
      <w:r>
        <w:rPr>
          <w:rFonts w:cs="Times New Roman"/>
          <w:lang w:val="zh-CN"/>
        </w:rPr>
        <w:t>）《工业企业土壤和地下水自行监测技术指南（试行）》（HJ 1209-2021）；</w:t>
      </w:r>
    </w:p>
    <w:p>
      <w:pPr>
        <w:pStyle w:val="7"/>
        <w:ind w:firstLine="480"/>
        <w:rPr>
          <w:rFonts w:cs="Times New Roman"/>
          <w:lang w:val="zh-CN"/>
        </w:rPr>
      </w:pPr>
      <w:r>
        <w:rPr>
          <w:rFonts w:cs="Times New Roman"/>
          <w:lang w:val="zh-CN"/>
        </w:rPr>
        <w:t>（2</w:t>
      </w:r>
      <w:r>
        <w:rPr>
          <w:rFonts w:cs="Times New Roman"/>
        </w:rPr>
        <w:t>2</w:t>
      </w:r>
      <w:r>
        <w:rPr>
          <w:rFonts w:cs="Times New Roman"/>
          <w:lang w:val="zh-CN"/>
        </w:rPr>
        <w:t>）《危险废物管理计划和管理台账制定技术导则》（HJ 1259-2022）；</w:t>
      </w:r>
    </w:p>
    <w:p>
      <w:pPr>
        <w:pStyle w:val="7"/>
        <w:ind w:firstLine="480"/>
        <w:rPr>
          <w:rFonts w:cs="Times New Roman"/>
          <w:lang w:val="zh-CN"/>
        </w:rPr>
      </w:pPr>
      <w:r>
        <w:rPr>
          <w:rFonts w:cs="Times New Roman"/>
          <w:lang w:val="zh-CN"/>
        </w:rPr>
        <w:t>（</w:t>
      </w:r>
      <w:r>
        <w:rPr>
          <w:rFonts w:cs="Times New Roman"/>
        </w:rPr>
        <w:t>23</w:t>
      </w:r>
      <w:r>
        <w:rPr>
          <w:rFonts w:cs="Times New Roman"/>
          <w:lang w:val="zh-CN"/>
        </w:rPr>
        <w:t>）《废塑料回收技术规范》（GB</w:t>
      </w:r>
      <w:r>
        <w:rPr>
          <w:rFonts w:cs="Times New Roman"/>
        </w:rPr>
        <w:t xml:space="preserve"> </w:t>
      </w:r>
      <w:r>
        <w:rPr>
          <w:rFonts w:cs="Times New Roman"/>
          <w:lang w:val="zh-CN"/>
        </w:rPr>
        <w:t>T 39171-2020）；</w:t>
      </w:r>
    </w:p>
    <w:p>
      <w:pPr>
        <w:pStyle w:val="7"/>
        <w:ind w:firstLine="480"/>
        <w:rPr>
          <w:rFonts w:cs="Times New Roman"/>
          <w:lang w:val="zh-CN"/>
        </w:rPr>
      </w:pPr>
      <w:r>
        <w:rPr>
          <w:rFonts w:cs="Times New Roman"/>
          <w:lang w:val="zh-CN"/>
        </w:rPr>
        <w:t>（</w:t>
      </w:r>
      <w:r>
        <w:rPr>
          <w:rFonts w:cs="Times New Roman"/>
        </w:rPr>
        <w:t>24</w:t>
      </w:r>
      <w:r>
        <w:rPr>
          <w:rFonts w:cs="Times New Roman"/>
          <w:lang w:val="zh-CN"/>
        </w:rPr>
        <w:t>）《排污单位自行监测技术指南 橡胶和塑料制品》（HJ 1207-2021）；</w:t>
      </w:r>
    </w:p>
    <w:p>
      <w:pPr>
        <w:pStyle w:val="7"/>
        <w:ind w:firstLine="480"/>
        <w:rPr>
          <w:rFonts w:cs="Times New Roman"/>
          <w:lang w:val="zh-CN"/>
        </w:rPr>
      </w:pPr>
      <w:r>
        <w:rPr>
          <w:rFonts w:cs="Times New Roman"/>
          <w:lang w:val="zh-CN"/>
        </w:rPr>
        <w:t>（</w:t>
      </w:r>
      <w:r>
        <w:rPr>
          <w:rFonts w:cs="Times New Roman"/>
        </w:rPr>
        <w:t>25</w:t>
      </w:r>
      <w:r>
        <w:rPr>
          <w:rFonts w:cs="Times New Roman"/>
          <w:lang w:val="zh-CN"/>
        </w:rPr>
        <w:t>）《污染源源强核算技术指南 准则》（HJ 884-2018）</w:t>
      </w:r>
      <w:r>
        <w:rPr>
          <w:rFonts w:hint="eastAsia" w:cs="Times New Roman"/>
          <w:lang w:val="zh-CN"/>
        </w:rPr>
        <w:t>；</w:t>
      </w:r>
    </w:p>
    <w:p>
      <w:pPr>
        <w:pStyle w:val="7"/>
        <w:ind w:firstLine="480"/>
      </w:pPr>
      <w:r>
        <w:rPr>
          <w:rFonts w:hint="eastAsia"/>
        </w:rPr>
        <w:t>（</w:t>
      </w:r>
      <w:r>
        <w:t>26</w:t>
      </w:r>
      <w:r>
        <w:rPr>
          <w:rFonts w:hint="eastAsia"/>
        </w:rPr>
        <w:t>）《</w:t>
      </w:r>
      <w:bookmarkStart w:id="12" w:name="OLE_LINK17"/>
      <w:r>
        <w:rPr>
          <w:rFonts w:hint="eastAsia"/>
        </w:rPr>
        <w:t>废塑料再生利用技术规范</w:t>
      </w:r>
      <w:bookmarkEnd w:id="12"/>
      <w:r>
        <w:rPr>
          <w:rFonts w:hint="eastAsia"/>
        </w:rPr>
        <w:t>》，（</w:t>
      </w:r>
      <w:r>
        <w:t>GB/T 37821-2019</w:t>
      </w:r>
      <w:r>
        <w:rPr>
          <w:rFonts w:hint="eastAsia"/>
        </w:rPr>
        <w:t>）；</w:t>
      </w:r>
    </w:p>
    <w:p>
      <w:pPr>
        <w:pStyle w:val="7"/>
        <w:ind w:firstLine="480"/>
      </w:pPr>
      <w:r>
        <w:rPr>
          <w:rFonts w:hint="eastAsia"/>
        </w:rPr>
        <w:t>（2</w:t>
      </w:r>
      <w:r>
        <w:t>7</w:t>
      </w:r>
      <w:r>
        <w:rPr>
          <w:rFonts w:hint="eastAsia"/>
        </w:rPr>
        <w:t>）《危险废物收集 贮存 运输技术规范》，（</w:t>
      </w:r>
      <w:r>
        <w:t>(HJ 2025-2012)</w:t>
      </w:r>
      <w:r>
        <w:rPr>
          <w:rFonts w:hint="eastAsia"/>
        </w:rPr>
        <w:t>）；</w:t>
      </w:r>
    </w:p>
    <w:p>
      <w:pPr>
        <w:pStyle w:val="7"/>
        <w:ind w:firstLine="480"/>
        <w:rPr>
          <w:rFonts w:cs="Times New Roman"/>
          <w:lang w:val="zh-CN"/>
        </w:rPr>
      </w:pPr>
      <w:r>
        <w:rPr>
          <w:rFonts w:hint="eastAsia"/>
        </w:rPr>
        <w:t>（2</w:t>
      </w:r>
      <w:r>
        <w:t>8</w:t>
      </w:r>
      <w:r>
        <w:rPr>
          <w:rFonts w:hint="eastAsia"/>
        </w:rPr>
        <w:t>）</w:t>
      </w:r>
      <w:r>
        <w:t>《危险废物识别标志设置技术规范》</w:t>
      </w:r>
      <w:r>
        <w:rPr>
          <w:rFonts w:hint="eastAsia"/>
        </w:rPr>
        <w:t>，</w:t>
      </w:r>
      <w:r>
        <w:t>(HJ 1276—2022)</w:t>
      </w:r>
      <w:r>
        <w:rPr>
          <w:rFonts w:hint="eastAsia"/>
        </w:rPr>
        <w:t>。</w:t>
      </w:r>
    </w:p>
    <w:p>
      <w:pPr>
        <w:pStyle w:val="5"/>
        <w:rPr>
          <w:rFonts w:cs="Times New Roman"/>
        </w:rPr>
      </w:pPr>
      <w:r>
        <w:rPr>
          <w:rFonts w:cs="Times New Roman"/>
        </w:rPr>
        <w:t>项目相关资料</w:t>
      </w:r>
    </w:p>
    <w:p>
      <w:pPr>
        <w:numPr>
          <w:ilvl w:val="0"/>
          <w:numId w:val="2"/>
        </w:numPr>
        <w:adjustRightInd w:val="0"/>
        <w:spacing w:line="360" w:lineRule="auto"/>
        <w:ind w:firstLine="480" w:firstLineChars="200"/>
        <w:rPr>
          <w:rFonts w:ascii="Times New Roman" w:hAnsi="Times New Roman"/>
          <w:sz w:val="24"/>
        </w:rPr>
      </w:pPr>
      <w:r>
        <w:rPr>
          <w:rFonts w:ascii="Times New Roman" w:hAnsi="Times New Roman"/>
          <w:snapToGrid w:val="0"/>
          <w:kern w:val="0"/>
          <w:sz w:val="24"/>
        </w:rPr>
        <w:t>《</w:t>
      </w:r>
      <w:r>
        <w:rPr>
          <w:rFonts w:hint="eastAsia" w:ascii="Times New Roman" w:hAnsi="Times New Roman"/>
          <w:sz w:val="24"/>
        </w:rPr>
        <w:t>塔城市恰夏镇珠茹社日村股份经济合作社滴灌带生产加工厂建设项目</w:t>
      </w:r>
      <w:r>
        <w:rPr>
          <w:rFonts w:ascii="Times New Roman" w:hAnsi="Times New Roman"/>
          <w:sz w:val="24"/>
        </w:rPr>
        <w:t>登记备案证</w:t>
      </w:r>
      <w:r>
        <w:rPr>
          <w:rFonts w:ascii="Times New Roman" w:hAnsi="Times New Roman"/>
          <w:snapToGrid w:val="0"/>
          <w:kern w:val="0"/>
          <w:sz w:val="24"/>
        </w:rPr>
        <w:t>》；</w:t>
      </w:r>
    </w:p>
    <w:p>
      <w:pPr>
        <w:numPr>
          <w:ilvl w:val="0"/>
          <w:numId w:val="2"/>
        </w:numPr>
        <w:adjustRightInd w:val="0"/>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委托书；</w:t>
      </w:r>
    </w:p>
    <w:p>
      <w:pPr>
        <w:numPr>
          <w:ilvl w:val="0"/>
          <w:numId w:val="2"/>
        </w:numPr>
        <w:adjustRightInd w:val="0"/>
        <w:spacing w:line="360" w:lineRule="auto"/>
        <w:ind w:firstLine="480" w:firstLineChars="200"/>
        <w:rPr>
          <w:rFonts w:ascii="Times New Roman" w:hAnsi="Times New Roman"/>
          <w:snapToGrid w:val="0"/>
          <w:kern w:val="0"/>
          <w:sz w:val="24"/>
          <w:lang w:val="zh-CN"/>
        </w:rPr>
      </w:pPr>
      <w:r>
        <w:rPr>
          <w:rFonts w:ascii="Times New Roman" w:hAnsi="Times New Roman"/>
          <w:snapToGrid w:val="0"/>
          <w:kern w:val="0"/>
          <w:sz w:val="24"/>
          <w:lang w:val="zh-CN"/>
        </w:rPr>
        <w:t>建设单位提供的与本项目有关的其他资料。</w:t>
      </w:r>
    </w:p>
    <w:p>
      <w:pPr>
        <w:pStyle w:val="4"/>
        <w:spacing w:before="156" w:after="156"/>
        <w:rPr>
          <w:rFonts w:eastAsia="宋体"/>
          <w:lang w:val="zh-CN"/>
        </w:rPr>
      </w:pPr>
      <w:bookmarkStart w:id="13" w:name="_Toc27603"/>
      <w:r>
        <w:rPr>
          <w:rFonts w:eastAsia="宋体"/>
          <w:lang w:val="zh-CN"/>
        </w:rPr>
        <w:t>评价目的与原则</w:t>
      </w:r>
      <w:bookmarkEnd w:id="13"/>
    </w:p>
    <w:p>
      <w:pPr>
        <w:pStyle w:val="5"/>
        <w:rPr>
          <w:rFonts w:cs="Times New Roman"/>
        </w:rPr>
      </w:pPr>
      <w:r>
        <w:rPr>
          <w:rFonts w:cs="Times New Roman"/>
        </w:rPr>
        <w:t>评价目的</w:t>
      </w:r>
    </w:p>
    <w:p>
      <w:pPr>
        <w:pStyle w:val="7"/>
        <w:ind w:firstLine="480"/>
        <w:rPr>
          <w:rFonts w:cs="Times New Roman"/>
          <w:szCs w:val="24"/>
          <w:lang w:val="zh-CN"/>
        </w:rPr>
      </w:pPr>
      <w:r>
        <w:rPr>
          <w:rFonts w:cs="Times New Roman"/>
          <w:szCs w:val="24"/>
          <w:lang w:val="zh-CN"/>
        </w:rPr>
        <w:t>（1）通过调查分析建设项目所在区域的环境概况，掌握评价区域的环境敏感目标；充分收集现有资料，进行现场踏勘和必要的现场监测，查清评价区域环境现状，进行环境质量现状评价；全面深入分析建设项目工程内容，掌握建设项目运营期各污染源主要污染物的排放特征，确定污染源强，计算污染物产生及排放量。</w:t>
      </w:r>
    </w:p>
    <w:p>
      <w:pPr>
        <w:pStyle w:val="7"/>
        <w:ind w:firstLine="456"/>
        <w:rPr>
          <w:rFonts w:cs="Times New Roman"/>
          <w:spacing w:val="-6"/>
          <w:szCs w:val="24"/>
          <w:lang w:val="zh-CN"/>
        </w:rPr>
      </w:pPr>
      <w:r>
        <w:rPr>
          <w:rFonts w:cs="Times New Roman"/>
          <w:spacing w:val="-6"/>
          <w:szCs w:val="24"/>
          <w:lang w:val="zh-CN"/>
        </w:rPr>
        <w:t>（2）根据区域环境特征和项目污染物排放特征，预测和分析建设项目对周围环境影响的范围和程度，从环境保护角度分析论证建设项目对周围环境的影响。</w:t>
      </w:r>
    </w:p>
    <w:p>
      <w:pPr>
        <w:pStyle w:val="7"/>
        <w:ind w:firstLine="480"/>
        <w:rPr>
          <w:rFonts w:cs="Times New Roman"/>
          <w:szCs w:val="24"/>
          <w:lang w:val="zh-CN"/>
        </w:rPr>
      </w:pPr>
      <w:r>
        <w:rPr>
          <w:rFonts w:cs="Times New Roman"/>
          <w:szCs w:val="24"/>
          <w:lang w:val="zh-CN"/>
        </w:rPr>
        <w:t>（3）通过对项目污染治理设施的经济技术合理性分析和达标排放的可靠性分析，提出进一步减缓污染的对策措施和建议，为优化环境项目设计以及建设项目的环境管理与环境监测提供依据。</w:t>
      </w:r>
    </w:p>
    <w:p>
      <w:pPr>
        <w:pStyle w:val="7"/>
        <w:ind w:firstLine="480"/>
        <w:rPr>
          <w:rFonts w:cs="Times New Roman"/>
          <w:szCs w:val="24"/>
          <w:lang w:val="zh-CN"/>
        </w:rPr>
      </w:pPr>
      <w:r>
        <w:rPr>
          <w:rFonts w:cs="Times New Roman"/>
          <w:szCs w:val="24"/>
          <w:lang w:val="zh-CN"/>
        </w:rPr>
        <w:t>（4）在以上工作的基础上，从环境保护角度论证本项目建设的可行性。</w:t>
      </w:r>
    </w:p>
    <w:p>
      <w:pPr>
        <w:pStyle w:val="5"/>
        <w:rPr>
          <w:rFonts w:cs="Times New Roman"/>
        </w:rPr>
      </w:pPr>
      <w:r>
        <w:rPr>
          <w:rFonts w:cs="Times New Roman"/>
        </w:rPr>
        <w:t>评价原则</w:t>
      </w:r>
    </w:p>
    <w:p>
      <w:pPr>
        <w:pStyle w:val="7"/>
        <w:ind w:firstLine="480"/>
        <w:rPr>
          <w:rFonts w:cs="Times New Roman"/>
          <w:lang w:val="zh-CN"/>
        </w:rPr>
      </w:pPr>
      <w:r>
        <w:rPr>
          <w:rFonts w:cs="Times New Roman"/>
          <w:lang w:val="zh-CN"/>
        </w:rPr>
        <w:t>突出环境影响评价的源头预防作用，坚持保护和改善环境质量。</w:t>
      </w:r>
    </w:p>
    <w:p>
      <w:pPr>
        <w:pStyle w:val="7"/>
        <w:ind w:firstLine="480"/>
        <w:rPr>
          <w:rFonts w:cs="Times New Roman"/>
          <w:lang w:val="zh-CN"/>
        </w:rPr>
      </w:pPr>
      <w:r>
        <w:rPr>
          <w:rFonts w:cs="Times New Roman"/>
          <w:lang w:val="zh-CN"/>
        </w:rPr>
        <w:t>（1）依法评价</w:t>
      </w:r>
    </w:p>
    <w:p>
      <w:pPr>
        <w:pStyle w:val="7"/>
        <w:ind w:firstLine="480"/>
        <w:rPr>
          <w:rFonts w:cs="Times New Roman"/>
          <w:lang w:val="zh-CN"/>
        </w:rPr>
      </w:pPr>
      <w:r>
        <w:rPr>
          <w:rFonts w:cs="Times New Roman"/>
          <w:lang w:val="zh-CN"/>
        </w:rPr>
        <w:t>贯彻执行国家生态环境保护相关法律法规、标准、政策和规划等，优化项目建设，服务环境管理。</w:t>
      </w:r>
    </w:p>
    <w:p>
      <w:pPr>
        <w:pStyle w:val="7"/>
        <w:ind w:firstLine="480"/>
        <w:rPr>
          <w:rFonts w:cs="Times New Roman"/>
          <w:lang w:val="zh-CN"/>
        </w:rPr>
      </w:pPr>
      <w:r>
        <w:rPr>
          <w:rFonts w:cs="Times New Roman"/>
          <w:lang w:val="zh-CN"/>
        </w:rPr>
        <w:t>（2）科学评价</w:t>
      </w:r>
    </w:p>
    <w:p>
      <w:pPr>
        <w:pStyle w:val="7"/>
        <w:ind w:firstLine="480"/>
        <w:rPr>
          <w:rFonts w:cs="Times New Roman"/>
          <w:lang w:val="zh-CN"/>
        </w:rPr>
      </w:pPr>
      <w:r>
        <w:rPr>
          <w:rFonts w:cs="Times New Roman"/>
          <w:lang w:val="zh-CN"/>
        </w:rPr>
        <w:t>规范环境影响评价方法，科学分析项目建设对环境质量的影响。</w:t>
      </w:r>
    </w:p>
    <w:p>
      <w:pPr>
        <w:pStyle w:val="7"/>
        <w:ind w:firstLine="480"/>
        <w:rPr>
          <w:rFonts w:cs="Times New Roman"/>
          <w:lang w:val="zh-CN"/>
        </w:rPr>
      </w:pPr>
      <w:r>
        <w:rPr>
          <w:rFonts w:cs="Times New Roman"/>
          <w:lang w:val="zh-CN"/>
        </w:rPr>
        <w:t>（3）突出重点</w:t>
      </w:r>
    </w:p>
    <w:p>
      <w:pPr>
        <w:pStyle w:val="7"/>
        <w:ind w:firstLine="464"/>
        <w:rPr>
          <w:rFonts w:cs="Times New Roman"/>
          <w:spacing w:val="-4"/>
          <w:lang w:val="zh-CN"/>
        </w:rPr>
      </w:pPr>
      <w:r>
        <w:rPr>
          <w:rFonts w:cs="Times New Roman"/>
          <w:spacing w:val="-4"/>
          <w:lang w:val="zh-CN"/>
        </w:rPr>
        <w:t>根据建设项目的工程内容及其特点，明确与环境要素间的作用效应关系，充分利用符合时效的数据资料及成果，对建设项目主要环境影响予以重点分析和评价。</w:t>
      </w:r>
    </w:p>
    <w:p>
      <w:pPr>
        <w:pStyle w:val="4"/>
        <w:spacing w:before="156" w:after="156"/>
        <w:rPr>
          <w:rFonts w:eastAsia="宋体"/>
          <w:lang w:val="zh-CN"/>
        </w:rPr>
      </w:pPr>
      <w:bookmarkStart w:id="14" w:name="_Toc24307"/>
      <w:r>
        <w:rPr>
          <w:rFonts w:eastAsia="宋体"/>
          <w:lang w:val="zh-CN"/>
        </w:rPr>
        <w:t>环境影响因素识别及评价因子筛选</w:t>
      </w:r>
      <w:bookmarkEnd w:id="14"/>
    </w:p>
    <w:p>
      <w:pPr>
        <w:pStyle w:val="5"/>
        <w:rPr>
          <w:rFonts w:cs="Times New Roman"/>
        </w:rPr>
      </w:pPr>
      <w:r>
        <w:rPr>
          <w:rFonts w:cs="Times New Roman"/>
        </w:rPr>
        <w:t>环境影响因素识别</w:t>
      </w:r>
    </w:p>
    <w:p>
      <w:pPr>
        <w:pStyle w:val="7"/>
        <w:adjustRightInd w:val="0"/>
        <w:snapToGrid w:val="0"/>
        <w:ind w:firstLine="480"/>
        <w:rPr>
          <w:rFonts w:cs="Times New Roman"/>
          <w:lang w:val="zh-CN"/>
        </w:rPr>
      </w:pPr>
      <w:r>
        <w:rPr>
          <w:rFonts w:cs="Times New Roman"/>
          <w:lang w:val="zh-CN"/>
        </w:rPr>
        <w:t>施工期对环境的影响主要是废气（车辆运输废气、施工扬尘等），噪声（施工作业噪声）、废水（施工人员</w:t>
      </w:r>
      <w:r>
        <w:rPr>
          <w:rFonts w:hint="eastAsia" w:cs="Times New Roman"/>
          <w:lang w:val="zh-CN"/>
        </w:rPr>
        <w:t>生活污水</w:t>
      </w:r>
      <w:r>
        <w:rPr>
          <w:rFonts w:cs="Times New Roman"/>
          <w:lang w:val="zh-CN"/>
        </w:rPr>
        <w:t>、施工废水等）和固体废物（建筑垃圾等），施工期将对周围环境产生一定的影响，通过相关措施的控制及管理，其影响是暂时的、可消除的。</w:t>
      </w:r>
    </w:p>
    <w:p>
      <w:pPr>
        <w:pStyle w:val="7"/>
        <w:adjustRightInd w:val="0"/>
        <w:snapToGrid w:val="0"/>
        <w:ind w:firstLine="480"/>
        <w:rPr>
          <w:rFonts w:cs="Times New Roman"/>
          <w:lang w:val="zh-CN"/>
        </w:rPr>
      </w:pPr>
      <w:r>
        <w:rPr>
          <w:rFonts w:cs="Times New Roman"/>
          <w:lang w:val="zh-CN"/>
        </w:rPr>
        <w:t>运营期环境影响因素主要包括装置运行期间产生的废气、废水、噪声、固体废物等对区域内各环境要素（环境空气、地下水、声环境、土壤环境等）产生不同程度的影响，且影响贯穿于整个生产期。</w:t>
      </w:r>
    </w:p>
    <w:p>
      <w:pPr>
        <w:pStyle w:val="7"/>
        <w:adjustRightInd w:val="0"/>
        <w:snapToGrid w:val="0"/>
        <w:ind w:firstLine="480"/>
        <w:rPr>
          <w:rFonts w:cs="Times New Roman"/>
          <w:lang w:val="zh-CN"/>
        </w:rPr>
      </w:pPr>
      <w:r>
        <w:rPr>
          <w:rFonts w:cs="Times New Roman"/>
          <w:lang w:val="zh-CN"/>
        </w:rPr>
        <w:t>在对建设项目现场勘查的基础上，依据该项目周边的环境状况和项目生产情况，对建设项目各阶段环境影响要素进行筛选。</w:t>
      </w:r>
    </w:p>
    <w:p>
      <w:pPr>
        <w:pStyle w:val="7"/>
        <w:adjustRightInd w:val="0"/>
        <w:snapToGrid w:val="0"/>
        <w:ind w:firstLine="480"/>
        <w:rPr>
          <w:rFonts w:cs="Times New Roman"/>
          <w:lang w:val="zh-CN"/>
        </w:rPr>
      </w:pPr>
      <w:r>
        <w:rPr>
          <w:rFonts w:cs="Times New Roman"/>
          <w:lang w:val="zh-CN"/>
        </w:rPr>
        <w:t>本次主要识别项目施工期和运营期的各种行为与可能受影响的环境要素间的作用效应关系、影响性质、影响范围、影响程度等，见</w:t>
      </w:r>
      <w:r>
        <w:rPr>
          <w:rFonts w:hint="eastAsia" w:cs="Times New Roman"/>
          <w:lang w:val="zh-CN"/>
        </w:rPr>
        <w:t>表2.3-1。</w:t>
      </w:r>
    </w:p>
    <w:p>
      <w:pPr>
        <w:pStyle w:val="36"/>
        <w:spacing w:before="156"/>
        <w:rPr>
          <w:rFonts w:eastAsia="宋体"/>
        </w:rPr>
      </w:pPr>
      <w:bookmarkStart w:id="15" w:name="_Ref111288929"/>
      <w:r>
        <w:rPr>
          <w:rFonts w:eastAsia="宋体"/>
        </w:rPr>
        <w:t>表</w:t>
      </w:r>
      <w:bookmarkEnd w:id="15"/>
      <w:r>
        <w:rPr>
          <w:rFonts w:hint="eastAsia" w:eastAsia="宋体"/>
        </w:rPr>
        <w:t xml:space="preserve">2.3-1  </w:t>
      </w:r>
      <w:r>
        <w:rPr>
          <w:rFonts w:eastAsia="宋体"/>
        </w:rPr>
        <w:t>主要环境影响识别矩阵</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690"/>
        <w:gridCol w:w="1071"/>
        <w:gridCol w:w="875"/>
        <w:gridCol w:w="904"/>
        <w:gridCol w:w="1064"/>
        <w:gridCol w:w="802"/>
        <w:gridCol w:w="737"/>
        <w:gridCol w:w="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restart"/>
            <w:tcBorders>
              <w:tl2br w:val="nil"/>
              <w:tr2bl w:val="nil"/>
            </w:tcBorders>
          </w:tcPr>
          <w:p>
            <w:pPr>
              <w:pStyle w:val="34"/>
            </w:pPr>
            <w:r>
              <w:t>评价</w:t>
            </w:r>
          </w:p>
          <w:p>
            <w:pPr>
              <w:pStyle w:val="34"/>
            </w:pPr>
            <w:r>
              <w:t>时段</w:t>
            </w:r>
          </w:p>
        </w:tc>
        <w:tc>
          <w:tcPr>
            <w:tcW w:w="991" w:type="pct"/>
            <w:vMerge w:val="restart"/>
            <w:tcBorders>
              <w:tl2br w:val="nil"/>
              <w:tr2bl w:val="nil"/>
            </w:tcBorders>
          </w:tcPr>
          <w:p>
            <w:pPr>
              <w:pStyle w:val="34"/>
            </w:pPr>
            <w:r>
              <w:t>工程行为</w:t>
            </w:r>
          </w:p>
        </w:tc>
        <w:tc>
          <w:tcPr>
            <w:tcW w:w="3639" w:type="pct"/>
            <w:gridSpan w:val="7"/>
            <w:tcBorders>
              <w:tl2br w:val="nil"/>
              <w:tr2bl w:val="nil"/>
            </w:tcBorders>
          </w:tcPr>
          <w:p>
            <w:pPr>
              <w:pStyle w:val="34"/>
            </w:pPr>
            <w:r>
              <w:t>可能受影响的环境要素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continue"/>
            <w:tcBorders>
              <w:tl2br w:val="nil"/>
              <w:tr2bl w:val="nil"/>
            </w:tcBorders>
          </w:tcPr>
          <w:p>
            <w:pPr>
              <w:pStyle w:val="34"/>
            </w:pPr>
          </w:p>
        </w:tc>
        <w:tc>
          <w:tcPr>
            <w:tcW w:w="991" w:type="pct"/>
            <w:vMerge w:val="continue"/>
            <w:tcBorders>
              <w:tl2br w:val="nil"/>
              <w:tr2bl w:val="nil"/>
            </w:tcBorders>
          </w:tcPr>
          <w:p>
            <w:pPr>
              <w:pStyle w:val="34"/>
            </w:pPr>
          </w:p>
        </w:tc>
        <w:tc>
          <w:tcPr>
            <w:tcW w:w="628" w:type="pct"/>
            <w:tcBorders>
              <w:tl2br w:val="nil"/>
              <w:tr2bl w:val="nil"/>
            </w:tcBorders>
          </w:tcPr>
          <w:p>
            <w:pPr>
              <w:pStyle w:val="34"/>
            </w:pPr>
            <w:r>
              <w:t>环境空气</w:t>
            </w:r>
          </w:p>
        </w:tc>
        <w:tc>
          <w:tcPr>
            <w:tcW w:w="513" w:type="pct"/>
            <w:tcBorders>
              <w:tl2br w:val="nil"/>
              <w:tr2bl w:val="nil"/>
            </w:tcBorders>
          </w:tcPr>
          <w:p>
            <w:pPr>
              <w:pStyle w:val="34"/>
            </w:pPr>
            <w:r>
              <w:t>地下水</w:t>
            </w:r>
          </w:p>
        </w:tc>
        <w:tc>
          <w:tcPr>
            <w:tcW w:w="530" w:type="pct"/>
            <w:tcBorders>
              <w:tl2br w:val="nil"/>
              <w:tr2bl w:val="nil"/>
            </w:tcBorders>
          </w:tcPr>
          <w:p>
            <w:pPr>
              <w:pStyle w:val="34"/>
            </w:pPr>
            <w:r>
              <w:t>声环境</w:t>
            </w:r>
          </w:p>
        </w:tc>
        <w:tc>
          <w:tcPr>
            <w:tcW w:w="624" w:type="pct"/>
            <w:tcBorders>
              <w:tl2br w:val="nil"/>
              <w:tr2bl w:val="nil"/>
            </w:tcBorders>
          </w:tcPr>
          <w:p>
            <w:pPr>
              <w:pStyle w:val="34"/>
            </w:pPr>
            <w:r>
              <w:t>土壤环境</w:t>
            </w:r>
          </w:p>
        </w:tc>
        <w:tc>
          <w:tcPr>
            <w:tcW w:w="470" w:type="pct"/>
            <w:tcBorders>
              <w:tl2br w:val="nil"/>
              <w:tr2bl w:val="nil"/>
            </w:tcBorders>
          </w:tcPr>
          <w:p>
            <w:pPr>
              <w:pStyle w:val="34"/>
            </w:pPr>
            <w:r>
              <w:t>植被</w:t>
            </w:r>
          </w:p>
        </w:tc>
        <w:tc>
          <w:tcPr>
            <w:tcW w:w="432" w:type="pct"/>
            <w:tcBorders>
              <w:tl2br w:val="nil"/>
              <w:tr2bl w:val="nil"/>
            </w:tcBorders>
          </w:tcPr>
          <w:p>
            <w:pPr>
              <w:pStyle w:val="34"/>
            </w:pPr>
            <w:r>
              <w:rPr>
                <w:rFonts w:hint="eastAsia"/>
              </w:rPr>
              <w:t>动物</w:t>
            </w:r>
          </w:p>
        </w:tc>
        <w:tc>
          <w:tcPr>
            <w:tcW w:w="441" w:type="pct"/>
            <w:tcBorders>
              <w:tl2br w:val="nil"/>
              <w:tr2bl w:val="nil"/>
            </w:tcBorders>
          </w:tcPr>
          <w:p>
            <w:pPr>
              <w:pStyle w:val="34"/>
            </w:pPr>
            <w:r>
              <w:t>水土流失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restart"/>
            <w:tcBorders>
              <w:tl2br w:val="nil"/>
              <w:tr2bl w:val="nil"/>
            </w:tcBorders>
          </w:tcPr>
          <w:p>
            <w:pPr>
              <w:pStyle w:val="34"/>
            </w:pPr>
            <w:r>
              <w:t>施</w:t>
            </w:r>
          </w:p>
          <w:p>
            <w:pPr>
              <w:pStyle w:val="34"/>
            </w:pPr>
            <w:r>
              <w:t>工</w:t>
            </w:r>
          </w:p>
          <w:p>
            <w:pPr>
              <w:pStyle w:val="34"/>
            </w:pPr>
            <w:r>
              <w:t>期</w:t>
            </w:r>
          </w:p>
        </w:tc>
        <w:tc>
          <w:tcPr>
            <w:tcW w:w="991" w:type="pct"/>
            <w:tcBorders>
              <w:tl2br w:val="nil"/>
              <w:tr2bl w:val="nil"/>
            </w:tcBorders>
          </w:tcPr>
          <w:p>
            <w:pPr>
              <w:pStyle w:val="34"/>
            </w:pPr>
            <w:r>
              <w:t>场地清理及开挖</w:t>
            </w:r>
          </w:p>
        </w:tc>
        <w:tc>
          <w:tcPr>
            <w:tcW w:w="628" w:type="pct"/>
            <w:tcBorders>
              <w:tl2br w:val="nil"/>
              <w:tr2bl w:val="nil"/>
            </w:tcBorders>
          </w:tcPr>
          <w:p>
            <w:pPr>
              <w:pStyle w:val="34"/>
            </w:pPr>
            <w:r>
              <w:t>-1S</w:t>
            </w:r>
          </w:p>
        </w:tc>
        <w:tc>
          <w:tcPr>
            <w:tcW w:w="513" w:type="pct"/>
            <w:tcBorders>
              <w:tl2br w:val="nil"/>
              <w:tr2bl w:val="nil"/>
            </w:tcBorders>
          </w:tcPr>
          <w:p>
            <w:pPr>
              <w:pStyle w:val="34"/>
            </w:pPr>
            <w:r>
              <w:t>0</w:t>
            </w:r>
          </w:p>
        </w:tc>
        <w:tc>
          <w:tcPr>
            <w:tcW w:w="530" w:type="pct"/>
            <w:tcBorders>
              <w:tl2br w:val="nil"/>
              <w:tr2bl w:val="nil"/>
            </w:tcBorders>
          </w:tcPr>
          <w:p>
            <w:pPr>
              <w:pStyle w:val="34"/>
            </w:pPr>
            <w:r>
              <w:t>-1S</w:t>
            </w:r>
          </w:p>
        </w:tc>
        <w:tc>
          <w:tcPr>
            <w:tcW w:w="624" w:type="pct"/>
            <w:tcBorders>
              <w:tl2br w:val="nil"/>
              <w:tr2bl w:val="nil"/>
            </w:tcBorders>
          </w:tcPr>
          <w:p>
            <w:pPr>
              <w:pStyle w:val="34"/>
            </w:pPr>
            <w:r>
              <w:t>-1S</w:t>
            </w:r>
          </w:p>
        </w:tc>
        <w:tc>
          <w:tcPr>
            <w:tcW w:w="470" w:type="pct"/>
            <w:tcBorders>
              <w:tl2br w:val="nil"/>
              <w:tr2bl w:val="nil"/>
            </w:tcBorders>
          </w:tcPr>
          <w:p>
            <w:pPr>
              <w:pStyle w:val="34"/>
            </w:pPr>
            <w:r>
              <w:t>-1S</w:t>
            </w:r>
          </w:p>
        </w:tc>
        <w:tc>
          <w:tcPr>
            <w:tcW w:w="432" w:type="pct"/>
            <w:tcBorders>
              <w:tl2br w:val="nil"/>
              <w:tr2bl w:val="nil"/>
            </w:tcBorders>
          </w:tcPr>
          <w:p>
            <w:pPr>
              <w:pStyle w:val="34"/>
            </w:pPr>
            <w:r>
              <w:t>-1S</w:t>
            </w:r>
          </w:p>
        </w:tc>
        <w:tc>
          <w:tcPr>
            <w:tcW w:w="441" w:type="pct"/>
            <w:tcBorders>
              <w:tl2br w:val="nil"/>
              <w:tr2bl w:val="nil"/>
            </w:tcBorders>
          </w:tcPr>
          <w:p>
            <w:pPr>
              <w:pStyle w:val="34"/>
            </w:pPr>
            <w:r>
              <w:t>-1S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continue"/>
            <w:tcBorders>
              <w:tl2br w:val="nil"/>
              <w:tr2bl w:val="nil"/>
            </w:tcBorders>
          </w:tcPr>
          <w:p>
            <w:pPr>
              <w:pStyle w:val="34"/>
            </w:pPr>
          </w:p>
        </w:tc>
        <w:tc>
          <w:tcPr>
            <w:tcW w:w="991" w:type="pct"/>
            <w:tcBorders>
              <w:tl2br w:val="nil"/>
              <w:tr2bl w:val="nil"/>
            </w:tcBorders>
          </w:tcPr>
          <w:p>
            <w:pPr>
              <w:pStyle w:val="34"/>
            </w:pPr>
            <w:r>
              <w:t>基础工程</w:t>
            </w:r>
          </w:p>
        </w:tc>
        <w:tc>
          <w:tcPr>
            <w:tcW w:w="628" w:type="pct"/>
            <w:tcBorders>
              <w:tl2br w:val="nil"/>
              <w:tr2bl w:val="nil"/>
            </w:tcBorders>
          </w:tcPr>
          <w:p>
            <w:pPr>
              <w:pStyle w:val="34"/>
            </w:pPr>
            <w:r>
              <w:t>-1S</w:t>
            </w:r>
          </w:p>
        </w:tc>
        <w:tc>
          <w:tcPr>
            <w:tcW w:w="513" w:type="pct"/>
            <w:tcBorders>
              <w:tl2br w:val="nil"/>
              <w:tr2bl w:val="nil"/>
            </w:tcBorders>
          </w:tcPr>
          <w:p>
            <w:pPr>
              <w:pStyle w:val="34"/>
            </w:pPr>
            <w:r>
              <w:t>0</w:t>
            </w:r>
          </w:p>
        </w:tc>
        <w:tc>
          <w:tcPr>
            <w:tcW w:w="530" w:type="pct"/>
            <w:tcBorders>
              <w:tl2br w:val="nil"/>
              <w:tr2bl w:val="nil"/>
            </w:tcBorders>
          </w:tcPr>
          <w:p>
            <w:pPr>
              <w:pStyle w:val="34"/>
            </w:pPr>
            <w:r>
              <w:t>-1S</w:t>
            </w:r>
          </w:p>
        </w:tc>
        <w:tc>
          <w:tcPr>
            <w:tcW w:w="624" w:type="pct"/>
            <w:tcBorders>
              <w:tl2br w:val="nil"/>
              <w:tr2bl w:val="nil"/>
            </w:tcBorders>
          </w:tcPr>
          <w:p>
            <w:pPr>
              <w:pStyle w:val="34"/>
            </w:pPr>
            <w:r>
              <w:t>0</w:t>
            </w:r>
          </w:p>
        </w:tc>
        <w:tc>
          <w:tcPr>
            <w:tcW w:w="470" w:type="pct"/>
            <w:tcBorders>
              <w:tl2br w:val="nil"/>
              <w:tr2bl w:val="nil"/>
            </w:tcBorders>
          </w:tcPr>
          <w:p>
            <w:pPr>
              <w:pStyle w:val="34"/>
            </w:pPr>
            <w:r>
              <w:t>0</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t>-1L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continue"/>
            <w:tcBorders>
              <w:tl2br w:val="nil"/>
              <w:tr2bl w:val="nil"/>
            </w:tcBorders>
          </w:tcPr>
          <w:p>
            <w:pPr>
              <w:pStyle w:val="34"/>
            </w:pPr>
          </w:p>
        </w:tc>
        <w:tc>
          <w:tcPr>
            <w:tcW w:w="991" w:type="pct"/>
            <w:tcBorders>
              <w:tl2br w:val="nil"/>
              <w:tr2bl w:val="nil"/>
            </w:tcBorders>
          </w:tcPr>
          <w:p>
            <w:pPr>
              <w:pStyle w:val="34"/>
            </w:pPr>
            <w:r>
              <w:t>建筑施工</w:t>
            </w:r>
          </w:p>
        </w:tc>
        <w:tc>
          <w:tcPr>
            <w:tcW w:w="628" w:type="pct"/>
            <w:tcBorders>
              <w:tl2br w:val="nil"/>
              <w:tr2bl w:val="nil"/>
            </w:tcBorders>
          </w:tcPr>
          <w:p>
            <w:pPr>
              <w:pStyle w:val="34"/>
            </w:pPr>
            <w:r>
              <w:t>-1S</w:t>
            </w:r>
          </w:p>
        </w:tc>
        <w:tc>
          <w:tcPr>
            <w:tcW w:w="513" w:type="pct"/>
            <w:tcBorders>
              <w:tl2br w:val="nil"/>
              <w:tr2bl w:val="nil"/>
            </w:tcBorders>
          </w:tcPr>
          <w:p>
            <w:pPr>
              <w:pStyle w:val="34"/>
            </w:pPr>
            <w:r>
              <w:t>0</w:t>
            </w:r>
          </w:p>
        </w:tc>
        <w:tc>
          <w:tcPr>
            <w:tcW w:w="530" w:type="pct"/>
            <w:tcBorders>
              <w:tl2br w:val="nil"/>
              <w:tr2bl w:val="nil"/>
            </w:tcBorders>
          </w:tcPr>
          <w:p>
            <w:pPr>
              <w:pStyle w:val="34"/>
            </w:pPr>
            <w:r>
              <w:t>-1S</w:t>
            </w:r>
          </w:p>
        </w:tc>
        <w:tc>
          <w:tcPr>
            <w:tcW w:w="624" w:type="pct"/>
            <w:tcBorders>
              <w:tl2br w:val="nil"/>
              <w:tr2bl w:val="nil"/>
            </w:tcBorders>
          </w:tcPr>
          <w:p>
            <w:pPr>
              <w:pStyle w:val="34"/>
            </w:pPr>
            <w:r>
              <w:t>0</w:t>
            </w:r>
          </w:p>
        </w:tc>
        <w:tc>
          <w:tcPr>
            <w:tcW w:w="470" w:type="pct"/>
            <w:tcBorders>
              <w:tl2br w:val="nil"/>
              <w:tr2bl w:val="nil"/>
            </w:tcBorders>
          </w:tcPr>
          <w:p>
            <w:pPr>
              <w:pStyle w:val="34"/>
            </w:pPr>
            <w:r>
              <w:t>0</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continue"/>
            <w:tcBorders>
              <w:tl2br w:val="nil"/>
              <w:tr2bl w:val="nil"/>
            </w:tcBorders>
          </w:tcPr>
          <w:p>
            <w:pPr>
              <w:pStyle w:val="34"/>
            </w:pPr>
          </w:p>
        </w:tc>
        <w:tc>
          <w:tcPr>
            <w:tcW w:w="991" w:type="pct"/>
            <w:tcBorders>
              <w:tl2br w:val="nil"/>
              <w:tr2bl w:val="nil"/>
            </w:tcBorders>
          </w:tcPr>
          <w:p>
            <w:pPr>
              <w:pStyle w:val="34"/>
            </w:pPr>
            <w:r>
              <w:t>装修及安装施工</w:t>
            </w:r>
          </w:p>
        </w:tc>
        <w:tc>
          <w:tcPr>
            <w:tcW w:w="628" w:type="pct"/>
            <w:tcBorders>
              <w:tl2br w:val="nil"/>
              <w:tr2bl w:val="nil"/>
            </w:tcBorders>
          </w:tcPr>
          <w:p>
            <w:pPr>
              <w:pStyle w:val="34"/>
            </w:pPr>
            <w:r>
              <w:t>-1S</w:t>
            </w:r>
          </w:p>
        </w:tc>
        <w:tc>
          <w:tcPr>
            <w:tcW w:w="513" w:type="pct"/>
            <w:tcBorders>
              <w:tl2br w:val="nil"/>
              <w:tr2bl w:val="nil"/>
            </w:tcBorders>
          </w:tcPr>
          <w:p>
            <w:pPr>
              <w:pStyle w:val="34"/>
            </w:pPr>
            <w:r>
              <w:t>0</w:t>
            </w:r>
          </w:p>
        </w:tc>
        <w:tc>
          <w:tcPr>
            <w:tcW w:w="530" w:type="pct"/>
            <w:tcBorders>
              <w:tl2br w:val="nil"/>
              <w:tr2bl w:val="nil"/>
            </w:tcBorders>
          </w:tcPr>
          <w:p>
            <w:pPr>
              <w:pStyle w:val="34"/>
            </w:pPr>
            <w:r>
              <w:t>-1S</w:t>
            </w:r>
          </w:p>
        </w:tc>
        <w:tc>
          <w:tcPr>
            <w:tcW w:w="624" w:type="pct"/>
            <w:tcBorders>
              <w:tl2br w:val="nil"/>
              <w:tr2bl w:val="nil"/>
            </w:tcBorders>
          </w:tcPr>
          <w:p>
            <w:pPr>
              <w:pStyle w:val="34"/>
            </w:pPr>
            <w:r>
              <w:t>0</w:t>
            </w:r>
          </w:p>
        </w:tc>
        <w:tc>
          <w:tcPr>
            <w:tcW w:w="470" w:type="pct"/>
            <w:tcBorders>
              <w:tl2br w:val="nil"/>
              <w:tr2bl w:val="nil"/>
            </w:tcBorders>
          </w:tcPr>
          <w:p>
            <w:pPr>
              <w:pStyle w:val="34"/>
            </w:pPr>
            <w:r>
              <w:t>0</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continue"/>
            <w:tcBorders>
              <w:tl2br w:val="nil"/>
              <w:tr2bl w:val="nil"/>
            </w:tcBorders>
          </w:tcPr>
          <w:p>
            <w:pPr>
              <w:pStyle w:val="34"/>
            </w:pPr>
          </w:p>
        </w:tc>
        <w:tc>
          <w:tcPr>
            <w:tcW w:w="991" w:type="pct"/>
            <w:tcBorders>
              <w:tl2br w:val="nil"/>
              <w:tr2bl w:val="nil"/>
            </w:tcBorders>
          </w:tcPr>
          <w:p>
            <w:pPr>
              <w:pStyle w:val="34"/>
            </w:pPr>
            <w:r>
              <w:t>运输</w:t>
            </w:r>
          </w:p>
        </w:tc>
        <w:tc>
          <w:tcPr>
            <w:tcW w:w="628" w:type="pct"/>
            <w:tcBorders>
              <w:tl2br w:val="nil"/>
              <w:tr2bl w:val="nil"/>
            </w:tcBorders>
          </w:tcPr>
          <w:p>
            <w:pPr>
              <w:pStyle w:val="34"/>
            </w:pPr>
            <w:r>
              <w:t>-1S</w:t>
            </w:r>
          </w:p>
        </w:tc>
        <w:tc>
          <w:tcPr>
            <w:tcW w:w="513" w:type="pct"/>
            <w:tcBorders>
              <w:tl2br w:val="nil"/>
              <w:tr2bl w:val="nil"/>
            </w:tcBorders>
          </w:tcPr>
          <w:p>
            <w:pPr>
              <w:pStyle w:val="34"/>
            </w:pPr>
            <w:r>
              <w:t>0</w:t>
            </w:r>
          </w:p>
        </w:tc>
        <w:tc>
          <w:tcPr>
            <w:tcW w:w="530" w:type="pct"/>
            <w:tcBorders>
              <w:tl2br w:val="nil"/>
              <w:tr2bl w:val="nil"/>
            </w:tcBorders>
          </w:tcPr>
          <w:p>
            <w:pPr>
              <w:pStyle w:val="34"/>
            </w:pPr>
            <w:r>
              <w:t>-1S</w:t>
            </w:r>
          </w:p>
        </w:tc>
        <w:tc>
          <w:tcPr>
            <w:tcW w:w="624" w:type="pct"/>
            <w:tcBorders>
              <w:tl2br w:val="nil"/>
              <w:tr2bl w:val="nil"/>
            </w:tcBorders>
          </w:tcPr>
          <w:p>
            <w:pPr>
              <w:pStyle w:val="34"/>
            </w:pPr>
            <w:r>
              <w:t>-1L</w:t>
            </w:r>
          </w:p>
        </w:tc>
        <w:tc>
          <w:tcPr>
            <w:tcW w:w="470" w:type="pct"/>
            <w:tcBorders>
              <w:tl2br w:val="nil"/>
              <w:tr2bl w:val="nil"/>
            </w:tcBorders>
          </w:tcPr>
          <w:p>
            <w:pPr>
              <w:pStyle w:val="34"/>
            </w:pPr>
            <w:r>
              <w:t>-1L</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continue"/>
            <w:tcBorders>
              <w:tl2br w:val="nil"/>
              <w:tr2bl w:val="nil"/>
            </w:tcBorders>
          </w:tcPr>
          <w:p>
            <w:pPr>
              <w:pStyle w:val="34"/>
            </w:pPr>
          </w:p>
        </w:tc>
        <w:tc>
          <w:tcPr>
            <w:tcW w:w="991" w:type="pct"/>
            <w:tcBorders>
              <w:tl2br w:val="nil"/>
              <w:tr2bl w:val="nil"/>
            </w:tcBorders>
          </w:tcPr>
          <w:p>
            <w:pPr>
              <w:pStyle w:val="34"/>
            </w:pPr>
            <w:r>
              <w:t>物料堆存</w:t>
            </w:r>
          </w:p>
        </w:tc>
        <w:tc>
          <w:tcPr>
            <w:tcW w:w="628" w:type="pct"/>
            <w:tcBorders>
              <w:tl2br w:val="nil"/>
              <w:tr2bl w:val="nil"/>
            </w:tcBorders>
          </w:tcPr>
          <w:p>
            <w:pPr>
              <w:pStyle w:val="34"/>
            </w:pPr>
            <w:r>
              <w:t>-1S</w:t>
            </w:r>
          </w:p>
        </w:tc>
        <w:tc>
          <w:tcPr>
            <w:tcW w:w="513" w:type="pct"/>
            <w:tcBorders>
              <w:tl2br w:val="nil"/>
              <w:tr2bl w:val="nil"/>
            </w:tcBorders>
          </w:tcPr>
          <w:p>
            <w:pPr>
              <w:pStyle w:val="34"/>
            </w:pPr>
            <w:r>
              <w:t>0</w:t>
            </w:r>
          </w:p>
        </w:tc>
        <w:tc>
          <w:tcPr>
            <w:tcW w:w="530" w:type="pct"/>
            <w:tcBorders>
              <w:tl2br w:val="nil"/>
              <w:tr2bl w:val="nil"/>
            </w:tcBorders>
          </w:tcPr>
          <w:p>
            <w:pPr>
              <w:pStyle w:val="34"/>
            </w:pPr>
            <w:r>
              <w:t>0</w:t>
            </w:r>
          </w:p>
        </w:tc>
        <w:tc>
          <w:tcPr>
            <w:tcW w:w="624" w:type="pct"/>
            <w:tcBorders>
              <w:tl2br w:val="nil"/>
              <w:tr2bl w:val="nil"/>
            </w:tcBorders>
          </w:tcPr>
          <w:p>
            <w:pPr>
              <w:pStyle w:val="34"/>
            </w:pPr>
            <w:r>
              <w:t>-1S</w:t>
            </w:r>
          </w:p>
        </w:tc>
        <w:tc>
          <w:tcPr>
            <w:tcW w:w="470" w:type="pct"/>
            <w:tcBorders>
              <w:tl2br w:val="nil"/>
              <w:tr2bl w:val="nil"/>
            </w:tcBorders>
          </w:tcPr>
          <w:p>
            <w:pPr>
              <w:pStyle w:val="34"/>
            </w:pPr>
            <w:r>
              <w:t>-1S</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t>+1S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restart"/>
            <w:tcBorders>
              <w:tl2br w:val="nil"/>
              <w:tr2bl w:val="nil"/>
            </w:tcBorders>
          </w:tcPr>
          <w:p>
            <w:pPr>
              <w:pStyle w:val="34"/>
            </w:pPr>
            <w:r>
              <w:t>运</w:t>
            </w:r>
          </w:p>
          <w:p>
            <w:pPr>
              <w:pStyle w:val="34"/>
            </w:pPr>
            <w:r>
              <w:t>营</w:t>
            </w:r>
          </w:p>
          <w:p>
            <w:pPr>
              <w:pStyle w:val="34"/>
            </w:pPr>
            <w:r>
              <w:t>期</w:t>
            </w:r>
          </w:p>
        </w:tc>
        <w:tc>
          <w:tcPr>
            <w:tcW w:w="991" w:type="pct"/>
            <w:tcBorders>
              <w:tl2br w:val="nil"/>
              <w:tr2bl w:val="nil"/>
            </w:tcBorders>
          </w:tcPr>
          <w:p>
            <w:pPr>
              <w:pStyle w:val="34"/>
            </w:pPr>
            <w:r>
              <w:t>废气排放</w:t>
            </w:r>
          </w:p>
        </w:tc>
        <w:tc>
          <w:tcPr>
            <w:tcW w:w="628" w:type="pct"/>
            <w:tcBorders>
              <w:tl2br w:val="nil"/>
              <w:tr2bl w:val="nil"/>
            </w:tcBorders>
          </w:tcPr>
          <w:p>
            <w:pPr>
              <w:pStyle w:val="34"/>
            </w:pPr>
            <w:r>
              <w:t>-2L</w:t>
            </w:r>
          </w:p>
        </w:tc>
        <w:tc>
          <w:tcPr>
            <w:tcW w:w="513" w:type="pct"/>
            <w:tcBorders>
              <w:tl2br w:val="nil"/>
              <w:tr2bl w:val="nil"/>
            </w:tcBorders>
          </w:tcPr>
          <w:p>
            <w:pPr>
              <w:pStyle w:val="34"/>
            </w:pPr>
            <w:r>
              <w:t>0</w:t>
            </w:r>
          </w:p>
        </w:tc>
        <w:tc>
          <w:tcPr>
            <w:tcW w:w="530" w:type="pct"/>
            <w:tcBorders>
              <w:tl2br w:val="nil"/>
              <w:tr2bl w:val="nil"/>
            </w:tcBorders>
          </w:tcPr>
          <w:p>
            <w:pPr>
              <w:pStyle w:val="34"/>
            </w:pPr>
            <w:r>
              <w:t>0</w:t>
            </w:r>
          </w:p>
        </w:tc>
        <w:tc>
          <w:tcPr>
            <w:tcW w:w="624" w:type="pct"/>
            <w:tcBorders>
              <w:tl2br w:val="nil"/>
              <w:tr2bl w:val="nil"/>
            </w:tcBorders>
          </w:tcPr>
          <w:p>
            <w:pPr>
              <w:pStyle w:val="34"/>
            </w:pPr>
            <w:r>
              <w:t>0</w:t>
            </w:r>
          </w:p>
        </w:tc>
        <w:tc>
          <w:tcPr>
            <w:tcW w:w="470" w:type="pct"/>
            <w:tcBorders>
              <w:tl2br w:val="nil"/>
              <w:tr2bl w:val="nil"/>
            </w:tcBorders>
          </w:tcPr>
          <w:p>
            <w:pPr>
              <w:pStyle w:val="34"/>
            </w:pPr>
            <w:r>
              <w:t>0</w:t>
            </w:r>
          </w:p>
        </w:tc>
        <w:tc>
          <w:tcPr>
            <w:tcW w:w="432" w:type="pct"/>
            <w:tcBorders>
              <w:tl2br w:val="nil"/>
              <w:tr2bl w:val="nil"/>
            </w:tcBorders>
          </w:tcPr>
          <w:p>
            <w:pPr>
              <w:pStyle w:val="34"/>
            </w:pPr>
            <w:r>
              <w:t>0</w:t>
            </w:r>
          </w:p>
        </w:tc>
        <w:tc>
          <w:tcPr>
            <w:tcW w:w="441" w:type="pct"/>
            <w:tcBorders>
              <w:tl2br w:val="nil"/>
              <w:tr2bl w:val="nil"/>
            </w:tcBorders>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Merge w:val="continue"/>
            <w:tcBorders>
              <w:tl2br w:val="nil"/>
              <w:tr2bl w:val="nil"/>
            </w:tcBorders>
          </w:tcPr>
          <w:p>
            <w:pPr>
              <w:pStyle w:val="34"/>
            </w:pPr>
          </w:p>
        </w:tc>
        <w:tc>
          <w:tcPr>
            <w:tcW w:w="991" w:type="pct"/>
            <w:tcBorders>
              <w:tl2br w:val="nil"/>
              <w:tr2bl w:val="nil"/>
            </w:tcBorders>
          </w:tcPr>
          <w:p>
            <w:pPr>
              <w:pStyle w:val="34"/>
            </w:pPr>
            <w:r>
              <w:t>废水排放</w:t>
            </w:r>
          </w:p>
        </w:tc>
        <w:tc>
          <w:tcPr>
            <w:tcW w:w="628" w:type="pct"/>
            <w:tcBorders>
              <w:tl2br w:val="nil"/>
              <w:tr2bl w:val="nil"/>
            </w:tcBorders>
          </w:tcPr>
          <w:p>
            <w:pPr>
              <w:pStyle w:val="34"/>
            </w:pPr>
            <w:r>
              <w:t>0</w:t>
            </w:r>
          </w:p>
        </w:tc>
        <w:tc>
          <w:tcPr>
            <w:tcW w:w="513" w:type="pct"/>
            <w:tcBorders>
              <w:tl2br w:val="nil"/>
              <w:tr2bl w:val="nil"/>
            </w:tcBorders>
          </w:tcPr>
          <w:p>
            <w:pPr>
              <w:pStyle w:val="34"/>
            </w:pPr>
            <w:r>
              <w:t>-1L</w:t>
            </w:r>
          </w:p>
        </w:tc>
        <w:tc>
          <w:tcPr>
            <w:tcW w:w="530" w:type="pct"/>
            <w:tcBorders>
              <w:tl2br w:val="nil"/>
              <w:tr2bl w:val="nil"/>
            </w:tcBorders>
          </w:tcPr>
          <w:p>
            <w:pPr>
              <w:pStyle w:val="34"/>
            </w:pPr>
            <w:r>
              <w:t>0</w:t>
            </w:r>
          </w:p>
        </w:tc>
        <w:tc>
          <w:tcPr>
            <w:tcW w:w="624" w:type="pct"/>
            <w:tcBorders>
              <w:tl2br w:val="nil"/>
              <w:tr2bl w:val="nil"/>
            </w:tcBorders>
          </w:tcPr>
          <w:p>
            <w:pPr>
              <w:pStyle w:val="34"/>
            </w:pPr>
            <w:r>
              <w:t>-1L</w:t>
            </w:r>
          </w:p>
        </w:tc>
        <w:tc>
          <w:tcPr>
            <w:tcW w:w="470" w:type="pct"/>
            <w:tcBorders>
              <w:tl2br w:val="nil"/>
              <w:tr2bl w:val="nil"/>
            </w:tcBorders>
          </w:tcPr>
          <w:p>
            <w:pPr>
              <w:pStyle w:val="34"/>
            </w:pPr>
            <w:r>
              <w:t>0</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vMerge w:val="continue"/>
            <w:tcBorders>
              <w:tl2br w:val="nil"/>
              <w:tr2bl w:val="nil"/>
            </w:tcBorders>
          </w:tcPr>
          <w:p>
            <w:pPr>
              <w:pStyle w:val="34"/>
            </w:pPr>
          </w:p>
        </w:tc>
        <w:tc>
          <w:tcPr>
            <w:tcW w:w="991" w:type="pct"/>
            <w:tcBorders>
              <w:tl2br w:val="nil"/>
              <w:tr2bl w:val="nil"/>
            </w:tcBorders>
          </w:tcPr>
          <w:p>
            <w:pPr>
              <w:pStyle w:val="34"/>
            </w:pPr>
            <w:r>
              <w:t>噪声排放</w:t>
            </w:r>
          </w:p>
        </w:tc>
        <w:tc>
          <w:tcPr>
            <w:tcW w:w="628" w:type="pct"/>
            <w:tcBorders>
              <w:tl2br w:val="nil"/>
              <w:tr2bl w:val="nil"/>
            </w:tcBorders>
          </w:tcPr>
          <w:p>
            <w:pPr>
              <w:pStyle w:val="34"/>
            </w:pPr>
            <w:r>
              <w:t>0</w:t>
            </w:r>
          </w:p>
        </w:tc>
        <w:tc>
          <w:tcPr>
            <w:tcW w:w="513" w:type="pct"/>
            <w:tcBorders>
              <w:tl2br w:val="nil"/>
              <w:tr2bl w:val="nil"/>
            </w:tcBorders>
          </w:tcPr>
          <w:p>
            <w:pPr>
              <w:pStyle w:val="34"/>
            </w:pPr>
            <w:r>
              <w:t>0</w:t>
            </w:r>
          </w:p>
        </w:tc>
        <w:tc>
          <w:tcPr>
            <w:tcW w:w="530" w:type="pct"/>
            <w:tcBorders>
              <w:tl2br w:val="nil"/>
              <w:tr2bl w:val="nil"/>
            </w:tcBorders>
          </w:tcPr>
          <w:p>
            <w:pPr>
              <w:pStyle w:val="34"/>
            </w:pPr>
            <w:r>
              <w:t>-1S</w:t>
            </w:r>
          </w:p>
        </w:tc>
        <w:tc>
          <w:tcPr>
            <w:tcW w:w="624" w:type="pct"/>
            <w:tcBorders>
              <w:tl2br w:val="nil"/>
              <w:tr2bl w:val="nil"/>
            </w:tcBorders>
          </w:tcPr>
          <w:p>
            <w:pPr>
              <w:pStyle w:val="34"/>
            </w:pPr>
            <w:r>
              <w:t>0</w:t>
            </w:r>
          </w:p>
        </w:tc>
        <w:tc>
          <w:tcPr>
            <w:tcW w:w="470" w:type="pct"/>
            <w:tcBorders>
              <w:tl2br w:val="nil"/>
              <w:tr2bl w:val="nil"/>
            </w:tcBorders>
          </w:tcPr>
          <w:p>
            <w:pPr>
              <w:pStyle w:val="34"/>
            </w:pPr>
            <w:r>
              <w:t>0</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vMerge w:val="continue"/>
            <w:tcBorders>
              <w:tl2br w:val="nil"/>
              <w:tr2bl w:val="nil"/>
            </w:tcBorders>
          </w:tcPr>
          <w:p>
            <w:pPr>
              <w:pStyle w:val="34"/>
            </w:pPr>
          </w:p>
        </w:tc>
        <w:tc>
          <w:tcPr>
            <w:tcW w:w="991" w:type="pct"/>
            <w:tcBorders>
              <w:tl2br w:val="nil"/>
              <w:tr2bl w:val="nil"/>
            </w:tcBorders>
          </w:tcPr>
          <w:p>
            <w:pPr>
              <w:pStyle w:val="34"/>
            </w:pPr>
            <w:r>
              <w:rPr>
                <w:rFonts w:hint="eastAsia"/>
              </w:rPr>
              <w:t>固体废物</w:t>
            </w:r>
          </w:p>
        </w:tc>
        <w:tc>
          <w:tcPr>
            <w:tcW w:w="628" w:type="pct"/>
            <w:tcBorders>
              <w:tl2br w:val="nil"/>
              <w:tr2bl w:val="nil"/>
            </w:tcBorders>
          </w:tcPr>
          <w:p>
            <w:pPr>
              <w:pStyle w:val="34"/>
            </w:pPr>
            <w:r>
              <w:rPr>
                <w:rFonts w:hint="eastAsia"/>
              </w:rPr>
              <w:t>0</w:t>
            </w:r>
          </w:p>
        </w:tc>
        <w:tc>
          <w:tcPr>
            <w:tcW w:w="513" w:type="pct"/>
            <w:tcBorders>
              <w:tl2br w:val="nil"/>
              <w:tr2bl w:val="nil"/>
            </w:tcBorders>
          </w:tcPr>
          <w:p>
            <w:pPr>
              <w:pStyle w:val="34"/>
            </w:pPr>
            <w:r>
              <w:rPr>
                <w:rFonts w:hint="eastAsia"/>
              </w:rPr>
              <w:t>0</w:t>
            </w:r>
          </w:p>
        </w:tc>
        <w:tc>
          <w:tcPr>
            <w:tcW w:w="530" w:type="pct"/>
            <w:tcBorders>
              <w:tl2br w:val="nil"/>
              <w:tr2bl w:val="nil"/>
            </w:tcBorders>
          </w:tcPr>
          <w:p>
            <w:pPr>
              <w:pStyle w:val="34"/>
            </w:pPr>
            <w:r>
              <w:rPr>
                <w:rFonts w:hint="eastAsia"/>
              </w:rPr>
              <w:t>0</w:t>
            </w:r>
          </w:p>
        </w:tc>
        <w:tc>
          <w:tcPr>
            <w:tcW w:w="624" w:type="pct"/>
            <w:tcBorders>
              <w:tl2br w:val="nil"/>
              <w:tr2bl w:val="nil"/>
            </w:tcBorders>
          </w:tcPr>
          <w:p>
            <w:pPr>
              <w:pStyle w:val="34"/>
            </w:pPr>
            <w:r>
              <w:t>-1L</w:t>
            </w:r>
          </w:p>
        </w:tc>
        <w:tc>
          <w:tcPr>
            <w:tcW w:w="470" w:type="pct"/>
            <w:tcBorders>
              <w:tl2br w:val="nil"/>
              <w:tr2bl w:val="nil"/>
            </w:tcBorders>
          </w:tcPr>
          <w:p>
            <w:pPr>
              <w:pStyle w:val="34"/>
            </w:pPr>
            <w:r>
              <w:rPr>
                <w:rFonts w:hint="eastAsia"/>
              </w:rPr>
              <w:t>0</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vMerge w:val="continue"/>
            <w:tcBorders>
              <w:tl2br w:val="nil"/>
              <w:tr2bl w:val="nil"/>
            </w:tcBorders>
          </w:tcPr>
          <w:p>
            <w:pPr>
              <w:pStyle w:val="34"/>
            </w:pPr>
          </w:p>
        </w:tc>
        <w:tc>
          <w:tcPr>
            <w:tcW w:w="991" w:type="pct"/>
            <w:tcBorders>
              <w:tl2br w:val="nil"/>
              <w:tr2bl w:val="nil"/>
            </w:tcBorders>
          </w:tcPr>
          <w:p>
            <w:pPr>
              <w:pStyle w:val="34"/>
            </w:pPr>
            <w:r>
              <w:rPr>
                <w:rFonts w:hint="eastAsia"/>
              </w:rPr>
              <w:t>环境风险</w:t>
            </w:r>
          </w:p>
        </w:tc>
        <w:tc>
          <w:tcPr>
            <w:tcW w:w="628" w:type="pct"/>
            <w:tcBorders>
              <w:tl2br w:val="nil"/>
              <w:tr2bl w:val="nil"/>
            </w:tcBorders>
          </w:tcPr>
          <w:p>
            <w:pPr>
              <w:pStyle w:val="34"/>
            </w:pPr>
            <w:r>
              <w:t>-1S</w:t>
            </w:r>
          </w:p>
        </w:tc>
        <w:tc>
          <w:tcPr>
            <w:tcW w:w="513" w:type="pct"/>
            <w:tcBorders>
              <w:tl2br w:val="nil"/>
              <w:tr2bl w:val="nil"/>
            </w:tcBorders>
          </w:tcPr>
          <w:p>
            <w:pPr>
              <w:pStyle w:val="34"/>
            </w:pPr>
            <w:r>
              <w:rPr>
                <w:rFonts w:hint="eastAsia"/>
              </w:rPr>
              <w:t>0</w:t>
            </w:r>
          </w:p>
        </w:tc>
        <w:tc>
          <w:tcPr>
            <w:tcW w:w="530" w:type="pct"/>
            <w:tcBorders>
              <w:tl2br w:val="nil"/>
              <w:tr2bl w:val="nil"/>
            </w:tcBorders>
          </w:tcPr>
          <w:p>
            <w:pPr>
              <w:pStyle w:val="34"/>
            </w:pPr>
            <w:r>
              <w:rPr>
                <w:rFonts w:hint="eastAsia"/>
              </w:rPr>
              <w:t>0</w:t>
            </w:r>
          </w:p>
        </w:tc>
        <w:tc>
          <w:tcPr>
            <w:tcW w:w="624" w:type="pct"/>
            <w:tcBorders>
              <w:tl2br w:val="nil"/>
              <w:tr2bl w:val="nil"/>
            </w:tcBorders>
          </w:tcPr>
          <w:p>
            <w:pPr>
              <w:pStyle w:val="34"/>
            </w:pPr>
            <w:r>
              <w:rPr>
                <w:rFonts w:hint="eastAsia"/>
              </w:rPr>
              <w:t>0</w:t>
            </w:r>
          </w:p>
        </w:tc>
        <w:tc>
          <w:tcPr>
            <w:tcW w:w="470" w:type="pct"/>
            <w:tcBorders>
              <w:tl2br w:val="nil"/>
              <w:tr2bl w:val="nil"/>
            </w:tcBorders>
          </w:tcPr>
          <w:p>
            <w:pPr>
              <w:pStyle w:val="34"/>
            </w:pPr>
            <w:r>
              <w:rPr>
                <w:rFonts w:hint="eastAsia"/>
              </w:rPr>
              <w:t>0</w:t>
            </w:r>
          </w:p>
        </w:tc>
        <w:tc>
          <w:tcPr>
            <w:tcW w:w="432" w:type="pct"/>
            <w:tcBorders>
              <w:tl2br w:val="nil"/>
              <w:tr2bl w:val="nil"/>
            </w:tcBorders>
          </w:tcPr>
          <w:p>
            <w:pPr>
              <w:pStyle w:val="34"/>
            </w:pPr>
            <w:r>
              <w:rPr>
                <w:rFonts w:hint="eastAsia"/>
              </w:rPr>
              <w:t>0</w:t>
            </w:r>
          </w:p>
        </w:tc>
        <w:tc>
          <w:tcPr>
            <w:tcW w:w="441" w:type="pct"/>
            <w:tcBorders>
              <w:tl2br w:val="nil"/>
              <w:tr2bl w:val="nil"/>
            </w:tcBorders>
          </w:tcPr>
          <w:p>
            <w:pPr>
              <w:pStyle w:val="34"/>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l2br w:val="nil"/>
              <w:tr2bl w:val="nil"/>
            </w:tcBorders>
          </w:tcPr>
          <w:p>
            <w:pPr>
              <w:pStyle w:val="34"/>
            </w:pPr>
            <w:r>
              <w:t>注：3-重大影响；2-中等影响；1-轻微影响；0-无影响；“+”表示有利影响；“-”表示不利影响；“L”长期影响，“S”短期影响。</w:t>
            </w:r>
          </w:p>
        </w:tc>
      </w:tr>
    </w:tbl>
    <w:p>
      <w:pPr>
        <w:pStyle w:val="5"/>
        <w:spacing w:after="0" w:afterLines="0"/>
        <w:rPr>
          <w:rFonts w:cs="Times New Roman"/>
        </w:rPr>
      </w:pPr>
      <w:r>
        <w:rPr>
          <w:rFonts w:cs="Times New Roman"/>
        </w:rPr>
        <w:t>评价因子筛选</w:t>
      </w:r>
    </w:p>
    <w:p>
      <w:pPr>
        <w:pStyle w:val="7"/>
        <w:ind w:firstLine="480"/>
        <w:rPr>
          <w:rFonts w:cs="Times New Roman"/>
          <w:lang w:val="zh-CN"/>
        </w:rPr>
      </w:pPr>
      <w:r>
        <w:rPr>
          <w:rFonts w:cs="Times New Roman"/>
          <w:lang w:val="zh-CN"/>
        </w:rPr>
        <w:t>根据项目运营期的特点，结合项目所在区域环境功能及各环境因子的重要性和可能受影响的程度，在环境影响因素识别的基础上，从环境要素方面进行环境因子的识别与筛选，见</w:t>
      </w:r>
      <w:r>
        <w:rPr>
          <w:rFonts w:hint="eastAsia" w:cs="Times New Roman"/>
          <w:lang w:val="zh-CN"/>
        </w:rPr>
        <w:t>表2.3-2</w:t>
      </w:r>
      <w:r>
        <w:rPr>
          <w:rFonts w:cs="Times New Roman"/>
          <w:lang w:val="zh-CN"/>
        </w:rPr>
        <w:t>。</w:t>
      </w:r>
    </w:p>
    <w:p>
      <w:pPr>
        <w:pStyle w:val="36"/>
        <w:spacing w:before="156"/>
        <w:rPr>
          <w:rFonts w:eastAsia="宋体"/>
        </w:rPr>
      </w:pPr>
      <w:bookmarkStart w:id="16" w:name="_Ref111290809"/>
      <w:r>
        <w:rPr>
          <w:rFonts w:eastAsia="宋体"/>
        </w:rPr>
        <w:t>表</w:t>
      </w:r>
      <w:r>
        <w:rPr>
          <w:rFonts w:hint="eastAsia" w:eastAsia="宋体"/>
        </w:rPr>
        <w:t>2.3-2</w:t>
      </w:r>
      <w:bookmarkEnd w:id="16"/>
      <w:r>
        <w:rPr>
          <w:rFonts w:hint="eastAsia" w:eastAsia="宋体"/>
        </w:rPr>
        <w:t xml:space="preserve">  </w:t>
      </w:r>
      <w:r>
        <w:rPr>
          <w:rFonts w:eastAsia="宋体"/>
        </w:rPr>
        <w:t>评价因子筛选一览表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170"/>
        <w:gridCol w:w="6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387" w:type="pct"/>
            <w:gridSpan w:val="2"/>
            <w:tcBorders>
              <w:tl2br w:val="nil"/>
              <w:tr2bl w:val="nil"/>
            </w:tcBorders>
            <w:vAlign w:val="center"/>
          </w:tcPr>
          <w:p>
            <w:pPr>
              <w:pStyle w:val="34"/>
            </w:pPr>
            <w:r>
              <w:rPr>
                <w:lang w:val="zh-CN"/>
              </w:rPr>
              <w:t>类别</w:t>
            </w:r>
          </w:p>
        </w:tc>
        <w:tc>
          <w:tcPr>
            <w:tcW w:w="3613" w:type="pct"/>
            <w:tcBorders>
              <w:tl2br w:val="nil"/>
              <w:tr2bl w:val="nil"/>
            </w:tcBorders>
            <w:vAlign w:val="center"/>
          </w:tcPr>
          <w:p>
            <w:pPr>
              <w:pStyle w:val="34"/>
            </w:pPr>
            <w:r>
              <w:t>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tcBorders>
              <w:tl2br w:val="nil"/>
              <w:tr2bl w:val="nil"/>
            </w:tcBorders>
            <w:vAlign w:val="center"/>
          </w:tcPr>
          <w:p>
            <w:pPr>
              <w:pStyle w:val="34"/>
            </w:pPr>
            <w:r>
              <w:rPr>
                <w:lang w:val="zh-CN"/>
              </w:rPr>
              <w:t>环境空气</w:t>
            </w:r>
          </w:p>
        </w:tc>
        <w:tc>
          <w:tcPr>
            <w:tcW w:w="686" w:type="pct"/>
            <w:tcBorders>
              <w:tl2br w:val="nil"/>
              <w:tr2bl w:val="nil"/>
            </w:tcBorders>
            <w:vAlign w:val="center"/>
          </w:tcPr>
          <w:p>
            <w:pPr>
              <w:pStyle w:val="34"/>
              <w:rPr>
                <w:lang w:val="zh-CN"/>
              </w:rPr>
            </w:pPr>
            <w:r>
              <w:rPr>
                <w:lang w:val="zh-CN"/>
              </w:rPr>
              <w:t>现状评价</w:t>
            </w:r>
          </w:p>
        </w:tc>
        <w:tc>
          <w:tcPr>
            <w:tcW w:w="6162" w:type="dxa"/>
            <w:tcBorders>
              <w:tl2br w:val="nil"/>
              <w:tr2bl w:val="nil"/>
            </w:tcBorders>
            <w:vAlign w:val="center"/>
          </w:tcPr>
          <w:p>
            <w:pPr>
              <w:pStyle w:val="34"/>
            </w:pPr>
            <w:r>
              <w:t>PM</w:t>
            </w:r>
            <w:r>
              <w:rPr>
                <w:vertAlign w:val="subscript"/>
              </w:rPr>
              <w:t>10</w:t>
            </w:r>
            <w:r>
              <w:t>、PM</w:t>
            </w:r>
            <w:r>
              <w:rPr>
                <w:vertAlign w:val="subscript"/>
              </w:rPr>
              <w:t>2.5</w:t>
            </w:r>
            <w:r>
              <w:t>、NO</w:t>
            </w:r>
            <w:r>
              <w:rPr>
                <w:vertAlign w:val="subscript"/>
              </w:rPr>
              <w:t>2</w:t>
            </w:r>
            <w:r>
              <w:t>、SO</w:t>
            </w:r>
            <w:r>
              <w:rPr>
                <w:vertAlign w:val="subscript"/>
              </w:rPr>
              <w:t>2</w:t>
            </w:r>
            <w:r>
              <w:t>、CO、O</w:t>
            </w:r>
            <w:r>
              <w:rPr>
                <w:vertAlign w:val="subscript"/>
              </w:rPr>
              <w:t>3</w:t>
            </w:r>
            <w: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tcBorders>
              <w:tl2br w:val="nil"/>
              <w:tr2bl w:val="nil"/>
            </w:tcBorders>
            <w:vAlign w:val="center"/>
          </w:tcPr>
          <w:p>
            <w:pPr>
              <w:pStyle w:val="34"/>
              <w:rPr>
                <w:lang w:val="zh-CN"/>
              </w:rPr>
            </w:pPr>
          </w:p>
        </w:tc>
        <w:tc>
          <w:tcPr>
            <w:tcW w:w="686" w:type="pct"/>
            <w:tcBorders>
              <w:tl2br w:val="nil"/>
              <w:tr2bl w:val="nil"/>
            </w:tcBorders>
            <w:vAlign w:val="center"/>
          </w:tcPr>
          <w:p>
            <w:pPr>
              <w:pStyle w:val="34"/>
              <w:rPr>
                <w:lang w:val="zh-CN"/>
              </w:rPr>
            </w:pPr>
            <w:r>
              <w:rPr>
                <w:lang w:val="zh-CN"/>
              </w:rPr>
              <w:t>影响预测</w:t>
            </w:r>
          </w:p>
        </w:tc>
        <w:tc>
          <w:tcPr>
            <w:tcW w:w="6162" w:type="dxa"/>
            <w:tcBorders>
              <w:tl2br w:val="nil"/>
              <w:tr2bl w:val="nil"/>
            </w:tcBorders>
            <w:vAlign w:val="center"/>
          </w:tcPr>
          <w:p>
            <w:pPr>
              <w:pStyle w:val="34"/>
            </w:pPr>
            <w: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tcBorders>
              <w:tl2br w:val="nil"/>
              <w:tr2bl w:val="nil"/>
            </w:tcBorders>
            <w:vAlign w:val="center"/>
          </w:tcPr>
          <w:p>
            <w:pPr>
              <w:pStyle w:val="34"/>
            </w:pPr>
            <w:r>
              <w:t>水环境</w:t>
            </w:r>
          </w:p>
        </w:tc>
        <w:tc>
          <w:tcPr>
            <w:tcW w:w="686" w:type="pct"/>
            <w:tcBorders>
              <w:tl2br w:val="nil"/>
              <w:tr2bl w:val="nil"/>
            </w:tcBorders>
            <w:vAlign w:val="center"/>
          </w:tcPr>
          <w:p>
            <w:pPr>
              <w:pStyle w:val="34"/>
              <w:rPr>
                <w:lang w:val="zh-CN"/>
              </w:rPr>
            </w:pPr>
            <w:r>
              <w:rPr>
                <w:lang w:val="zh-CN"/>
              </w:rPr>
              <w:t>现状评价</w:t>
            </w:r>
          </w:p>
        </w:tc>
        <w:tc>
          <w:tcPr>
            <w:tcW w:w="3613" w:type="pct"/>
            <w:tcBorders>
              <w:tl2br w:val="nil"/>
              <w:tr2bl w:val="nil"/>
            </w:tcBorders>
            <w:vAlign w:val="center"/>
          </w:tcPr>
          <w:p>
            <w:pPr>
              <w:pStyle w:val="34"/>
            </w:pPr>
            <w:r>
              <w:t>地下水：K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；pH、总硬度、溶解性总固体、铁、锰、铜、锌、挥发酚、阴离子表面活性剂、硝酸盐、亚硝酸盐、氨氮、硫化物、氟化物、氰化物、汞、砷、镉、六价铬、铅、总大肠菌群等。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tcBorders>
              <w:tl2br w:val="nil"/>
              <w:tr2bl w:val="nil"/>
            </w:tcBorders>
            <w:vAlign w:val="center"/>
          </w:tcPr>
          <w:p>
            <w:pPr>
              <w:pStyle w:val="34"/>
            </w:pPr>
          </w:p>
        </w:tc>
        <w:tc>
          <w:tcPr>
            <w:tcW w:w="686" w:type="pct"/>
            <w:tcBorders>
              <w:tl2br w:val="nil"/>
              <w:tr2bl w:val="nil"/>
            </w:tcBorders>
            <w:vAlign w:val="center"/>
          </w:tcPr>
          <w:p>
            <w:pPr>
              <w:pStyle w:val="34"/>
              <w:rPr>
                <w:lang w:val="zh-CN"/>
              </w:rPr>
            </w:pPr>
            <w:r>
              <w:rPr>
                <w:lang w:val="zh-CN"/>
              </w:rPr>
              <w:t>影响预测</w:t>
            </w:r>
          </w:p>
        </w:tc>
        <w:tc>
          <w:tcPr>
            <w:tcW w:w="3613" w:type="pct"/>
            <w:tcBorders>
              <w:tl2br w:val="nil"/>
              <w:tr2bl w:val="nil"/>
            </w:tcBorders>
            <w:vAlign w:val="center"/>
          </w:tcPr>
          <w:p>
            <w:pPr>
              <w:pStyle w:val="34"/>
            </w:pPr>
            <w:r>
              <w:t>COD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tcBorders>
              <w:tl2br w:val="nil"/>
              <w:tr2bl w:val="nil"/>
            </w:tcBorders>
            <w:vAlign w:val="center"/>
          </w:tcPr>
          <w:p>
            <w:pPr>
              <w:pStyle w:val="34"/>
            </w:pPr>
            <w:r>
              <w:t>声环境</w:t>
            </w:r>
          </w:p>
        </w:tc>
        <w:tc>
          <w:tcPr>
            <w:tcW w:w="686" w:type="pct"/>
            <w:tcBorders>
              <w:tl2br w:val="nil"/>
              <w:tr2bl w:val="nil"/>
            </w:tcBorders>
            <w:vAlign w:val="center"/>
          </w:tcPr>
          <w:p>
            <w:pPr>
              <w:pStyle w:val="34"/>
            </w:pPr>
            <w:r>
              <w:t>现状评价</w:t>
            </w:r>
          </w:p>
        </w:tc>
        <w:tc>
          <w:tcPr>
            <w:tcW w:w="3613" w:type="pct"/>
            <w:tcBorders>
              <w:tl2br w:val="nil"/>
              <w:tr2bl w:val="nil"/>
            </w:tcBorders>
            <w:vAlign w:val="center"/>
          </w:tcPr>
          <w:p>
            <w:pPr>
              <w:pStyle w:val="34"/>
              <w:rPr>
                <w:lang w:val="zh-CN"/>
              </w:rPr>
            </w:pPr>
            <w: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tcBorders>
              <w:tl2br w:val="nil"/>
              <w:tr2bl w:val="nil"/>
            </w:tcBorders>
            <w:vAlign w:val="center"/>
          </w:tcPr>
          <w:p>
            <w:pPr>
              <w:pStyle w:val="34"/>
            </w:pPr>
          </w:p>
        </w:tc>
        <w:tc>
          <w:tcPr>
            <w:tcW w:w="686" w:type="pct"/>
            <w:tcBorders>
              <w:tl2br w:val="nil"/>
              <w:tr2bl w:val="nil"/>
            </w:tcBorders>
            <w:vAlign w:val="center"/>
          </w:tcPr>
          <w:p>
            <w:pPr>
              <w:pStyle w:val="34"/>
            </w:pPr>
            <w:r>
              <w:t>影响预测</w:t>
            </w:r>
          </w:p>
        </w:tc>
        <w:tc>
          <w:tcPr>
            <w:tcW w:w="3613" w:type="pct"/>
            <w:tcBorders>
              <w:tl2br w:val="nil"/>
              <w:tr2bl w:val="nil"/>
            </w:tcBorders>
            <w:vAlign w:val="center"/>
          </w:tcPr>
          <w:p>
            <w:pPr>
              <w:pStyle w:val="34"/>
              <w:rPr>
                <w:lang w:val="zh-CN"/>
              </w:rPr>
            </w:pPr>
            <w: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tcBorders>
              <w:tl2br w:val="nil"/>
              <w:tr2bl w:val="nil"/>
            </w:tcBorders>
            <w:vAlign w:val="center"/>
          </w:tcPr>
          <w:p>
            <w:pPr>
              <w:pStyle w:val="34"/>
            </w:pPr>
            <w:r>
              <w:t>土壤环境</w:t>
            </w:r>
          </w:p>
        </w:tc>
        <w:tc>
          <w:tcPr>
            <w:tcW w:w="686" w:type="pct"/>
            <w:tcBorders>
              <w:tl2br w:val="nil"/>
              <w:tr2bl w:val="nil"/>
            </w:tcBorders>
            <w:vAlign w:val="center"/>
          </w:tcPr>
          <w:p>
            <w:pPr>
              <w:pStyle w:val="34"/>
            </w:pPr>
            <w:r>
              <w:t>现状评价</w:t>
            </w:r>
          </w:p>
        </w:tc>
        <w:tc>
          <w:tcPr>
            <w:tcW w:w="3613" w:type="pct"/>
            <w:tcBorders>
              <w:tl2br w:val="nil"/>
              <w:tr2bl w:val="nil"/>
            </w:tcBorders>
            <w:vAlign w:val="center"/>
          </w:tcPr>
          <w:p>
            <w:pPr>
              <w:pStyle w:val="34"/>
            </w:pPr>
            <w:r>
              <w:rPr>
                <w:lang w:val="zh-CN"/>
              </w:rPr>
              <w:t>砷、镉、铬</w:t>
            </w:r>
            <w:r>
              <w:t>（</w:t>
            </w:r>
            <w:r>
              <w:rPr>
                <w:lang w:val="zh-CN"/>
              </w:rPr>
              <w:t>六价</w:t>
            </w:r>
            <w:r>
              <w:t>）</w:t>
            </w:r>
            <w:r>
              <w:rPr>
                <w:lang w:val="zh-CN"/>
              </w:rPr>
              <w:t>、铜、铅、汞、镍、四氯化碳、氯仿、氯甲烷、</w:t>
            </w:r>
            <w:r>
              <w:t>1，1-</w:t>
            </w:r>
            <w:r>
              <w:rPr>
                <w:lang w:val="zh-CN"/>
              </w:rPr>
              <w:t>二氯乙烷、</w:t>
            </w:r>
            <w:r>
              <w:t>1，2-</w:t>
            </w:r>
            <w:r>
              <w:rPr>
                <w:lang w:val="zh-CN"/>
              </w:rPr>
              <w:t>二氯乙烷、</w:t>
            </w:r>
            <w:r>
              <w:t>1，1-</w:t>
            </w:r>
            <w:r>
              <w:rPr>
                <w:lang w:val="zh-CN"/>
              </w:rPr>
              <w:t>二氯乙烯、顺</w:t>
            </w:r>
            <w:r>
              <w:t>-1，2-</w:t>
            </w:r>
            <w:r>
              <w:rPr>
                <w:lang w:val="zh-CN"/>
              </w:rPr>
              <w:t>二氯乙烯、反</w:t>
            </w:r>
            <w:r>
              <w:t>-1，2-</w:t>
            </w:r>
            <w:r>
              <w:rPr>
                <w:lang w:val="zh-CN"/>
              </w:rPr>
              <w:t>二氯乙烯、二氯甲烷、</w:t>
            </w:r>
            <w:r>
              <w:t>1，2-</w:t>
            </w:r>
            <w:r>
              <w:rPr>
                <w:lang w:val="zh-CN"/>
              </w:rPr>
              <w:t>二氯丙烷、</w:t>
            </w:r>
            <w:r>
              <w:t>1，1，1，2-</w:t>
            </w:r>
            <w:r>
              <w:rPr>
                <w:lang w:val="zh-CN"/>
              </w:rPr>
              <w:t>四氯乙烷、</w:t>
            </w:r>
            <w:r>
              <w:t>1，1，2，2-</w:t>
            </w:r>
            <w:r>
              <w:rPr>
                <w:lang w:val="zh-CN"/>
              </w:rPr>
              <w:t>四氯乙烷、四氯乙烯、</w:t>
            </w:r>
            <w:r>
              <w:t>1，1，1-</w:t>
            </w:r>
            <w:r>
              <w:rPr>
                <w:lang w:val="zh-CN"/>
              </w:rPr>
              <w:t>三氯乙烷、</w:t>
            </w:r>
            <w:r>
              <w:t>1，1，2-</w:t>
            </w:r>
            <w:r>
              <w:rPr>
                <w:lang w:val="zh-CN"/>
              </w:rPr>
              <w:t>三氯乙烷、三氯乙烯、</w:t>
            </w:r>
            <w:r>
              <w:t>1，2，3-</w:t>
            </w:r>
            <w:r>
              <w:rPr>
                <w:lang w:val="zh-CN"/>
              </w:rPr>
              <w:t>三氯丙烷、氯乙烯、苯、氯苯、</w:t>
            </w:r>
            <w:r>
              <w:t>1，2-</w:t>
            </w:r>
            <w:r>
              <w:rPr>
                <w:lang w:val="zh-CN"/>
              </w:rPr>
              <w:t>二氯苯、</w:t>
            </w:r>
            <w:r>
              <w:t>1，4-</w:t>
            </w:r>
            <w:r>
              <w:rPr>
                <w:lang w:val="zh-CN"/>
              </w:rPr>
              <w:t>二氯苯、乙苯、苯乙烯、甲苯、间二甲苯</w:t>
            </w:r>
            <w:r>
              <w:t>+</w:t>
            </w:r>
            <w:r>
              <w:rPr>
                <w:lang w:val="zh-CN"/>
              </w:rPr>
              <w:t>对二甲苯、邻二甲苯、硝基苯、苯胺、</w:t>
            </w:r>
            <w:r>
              <w:t>2-</w:t>
            </w:r>
            <w:r>
              <w:rPr>
                <w:lang w:val="zh-CN"/>
              </w:rPr>
              <w:t>氯酚、苯并</w:t>
            </w:r>
            <w:r>
              <w:t>[a]</w:t>
            </w:r>
            <w:r>
              <w:rPr>
                <w:lang w:val="zh-CN"/>
              </w:rPr>
              <w:t>蒽、苯并</w:t>
            </w:r>
            <w:r>
              <w:t>[a]</w:t>
            </w:r>
            <w:r>
              <w:rPr>
                <w:lang w:val="zh-CN"/>
              </w:rPr>
              <w:t>芘、苯并</w:t>
            </w:r>
            <w:r>
              <w:t>[b]荧蒽</w:t>
            </w:r>
            <w:r>
              <w:rPr>
                <w:lang w:val="zh-CN"/>
              </w:rPr>
              <w:t>、苯并</w:t>
            </w:r>
            <w:r>
              <w:t>[k]荧蒽、䓛、二苯并[a，h]蒽、茚并[1，2，3，-cd]芘、萘。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tcBorders>
              <w:tl2br w:val="nil"/>
              <w:tr2bl w:val="nil"/>
            </w:tcBorders>
            <w:vAlign w:val="center"/>
          </w:tcPr>
          <w:p>
            <w:pPr>
              <w:pStyle w:val="34"/>
            </w:pPr>
          </w:p>
        </w:tc>
        <w:tc>
          <w:tcPr>
            <w:tcW w:w="686" w:type="pct"/>
            <w:tcBorders>
              <w:tl2br w:val="nil"/>
              <w:tr2bl w:val="nil"/>
            </w:tcBorders>
            <w:vAlign w:val="center"/>
          </w:tcPr>
          <w:p>
            <w:pPr>
              <w:pStyle w:val="34"/>
            </w:pPr>
            <w:r>
              <w:t>影响预测</w:t>
            </w:r>
          </w:p>
        </w:tc>
        <w:tc>
          <w:tcPr>
            <w:tcW w:w="3613"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tcBorders>
              <w:tl2br w:val="nil"/>
              <w:tr2bl w:val="nil"/>
            </w:tcBorders>
            <w:vAlign w:val="center"/>
          </w:tcPr>
          <w:p>
            <w:pPr>
              <w:pStyle w:val="34"/>
            </w:pPr>
            <w:r>
              <w:t>固体废物</w:t>
            </w:r>
          </w:p>
        </w:tc>
        <w:tc>
          <w:tcPr>
            <w:tcW w:w="686" w:type="pct"/>
            <w:tcBorders>
              <w:tl2br w:val="nil"/>
              <w:tr2bl w:val="nil"/>
            </w:tcBorders>
            <w:vAlign w:val="center"/>
          </w:tcPr>
          <w:p>
            <w:pPr>
              <w:pStyle w:val="34"/>
              <w:rPr>
                <w:lang w:val="zh-CN"/>
              </w:rPr>
            </w:pPr>
            <w:r>
              <w:t>现状评价</w:t>
            </w:r>
          </w:p>
        </w:tc>
        <w:tc>
          <w:tcPr>
            <w:tcW w:w="3613"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tcBorders>
              <w:tl2br w:val="nil"/>
              <w:tr2bl w:val="nil"/>
            </w:tcBorders>
            <w:vAlign w:val="center"/>
          </w:tcPr>
          <w:p>
            <w:pPr>
              <w:pStyle w:val="34"/>
            </w:pPr>
          </w:p>
        </w:tc>
        <w:tc>
          <w:tcPr>
            <w:tcW w:w="686" w:type="pct"/>
            <w:tcBorders>
              <w:tl2br w:val="nil"/>
              <w:tr2bl w:val="nil"/>
            </w:tcBorders>
            <w:vAlign w:val="center"/>
          </w:tcPr>
          <w:p>
            <w:pPr>
              <w:pStyle w:val="34"/>
              <w:rPr>
                <w:lang w:val="zh-CN"/>
              </w:rPr>
            </w:pPr>
            <w:r>
              <w:rPr>
                <w:lang w:val="zh-CN"/>
              </w:rPr>
              <w:t>影响分析</w:t>
            </w:r>
          </w:p>
        </w:tc>
        <w:tc>
          <w:tcPr>
            <w:tcW w:w="3613" w:type="pct"/>
            <w:tcBorders>
              <w:tl2br w:val="nil"/>
              <w:tr2bl w:val="nil"/>
            </w:tcBorders>
            <w:vAlign w:val="center"/>
          </w:tcPr>
          <w:p>
            <w:pPr>
              <w:pStyle w:val="34"/>
            </w:pPr>
            <w:r>
              <w:t>污泥、废滤网、废UV灯管、废活性炭、废润滑油、生活垃圾等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tcBorders>
              <w:tl2br w:val="nil"/>
              <w:tr2bl w:val="nil"/>
            </w:tcBorders>
            <w:vAlign w:val="center"/>
          </w:tcPr>
          <w:p>
            <w:pPr>
              <w:pStyle w:val="34"/>
            </w:pPr>
            <w:r>
              <w:t>生态环境</w:t>
            </w:r>
          </w:p>
        </w:tc>
        <w:tc>
          <w:tcPr>
            <w:tcW w:w="686" w:type="pct"/>
            <w:tcBorders>
              <w:tl2br w:val="nil"/>
              <w:tr2bl w:val="nil"/>
            </w:tcBorders>
            <w:vAlign w:val="center"/>
          </w:tcPr>
          <w:p>
            <w:pPr>
              <w:pStyle w:val="34"/>
              <w:rPr>
                <w:lang w:val="zh-CN"/>
              </w:rPr>
            </w:pPr>
            <w:r>
              <w:t>现状评价</w:t>
            </w:r>
          </w:p>
        </w:tc>
        <w:tc>
          <w:tcPr>
            <w:tcW w:w="3613" w:type="pct"/>
            <w:tcBorders>
              <w:tl2br w:val="nil"/>
              <w:tr2bl w:val="nil"/>
            </w:tcBorders>
            <w:vAlign w:val="center"/>
          </w:tcPr>
          <w:p>
            <w:pPr>
              <w:jc w:val="center"/>
              <w:rPr>
                <w:rFonts w:ascii="Times New Roman" w:hAnsi="Times New Roman"/>
                <w:lang w:val="zh-CN"/>
              </w:rPr>
            </w:pPr>
            <w:r>
              <w:rPr>
                <w:rFonts w:hint="eastAsia" w:ascii="Times New Roman" w:hAnsi="Times New Roman"/>
                <w:lang w:val="zh-CN"/>
              </w:rPr>
              <w:t>动物、植被、土地利用现状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tcBorders>
              <w:tl2br w:val="nil"/>
              <w:tr2bl w:val="nil"/>
            </w:tcBorders>
            <w:vAlign w:val="center"/>
          </w:tcPr>
          <w:p>
            <w:pPr>
              <w:pStyle w:val="34"/>
            </w:pPr>
          </w:p>
        </w:tc>
        <w:tc>
          <w:tcPr>
            <w:tcW w:w="686" w:type="pct"/>
            <w:tcBorders>
              <w:tl2br w:val="nil"/>
              <w:tr2bl w:val="nil"/>
            </w:tcBorders>
            <w:vAlign w:val="center"/>
          </w:tcPr>
          <w:p>
            <w:pPr>
              <w:pStyle w:val="34"/>
              <w:rPr>
                <w:lang w:val="zh-CN"/>
              </w:rPr>
            </w:pPr>
            <w:r>
              <w:rPr>
                <w:lang w:val="zh-CN"/>
              </w:rPr>
              <w:t>影响分析</w:t>
            </w:r>
          </w:p>
        </w:tc>
        <w:tc>
          <w:tcPr>
            <w:tcW w:w="3613" w:type="pct"/>
            <w:tcBorders>
              <w:tl2br w:val="nil"/>
              <w:tr2bl w:val="nil"/>
            </w:tcBorders>
            <w:vAlign w:val="center"/>
          </w:tcPr>
          <w:p>
            <w:pPr>
              <w:pStyle w:val="34"/>
            </w:pPr>
            <w:r>
              <w:rPr>
                <w:rFonts w:hint="eastAsia"/>
                <w:lang w:val="zh-CN"/>
              </w:rPr>
              <w:t>土地利用、植被、野生动物、水土流失</w:t>
            </w:r>
          </w:p>
        </w:tc>
      </w:tr>
    </w:tbl>
    <w:p>
      <w:pPr>
        <w:pStyle w:val="4"/>
        <w:spacing w:before="156" w:after="156"/>
        <w:rPr>
          <w:rFonts w:eastAsia="宋体"/>
          <w:lang w:val="zh-CN"/>
        </w:rPr>
      </w:pPr>
      <w:bookmarkStart w:id="17" w:name="_Toc5061"/>
      <w:r>
        <w:rPr>
          <w:rFonts w:eastAsia="宋体"/>
          <w:lang w:val="zh-CN"/>
        </w:rPr>
        <w:t>环境功能区划及评价标准</w:t>
      </w:r>
      <w:bookmarkEnd w:id="17"/>
    </w:p>
    <w:p>
      <w:pPr>
        <w:pStyle w:val="5"/>
        <w:rPr>
          <w:rFonts w:cs="Times New Roman"/>
        </w:rPr>
      </w:pPr>
      <w:r>
        <w:rPr>
          <w:rFonts w:cs="Times New Roman"/>
        </w:rPr>
        <w:t>环境功能区划</w:t>
      </w:r>
    </w:p>
    <w:p>
      <w:pPr>
        <w:pStyle w:val="7"/>
        <w:adjustRightInd w:val="0"/>
        <w:snapToGrid w:val="0"/>
        <w:ind w:firstLine="480"/>
        <w:rPr>
          <w:rFonts w:cs="Times New Roman"/>
          <w:lang w:val="zh-CN"/>
        </w:rPr>
      </w:pPr>
      <w:r>
        <w:rPr>
          <w:rFonts w:cs="Times New Roman"/>
          <w:lang w:val="zh-CN"/>
        </w:rPr>
        <w:t>（1）环境空气</w:t>
      </w:r>
    </w:p>
    <w:p>
      <w:pPr>
        <w:pStyle w:val="7"/>
        <w:adjustRightInd w:val="0"/>
        <w:snapToGrid w:val="0"/>
        <w:ind w:firstLine="480"/>
        <w:rPr>
          <w:rFonts w:cs="Times New Roman"/>
          <w:lang w:val="zh-CN"/>
        </w:rPr>
      </w:pPr>
      <w:r>
        <w:rPr>
          <w:rFonts w:cs="Times New Roman"/>
        </w:rPr>
        <w:t>本项目建设地点位于塔城市</w:t>
      </w:r>
      <w:r>
        <w:rPr>
          <w:rFonts w:hint="eastAsia" w:cs="Times New Roman"/>
        </w:rPr>
        <w:t>恰夏镇</w:t>
      </w:r>
      <w:r>
        <w:rPr>
          <w:rFonts w:hint="eastAsia"/>
        </w:rPr>
        <w:t>珠茹</w:t>
      </w:r>
      <w:r>
        <w:rPr>
          <w:rFonts w:hint="eastAsia" w:cs="Times New Roman"/>
          <w:szCs w:val="24"/>
        </w:rPr>
        <w:t>社日村南侧约360m</w:t>
      </w:r>
      <w:r>
        <w:rPr>
          <w:rFonts w:cs="Times New Roman"/>
        </w:rPr>
        <w:t>处</w:t>
      </w:r>
      <w:r>
        <w:rPr>
          <w:rFonts w:cs="Times New Roman"/>
          <w:lang w:val="zh-CN"/>
        </w:rPr>
        <w:t>，根据环境空气功能区分类，评价区环境空气功能区为二类区，执行《环境空气质量标准》（GB3095-2012）中二级标准。</w:t>
      </w:r>
    </w:p>
    <w:p>
      <w:pPr>
        <w:pStyle w:val="7"/>
        <w:adjustRightInd w:val="0"/>
        <w:snapToGrid w:val="0"/>
        <w:ind w:firstLine="480"/>
        <w:rPr>
          <w:rFonts w:cs="Times New Roman"/>
          <w:lang w:val="zh-CN"/>
        </w:rPr>
      </w:pPr>
      <w:r>
        <w:rPr>
          <w:rFonts w:cs="Times New Roman"/>
          <w:lang w:val="zh-CN"/>
        </w:rPr>
        <w:t>（2水环境</w:t>
      </w:r>
    </w:p>
    <w:p>
      <w:pPr>
        <w:pStyle w:val="7"/>
        <w:adjustRightInd w:val="0"/>
        <w:snapToGrid w:val="0"/>
        <w:ind w:firstLine="480"/>
        <w:rPr>
          <w:rFonts w:cs="Times New Roman"/>
          <w:lang w:val="zh-CN"/>
        </w:rPr>
      </w:pPr>
      <w:r>
        <w:rPr>
          <w:rFonts w:cs="Times New Roman"/>
          <w:lang w:val="zh-CN"/>
        </w:rPr>
        <w:t>根据《地下水质量标准》（GB/T14848-2017）中地下水质量分类“以人体健康基准值为依据”的要求，主要适用于集中式生活饮用水水源及工、农业用水的地下水为Ⅲ类水质。本项目所在区域地下水执行《地下水质量标准》（GB/T14848-2017）中的Ⅲ类标准。</w:t>
      </w:r>
    </w:p>
    <w:p>
      <w:pPr>
        <w:pStyle w:val="7"/>
        <w:adjustRightInd w:val="0"/>
        <w:snapToGrid w:val="0"/>
        <w:ind w:firstLine="480"/>
        <w:rPr>
          <w:rFonts w:cs="Times New Roman"/>
          <w:lang w:val="zh-CN"/>
        </w:rPr>
      </w:pPr>
      <w:r>
        <w:rPr>
          <w:rFonts w:cs="Times New Roman"/>
          <w:lang w:val="zh-CN"/>
        </w:rPr>
        <w:t>（3）声环境</w:t>
      </w:r>
    </w:p>
    <w:p>
      <w:pPr>
        <w:pStyle w:val="7"/>
        <w:adjustRightInd w:val="0"/>
        <w:snapToGrid w:val="0"/>
        <w:ind w:firstLine="480"/>
        <w:rPr>
          <w:rFonts w:cs="Times New Roman"/>
          <w:lang w:val="zh-CN"/>
        </w:rPr>
      </w:pPr>
      <w:r>
        <w:rPr>
          <w:rFonts w:cs="Times New Roman"/>
          <w:lang w:val="zh-CN"/>
        </w:rPr>
        <w:t>按照《声环境质量标准》（GB3096-2008）和《声环境功能区划分技术规范》（GB/T15190-2014）的有关规定，项目所在地为2类声环境功能区，执行《声环境质量标准》（GB3096-2008）中2类声环境功能区环境噪声限值。</w:t>
      </w:r>
    </w:p>
    <w:p>
      <w:pPr>
        <w:pStyle w:val="7"/>
        <w:adjustRightInd w:val="0"/>
        <w:snapToGrid w:val="0"/>
        <w:ind w:firstLine="480"/>
        <w:rPr>
          <w:rFonts w:cs="Times New Roman"/>
          <w:lang w:val="zh-CN"/>
        </w:rPr>
      </w:pPr>
      <w:r>
        <w:rPr>
          <w:rFonts w:cs="Times New Roman"/>
          <w:lang w:val="zh-CN"/>
        </w:rPr>
        <w:t>（4）土壤环境</w:t>
      </w:r>
    </w:p>
    <w:p>
      <w:pPr>
        <w:pStyle w:val="7"/>
        <w:adjustRightInd w:val="0"/>
        <w:snapToGrid w:val="0"/>
        <w:ind w:firstLine="480"/>
        <w:rPr>
          <w:rFonts w:cs="Times New Roman"/>
          <w:lang w:val="zh-CN"/>
        </w:rPr>
      </w:pPr>
      <w:r>
        <w:rPr>
          <w:rFonts w:cs="Times New Roman"/>
          <w:lang w:val="zh-CN"/>
        </w:rPr>
        <w:t>本项目占地性质为建设用地，根据《土壤环境质量 建设用地土壤污染风险管控标准（试行）》（GB36600-2018），本项目土壤环境执行建设用地第二类用地土壤污染风险筛选值。</w:t>
      </w:r>
    </w:p>
    <w:p>
      <w:pPr>
        <w:pStyle w:val="5"/>
        <w:rPr>
          <w:rFonts w:cs="Times New Roman"/>
        </w:rPr>
      </w:pPr>
      <w:r>
        <w:rPr>
          <w:rFonts w:cs="Times New Roman"/>
        </w:rPr>
        <w:t>评价标准</w:t>
      </w:r>
    </w:p>
    <w:p>
      <w:pPr>
        <w:pStyle w:val="6"/>
      </w:pPr>
      <w:r>
        <w:t>环境质量标准</w:t>
      </w:r>
    </w:p>
    <w:p>
      <w:pPr>
        <w:pStyle w:val="7"/>
        <w:ind w:firstLine="480"/>
        <w:rPr>
          <w:rFonts w:cs="Times New Roman"/>
          <w:lang w:val="zh-CN"/>
        </w:rPr>
      </w:pPr>
      <w:r>
        <w:rPr>
          <w:rFonts w:cs="Times New Roman"/>
          <w:lang w:val="zh-CN"/>
        </w:rPr>
        <w:t>（1）环境空气质量标准</w:t>
      </w:r>
    </w:p>
    <w:p>
      <w:pPr>
        <w:pStyle w:val="7"/>
        <w:ind w:firstLine="480"/>
        <w:rPr>
          <w:rFonts w:cs="Times New Roman"/>
          <w:lang w:val="zh-CN"/>
        </w:rPr>
      </w:pPr>
      <w:r>
        <w:rPr>
          <w:rFonts w:cs="Times New Roman"/>
          <w:lang w:val="zh-CN"/>
        </w:rPr>
        <w:t>环境空气质量执行</w:t>
      </w:r>
      <w:r>
        <w:rPr>
          <w:rFonts w:cs="Times New Roman"/>
        </w:rPr>
        <w:t>《环境空气质量标准》（GB3095-2012）二级标准，非甲烷总烃执行《大气污染物综合排放标准详解》中的推荐值，</w:t>
      </w:r>
      <w:r>
        <w:rPr>
          <w:rFonts w:cs="Times New Roman"/>
          <w:lang w:val="zh-CN"/>
        </w:rPr>
        <w:t>见</w:t>
      </w:r>
      <w:r>
        <w:rPr>
          <w:rFonts w:hint="eastAsia" w:cs="Times New Roman"/>
          <w:lang w:val="zh-CN"/>
        </w:rPr>
        <w:t>表2.4-2</w:t>
      </w:r>
      <w:r>
        <w:rPr>
          <w:rFonts w:cs="Times New Roman"/>
          <w:lang w:val="zh-CN"/>
        </w:rPr>
        <w:t>。</w:t>
      </w:r>
    </w:p>
    <w:p>
      <w:pPr>
        <w:pStyle w:val="36"/>
        <w:spacing w:before="156"/>
        <w:rPr>
          <w:rFonts w:eastAsia="宋体"/>
        </w:rPr>
      </w:pPr>
      <w:bookmarkStart w:id="18" w:name="_Ref7340173"/>
      <w:r>
        <w:rPr>
          <w:rFonts w:eastAsia="宋体"/>
        </w:rPr>
        <w:t>表</w:t>
      </w:r>
      <w:r>
        <w:rPr>
          <w:rFonts w:hint="eastAsia" w:eastAsia="宋体"/>
        </w:rPr>
        <w:t>2.4-2</w:t>
      </w:r>
      <w:bookmarkEnd w:id="18"/>
      <w:r>
        <w:rPr>
          <w:rFonts w:eastAsia="宋体"/>
        </w:rPr>
        <w:t xml:space="preserve">  环境空气污染物浓度限值</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74"/>
        <w:gridCol w:w="1801"/>
        <w:gridCol w:w="703"/>
        <w:gridCol w:w="849"/>
        <w:gridCol w:w="3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0" w:type="auto"/>
            <w:tcBorders>
              <w:tl2br w:val="nil"/>
              <w:tr2bl w:val="nil"/>
            </w:tcBorders>
          </w:tcPr>
          <w:p>
            <w:pPr>
              <w:pStyle w:val="34"/>
            </w:pPr>
            <w:r>
              <w:t>序号</w:t>
            </w:r>
          </w:p>
        </w:tc>
        <w:tc>
          <w:tcPr>
            <w:tcW w:w="974" w:type="dxa"/>
            <w:tcBorders>
              <w:tl2br w:val="nil"/>
              <w:tr2bl w:val="nil"/>
            </w:tcBorders>
          </w:tcPr>
          <w:p>
            <w:pPr>
              <w:pStyle w:val="34"/>
            </w:pPr>
            <w:r>
              <w:t>污染物项目</w:t>
            </w:r>
          </w:p>
        </w:tc>
        <w:tc>
          <w:tcPr>
            <w:tcW w:w="1801" w:type="dxa"/>
            <w:tcBorders>
              <w:tl2br w:val="nil"/>
              <w:tr2bl w:val="nil"/>
            </w:tcBorders>
          </w:tcPr>
          <w:p>
            <w:pPr>
              <w:pStyle w:val="34"/>
            </w:pPr>
            <w:r>
              <w:t>平均时间</w:t>
            </w:r>
          </w:p>
        </w:tc>
        <w:tc>
          <w:tcPr>
            <w:tcW w:w="703" w:type="dxa"/>
            <w:tcBorders>
              <w:tl2br w:val="nil"/>
              <w:tr2bl w:val="nil"/>
            </w:tcBorders>
          </w:tcPr>
          <w:p>
            <w:pPr>
              <w:pStyle w:val="34"/>
            </w:pPr>
            <w:r>
              <w:t>浓度限值</w:t>
            </w:r>
          </w:p>
        </w:tc>
        <w:tc>
          <w:tcPr>
            <w:tcW w:w="849" w:type="dxa"/>
            <w:tcBorders>
              <w:tl2br w:val="nil"/>
              <w:tr2bl w:val="nil"/>
            </w:tcBorders>
          </w:tcPr>
          <w:p>
            <w:pPr>
              <w:pStyle w:val="34"/>
            </w:pPr>
            <w:r>
              <w:t>单位</w:t>
            </w:r>
          </w:p>
        </w:tc>
        <w:tc>
          <w:tcPr>
            <w:tcW w:w="3530" w:type="dxa"/>
            <w:tcBorders>
              <w:tl2br w:val="nil"/>
              <w:tr2bl w:val="nil"/>
            </w:tcBorders>
          </w:tcPr>
          <w:p>
            <w:pPr>
              <w:pStyle w:val="34"/>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tcPr>
          <w:p>
            <w:pPr>
              <w:pStyle w:val="34"/>
            </w:pPr>
            <w:r>
              <w:t>1</w:t>
            </w:r>
          </w:p>
        </w:tc>
        <w:tc>
          <w:tcPr>
            <w:tcW w:w="974" w:type="dxa"/>
            <w:vMerge w:val="restart"/>
            <w:tcBorders>
              <w:tl2br w:val="nil"/>
              <w:tr2bl w:val="nil"/>
            </w:tcBorders>
          </w:tcPr>
          <w:p>
            <w:pPr>
              <w:pStyle w:val="34"/>
            </w:pPr>
            <w:r>
              <w:t>SO</w:t>
            </w:r>
            <w:r>
              <w:rPr>
                <w:vertAlign w:val="subscript"/>
              </w:rPr>
              <w:t>2</w:t>
            </w:r>
          </w:p>
        </w:tc>
        <w:tc>
          <w:tcPr>
            <w:tcW w:w="1801" w:type="dxa"/>
            <w:tcBorders>
              <w:tl2br w:val="nil"/>
              <w:tr2bl w:val="nil"/>
            </w:tcBorders>
          </w:tcPr>
          <w:p>
            <w:pPr>
              <w:pStyle w:val="34"/>
            </w:pPr>
            <w:r>
              <w:t>年平均</w:t>
            </w:r>
          </w:p>
        </w:tc>
        <w:tc>
          <w:tcPr>
            <w:tcW w:w="703" w:type="dxa"/>
            <w:tcBorders>
              <w:tl2br w:val="nil"/>
              <w:tr2bl w:val="nil"/>
            </w:tcBorders>
          </w:tcPr>
          <w:p>
            <w:pPr>
              <w:pStyle w:val="34"/>
            </w:pPr>
            <w:r>
              <w:t>60</w:t>
            </w:r>
          </w:p>
        </w:tc>
        <w:tc>
          <w:tcPr>
            <w:tcW w:w="849" w:type="dxa"/>
            <w:vMerge w:val="restart"/>
            <w:tcBorders>
              <w:tl2br w:val="nil"/>
              <w:tr2bl w:val="nil"/>
            </w:tcBorders>
          </w:tcPr>
          <w:p>
            <w:pPr>
              <w:pStyle w:val="34"/>
            </w:pPr>
            <w:r>
              <w:t>μg/m</w:t>
            </w:r>
            <w:r>
              <w:rPr>
                <w:vertAlign w:val="superscript"/>
              </w:rPr>
              <w:t>3</w:t>
            </w:r>
          </w:p>
        </w:tc>
        <w:tc>
          <w:tcPr>
            <w:tcW w:w="3530" w:type="dxa"/>
            <w:vMerge w:val="restart"/>
            <w:tcBorders>
              <w:tl2br w:val="nil"/>
              <w:tr2bl w:val="nil"/>
            </w:tcBorders>
          </w:tcPr>
          <w:p>
            <w:pPr>
              <w:pStyle w:val="34"/>
            </w:pPr>
            <w: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24小时平均</w:t>
            </w:r>
          </w:p>
        </w:tc>
        <w:tc>
          <w:tcPr>
            <w:tcW w:w="703" w:type="dxa"/>
            <w:tcBorders>
              <w:tl2br w:val="nil"/>
              <w:tr2bl w:val="nil"/>
            </w:tcBorders>
          </w:tcPr>
          <w:p>
            <w:pPr>
              <w:pStyle w:val="34"/>
            </w:pPr>
            <w:r>
              <w:t>150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1小时平均</w:t>
            </w:r>
          </w:p>
        </w:tc>
        <w:tc>
          <w:tcPr>
            <w:tcW w:w="703" w:type="dxa"/>
            <w:tcBorders>
              <w:tl2br w:val="nil"/>
              <w:tr2bl w:val="nil"/>
            </w:tcBorders>
          </w:tcPr>
          <w:p>
            <w:pPr>
              <w:pStyle w:val="34"/>
            </w:pPr>
            <w:r>
              <w:t>500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tcPr>
          <w:p>
            <w:pPr>
              <w:pStyle w:val="34"/>
            </w:pPr>
            <w:r>
              <w:t>2</w:t>
            </w:r>
          </w:p>
        </w:tc>
        <w:tc>
          <w:tcPr>
            <w:tcW w:w="974" w:type="dxa"/>
            <w:vMerge w:val="restart"/>
            <w:tcBorders>
              <w:tl2br w:val="nil"/>
              <w:tr2bl w:val="nil"/>
            </w:tcBorders>
          </w:tcPr>
          <w:p>
            <w:pPr>
              <w:pStyle w:val="34"/>
            </w:pPr>
            <w:r>
              <w:t>NO</w:t>
            </w:r>
            <w:r>
              <w:rPr>
                <w:vertAlign w:val="subscript"/>
              </w:rPr>
              <w:t>2</w:t>
            </w:r>
          </w:p>
        </w:tc>
        <w:tc>
          <w:tcPr>
            <w:tcW w:w="1801" w:type="dxa"/>
            <w:tcBorders>
              <w:tl2br w:val="nil"/>
              <w:tr2bl w:val="nil"/>
            </w:tcBorders>
          </w:tcPr>
          <w:p>
            <w:pPr>
              <w:pStyle w:val="34"/>
            </w:pPr>
            <w:r>
              <w:t>年平均</w:t>
            </w:r>
          </w:p>
        </w:tc>
        <w:tc>
          <w:tcPr>
            <w:tcW w:w="703" w:type="dxa"/>
            <w:tcBorders>
              <w:tl2br w:val="nil"/>
              <w:tr2bl w:val="nil"/>
            </w:tcBorders>
          </w:tcPr>
          <w:p>
            <w:pPr>
              <w:pStyle w:val="34"/>
            </w:pPr>
            <w:r>
              <w:t>40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24小时平均</w:t>
            </w:r>
          </w:p>
        </w:tc>
        <w:tc>
          <w:tcPr>
            <w:tcW w:w="703" w:type="dxa"/>
            <w:tcBorders>
              <w:tl2br w:val="nil"/>
              <w:tr2bl w:val="nil"/>
            </w:tcBorders>
          </w:tcPr>
          <w:p>
            <w:pPr>
              <w:pStyle w:val="34"/>
            </w:pPr>
            <w:r>
              <w:t>80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1小时平均</w:t>
            </w:r>
          </w:p>
        </w:tc>
        <w:tc>
          <w:tcPr>
            <w:tcW w:w="703" w:type="dxa"/>
            <w:tcBorders>
              <w:tl2br w:val="nil"/>
              <w:tr2bl w:val="nil"/>
            </w:tcBorders>
          </w:tcPr>
          <w:p>
            <w:pPr>
              <w:pStyle w:val="34"/>
            </w:pPr>
            <w:r>
              <w:t>200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tcPr>
          <w:p>
            <w:pPr>
              <w:pStyle w:val="34"/>
            </w:pPr>
            <w:r>
              <w:t>3</w:t>
            </w:r>
          </w:p>
        </w:tc>
        <w:tc>
          <w:tcPr>
            <w:tcW w:w="974" w:type="dxa"/>
            <w:vMerge w:val="restart"/>
            <w:tcBorders>
              <w:tl2br w:val="nil"/>
              <w:tr2bl w:val="nil"/>
            </w:tcBorders>
          </w:tcPr>
          <w:p>
            <w:pPr>
              <w:pStyle w:val="34"/>
            </w:pPr>
            <w:r>
              <w:t>PM</w:t>
            </w:r>
            <w:r>
              <w:rPr>
                <w:vertAlign w:val="subscript"/>
              </w:rPr>
              <w:t>10</w:t>
            </w:r>
          </w:p>
        </w:tc>
        <w:tc>
          <w:tcPr>
            <w:tcW w:w="1801" w:type="dxa"/>
            <w:tcBorders>
              <w:tl2br w:val="nil"/>
              <w:tr2bl w:val="nil"/>
            </w:tcBorders>
          </w:tcPr>
          <w:p>
            <w:pPr>
              <w:pStyle w:val="34"/>
            </w:pPr>
            <w:r>
              <w:t>年平均</w:t>
            </w:r>
          </w:p>
        </w:tc>
        <w:tc>
          <w:tcPr>
            <w:tcW w:w="703" w:type="dxa"/>
            <w:tcBorders>
              <w:tl2br w:val="nil"/>
              <w:tr2bl w:val="nil"/>
            </w:tcBorders>
          </w:tcPr>
          <w:p>
            <w:pPr>
              <w:pStyle w:val="34"/>
            </w:pPr>
            <w:r>
              <w:t>70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24小时平均</w:t>
            </w:r>
          </w:p>
        </w:tc>
        <w:tc>
          <w:tcPr>
            <w:tcW w:w="703" w:type="dxa"/>
            <w:tcBorders>
              <w:tl2br w:val="nil"/>
              <w:tr2bl w:val="nil"/>
            </w:tcBorders>
          </w:tcPr>
          <w:p>
            <w:pPr>
              <w:pStyle w:val="34"/>
            </w:pPr>
            <w:r>
              <w:t>150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tcPr>
          <w:p>
            <w:pPr>
              <w:pStyle w:val="34"/>
            </w:pPr>
            <w:r>
              <w:t>4</w:t>
            </w:r>
          </w:p>
        </w:tc>
        <w:tc>
          <w:tcPr>
            <w:tcW w:w="974" w:type="dxa"/>
            <w:vMerge w:val="restart"/>
            <w:tcBorders>
              <w:tl2br w:val="nil"/>
              <w:tr2bl w:val="nil"/>
            </w:tcBorders>
          </w:tcPr>
          <w:p>
            <w:pPr>
              <w:pStyle w:val="34"/>
            </w:pPr>
            <w:r>
              <w:t>PM</w:t>
            </w:r>
            <w:r>
              <w:rPr>
                <w:vertAlign w:val="subscript"/>
              </w:rPr>
              <w:t>2.5</w:t>
            </w:r>
          </w:p>
        </w:tc>
        <w:tc>
          <w:tcPr>
            <w:tcW w:w="1801" w:type="dxa"/>
            <w:tcBorders>
              <w:tl2br w:val="nil"/>
              <w:tr2bl w:val="nil"/>
            </w:tcBorders>
          </w:tcPr>
          <w:p>
            <w:pPr>
              <w:pStyle w:val="34"/>
            </w:pPr>
            <w:r>
              <w:t>年平均</w:t>
            </w:r>
          </w:p>
        </w:tc>
        <w:tc>
          <w:tcPr>
            <w:tcW w:w="703" w:type="dxa"/>
            <w:tcBorders>
              <w:tl2br w:val="nil"/>
              <w:tr2bl w:val="nil"/>
            </w:tcBorders>
          </w:tcPr>
          <w:p>
            <w:pPr>
              <w:pStyle w:val="34"/>
            </w:pPr>
            <w:r>
              <w:t>35</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24小时平均</w:t>
            </w:r>
          </w:p>
        </w:tc>
        <w:tc>
          <w:tcPr>
            <w:tcW w:w="703" w:type="dxa"/>
            <w:tcBorders>
              <w:tl2br w:val="nil"/>
              <w:tr2bl w:val="nil"/>
            </w:tcBorders>
          </w:tcPr>
          <w:p>
            <w:pPr>
              <w:pStyle w:val="34"/>
            </w:pPr>
            <w:r>
              <w:t>75</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tcPr>
          <w:p>
            <w:pPr>
              <w:pStyle w:val="34"/>
            </w:pPr>
            <w:r>
              <w:t>5</w:t>
            </w:r>
          </w:p>
        </w:tc>
        <w:tc>
          <w:tcPr>
            <w:tcW w:w="974" w:type="dxa"/>
            <w:vMerge w:val="restart"/>
            <w:tcBorders>
              <w:tl2br w:val="nil"/>
              <w:tr2bl w:val="nil"/>
            </w:tcBorders>
          </w:tcPr>
          <w:p>
            <w:pPr>
              <w:pStyle w:val="34"/>
            </w:pPr>
            <w:r>
              <w:t>O</w:t>
            </w:r>
            <w:r>
              <w:rPr>
                <w:vertAlign w:val="subscript"/>
              </w:rPr>
              <w:t>3</w:t>
            </w:r>
          </w:p>
        </w:tc>
        <w:tc>
          <w:tcPr>
            <w:tcW w:w="1801" w:type="dxa"/>
            <w:tcBorders>
              <w:tl2br w:val="nil"/>
              <w:tr2bl w:val="nil"/>
            </w:tcBorders>
          </w:tcPr>
          <w:p>
            <w:pPr>
              <w:pStyle w:val="34"/>
            </w:pPr>
            <w:r>
              <w:t>日最大8小时平均</w:t>
            </w:r>
          </w:p>
        </w:tc>
        <w:tc>
          <w:tcPr>
            <w:tcW w:w="703" w:type="dxa"/>
            <w:tcBorders>
              <w:tl2br w:val="nil"/>
              <w:tr2bl w:val="nil"/>
            </w:tcBorders>
          </w:tcPr>
          <w:p>
            <w:pPr>
              <w:pStyle w:val="34"/>
            </w:pPr>
            <w:r>
              <w:t>160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1小时平均</w:t>
            </w:r>
          </w:p>
        </w:tc>
        <w:tc>
          <w:tcPr>
            <w:tcW w:w="703" w:type="dxa"/>
            <w:tcBorders>
              <w:tl2br w:val="nil"/>
              <w:tr2bl w:val="nil"/>
            </w:tcBorders>
          </w:tcPr>
          <w:p>
            <w:pPr>
              <w:pStyle w:val="34"/>
            </w:pPr>
            <w:r>
              <w:t>200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tcPr>
          <w:p>
            <w:pPr>
              <w:pStyle w:val="34"/>
            </w:pPr>
            <w:r>
              <w:t>6</w:t>
            </w:r>
          </w:p>
        </w:tc>
        <w:tc>
          <w:tcPr>
            <w:tcW w:w="974" w:type="dxa"/>
            <w:vMerge w:val="restart"/>
            <w:tcBorders>
              <w:tl2br w:val="nil"/>
              <w:tr2bl w:val="nil"/>
            </w:tcBorders>
          </w:tcPr>
          <w:p>
            <w:pPr>
              <w:pStyle w:val="34"/>
            </w:pPr>
            <w:r>
              <w:t>CO</w:t>
            </w:r>
          </w:p>
        </w:tc>
        <w:tc>
          <w:tcPr>
            <w:tcW w:w="1801" w:type="dxa"/>
            <w:tcBorders>
              <w:tl2br w:val="nil"/>
              <w:tr2bl w:val="nil"/>
            </w:tcBorders>
          </w:tcPr>
          <w:p>
            <w:pPr>
              <w:pStyle w:val="34"/>
            </w:pPr>
            <w:r>
              <w:t>24小时平均</w:t>
            </w:r>
          </w:p>
        </w:tc>
        <w:tc>
          <w:tcPr>
            <w:tcW w:w="703" w:type="dxa"/>
            <w:tcBorders>
              <w:tl2br w:val="nil"/>
              <w:tr2bl w:val="nil"/>
            </w:tcBorders>
          </w:tcPr>
          <w:p>
            <w:pPr>
              <w:pStyle w:val="34"/>
            </w:pPr>
            <w:r>
              <w:t>4</w:t>
            </w:r>
          </w:p>
        </w:tc>
        <w:tc>
          <w:tcPr>
            <w:tcW w:w="849" w:type="dxa"/>
            <w:vMerge w:val="restart"/>
            <w:tcBorders>
              <w:tl2br w:val="nil"/>
              <w:tr2bl w:val="nil"/>
            </w:tcBorders>
          </w:tcPr>
          <w:p>
            <w:pPr>
              <w:pStyle w:val="34"/>
            </w:pPr>
            <w:r>
              <w:t>mg/m</w:t>
            </w:r>
            <w:r>
              <w:rPr>
                <w:vertAlign w:val="superscript"/>
              </w:rPr>
              <w:t>3</w:t>
            </w: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tcPr>
          <w:p>
            <w:pPr>
              <w:pStyle w:val="34"/>
            </w:pPr>
          </w:p>
        </w:tc>
        <w:tc>
          <w:tcPr>
            <w:tcW w:w="974" w:type="dxa"/>
            <w:vMerge w:val="continue"/>
            <w:tcBorders>
              <w:tl2br w:val="nil"/>
              <w:tr2bl w:val="nil"/>
            </w:tcBorders>
          </w:tcPr>
          <w:p>
            <w:pPr>
              <w:pStyle w:val="34"/>
            </w:pPr>
          </w:p>
        </w:tc>
        <w:tc>
          <w:tcPr>
            <w:tcW w:w="1801" w:type="dxa"/>
            <w:tcBorders>
              <w:tl2br w:val="nil"/>
              <w:tr2bl w:val="nil"/>
            </w:tcBorders>
          </w:tcPr>
          <w:p>
            <w:pPr>
              <w:pStyle w:val="34"/>
            </w:pPr>
            <w:r>
              <w:t>1小时平均</w:t>
            </w:r>
          </w:p>
        </w:tc>
        <w:tc>
          <w:tcPr>
            <w:tcW w:w="703" w:type="dxa"/>
            <w:tcBorders>
              <w:tl2br w:val="nil"/>
              <w:tr2bl w:val="nil"/>
            </w:tcBorders>
          </w:tcPr>
          <w:p>
            <w:pPr>
              <w:pStyle w:val="34"/>
            </w:pPr>
            <w:r>
              <w:t>10</w:t>
            </w:r>
          </w:p>
        </w:tc>
        <w:tc>
          <w:tcPr>
            <w:tcW w:w="849" w:type="dxa"/>
            <w:vMerge w:val="continue"/>
            <w:tcBorders>
              <w:tl2br w:val="nil"/>
              <w:tr2bl w:val="nil"/>
            </w:tcBorders>
          </w:tcPr>
          <w:p>
            <w:pPr>
              <w:pStyle w:val="34"/>
            </w:pP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tcPr>
          <w:p>
            <w:pPr>
              <w:pStyle w:val="34"/>
            </w:pPr>
            <w:r>
              <w:rPr>
                <w:rFonts w:hint="eastAsia"/>
              </w:rPr>
              <w:t>7</w:t>
            </w:r>
          </w:p>
        </w:tc>
        <w:tc>
          <w:tcPr>
            <w:tcW w:w="974" w:type="dxa"/>
            <w:tcBorders>
              <w:tl2br w:val="nil"/>
              <w:tr2bl w:val="nil"/>
            </w:tcBorders>
          </w:tcPr>
          <w:p>
            <w:pPr>
              <w:pStyle w:val="34"/>
            </w:pPr>
            <w:r>
              <w:rPr>
                <w:rFonts w:hint="eastAsia"/>
              </w:rPr>
              <w:t>T</w:t>
            </w:r>
            <w:r>
              <w:t>SP</w:t>
            </w:r>
          </w:p>
        </w:tc>
        <w:tc>
          <w:tcPr>
            <w:tcW w:w="1801" w:type="dxa"/>
            <w:tcBorders>
              <w:tl2br w:val="nil"/>
              <w:tr2bl w:val="nil"/>
            </w:tcBorders>
          </w:tcPr>
          <w:p>
            <w:pPr>
              <w:pStyle w:val="34"/>
            </w:pPr>
            <w:r>
              <w:t>24小时平均</w:t>
            </w:r>
          </w:p>
        </w:tc>
        <w:tc>
          <w:tcPr>
            <w:tcW w:w="703" w:type="dxa"/>
            <w:tcBorders>
              <w:tl2br w:val="nil"/>
              <w:tr2bl w:val="nil"/>
            </w:tcBorders>
          </w:tcPr>
          <w:p>
            <w:pPr>
              <w:pStyle w:val="34"/>
            </w:pPr>
            <w:r>
              <w:rPr>
                <w:rFonts w:hint="eastAsia"/>
              </w:rPr>
              <w:t>0</w:t>
            </w:r>
            <w:r>
              <w:t>.3</w:t>
            </w:r>
          </w:p>
        </w:tc>
        <w:tc>
          <w:tcPr>
            <w:tcW w:w="849" w:type="dxa"/>
            <w:tcBorders>
              <w:tl2br w:val="nil"/>
              <w:tr2bl w:val="nil"/>
            </w:tcBorders>
          </w:tcPr>
          <w:p>
            <w:pPr>
              <w:pStyle w:val="34"/>
            </w:pPr>
            <w:r>
              <w:t>mg/m</w:t>
            </w:r>
            <w:r>
              <w:rPr>
                <w:vertAlign w:val="superscript"/>
              </w:rPr>
              <w:t>3</w:t>
            </w:r>
          </w:p>
        </w:tc>
        <w:tc>
          <w:tcPr>
            <w:tcW w:w="3530" w:type="dxa"/>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tcPr>
          <w:p>
            <w:pPr>
              <w:pStyle w:val="34"/>
            </w:pPr>
            <w:r>
              <w:t>8</w:t>
            </w:r>
          </w:p>
        </w:tc>
        <w:tc>
          <w:tcPr>
            <w:tcW w:w="974" w:type="dxa"/>
            <w:tcBorders>
              <w:tl2br w:val="nil"/>
              <w:tr2bl w:val="nil"/>
            </w:tcBorders>
          </w:tcPr>
          <w:p>
            <w:pPr>
              <w:pStyle w:val="34"/>
            </w:pPr>
            <w:r>
              <w:t>NMHC</w:t>
            </w:r>
          </w:p>
        </w:tc>
        <w:tc>
          <w:tcPr>
            <w:tcW w:w="1801" w:type="dxa"/>
            <w:tcBorders>
              <w:tl2br w:val="nil"/>
              <w:tr2bl w:val="nil"/>
            </w:tcBorders>
          </w:tcPr>
          <w:p>
            <w:pPr>
              <w:pStyle w:val="34"/>
            </w:pPr>
            <w:r>
              <w:t>一次值</w:t>
            </w:r>
          </w:p>
        </w:tc>
        <w:tc>
          <w:tcPr>
            <w:tcW w:w="703" w:type="dxa"/>
            <w:tcBorders>
              <w:tl2br w:val="nil"/>
              <w:tr2bl w:val="nil"/>
            </w:tcBorders>
          </w:tcPr>
          <w:p>
            <w:pPr>
              <w:pStyle w:val="34"/>
            </w:pPr>
            <w:r>
              <w:t>2</w:t>
            </w:r>
          </w:p>
        </w:tc>
        <w:tc>
          <w:tcPr>
            <w:tcW w:w="849" w:type="dxa"/>
            <w:tcBorders>
              <w:tl2br w:val="nil"/>
              <w:tr2bl w:val="nil"/>
            </w:tcBorders>
          </w:tcPr>
          <w:p>
            <w:pPr>
              <w:pStyle w:val="34"/>
            </w:pPr>
            <w:r>
              <w:t>mg/m</w:t>
            </w:r>
            <w:r>
              <w:rPr>
                <w:vertAlign w:val="superscript"/>
              </w:rPr>
              <w:t>3</w:t>
            </w:r>
          </w:p>
        </w:tc>
        <w:tc>
          <w:tcPr>
            <w:tcW w:w="3530" w:type="dxa"/>
            <w:tcBorders>
              <w:tl2br w:val="nil"/>
              <w:tr2bl w:val="nil"/>
            </w:tcBorders>
          </w:tcPr>
          <w:p>
            <w:pPr>
              <w:pStyle w:val="34"/>
            </w:pPr>
            <w:r>
              <w:t>《大气污染物综合排放标准详解》</w:t>
            </w:r>
          </w:p>
        </w:tc>
      </w:tr>
    </w:tbl>
    <w:p>
      <w:pPr>
        <w:pStyle w:val="7"/>
        <w:spacing w:before="156" w:beforeLines="50"/>
        <w:ind w:firstLine="480"/>
        <w:rPr>
          <w:rFonts w:cs="Times New Roman"/>
        </w:rPr>
      </w:pPr>
      <w:r>
        <w:rPr>
          <w:rFonts w:cs="Times New Roman"/>
        </w:rPr>
        <w:t>（2）地下水质量标准</w:t>
      </w:r>
    </w:p>
    <w:p>
      <w:pPr>
        <w:pStyle w:val="7"/>
        <w:ind w:firstLine="480"/>
        <w:rPr>
          <w:rFonts w:cs="Times New Roman"/>
        </w:rPr>
      </w:pPr>
      <w:r>
        <w:rPr>
          <w:rFonts w:cs="Times New Roman"/>
        </w:rPr>
        <w:t>地下水执行《地下水质量标准》（GB/T14848-2017）Ⅲ类标准，见</w:t>
      </w:r>
      <w:r>
        <w:rPr>
          <w:rFonts w:hint="eastAsia" w:cs="Times New Roman"/>
        </w:rPr>
        <w:t>表2.4-3</w:t>
      </w:r>
      <w:r>
        <w:rPr>
          <w:rFonts w:cs="Times New Roman"/>
        </w:rPr>
        <w:t>。</w:t>
      </w:r>
    </w:p>
    <w:p>
      <w:pPr>
        <w:pStyle w:val="36"/>
        <w:spacing w:before="156"/>
        <w:rPr>
          <w:rFonts w:eastAsia="宋体"/>
        </w:rPr>
      </w:pPr>
      <w:bookmarkStart w:id="19" w:name="_Ref81931638"/>
      <w:r>
        <w:rPr>
          <w:rFonts w:eastAsia="宋体"/>
        </w:rPr>
        <w:t>表</w:t>
      </w:r>
      <w:r>
        <w:rPr>
          <w:rFonts w:hint="eastAsia" w:eastAsia="宋体"/>
        </w:rPr>
        <w:t>2.4-3</w:t>
      </w:r>
      <w:bookmarkEnd w:id="19"/>
      <w:r>
        <w:rPr>
          <w:rFonts w:eastAsia="宋体"/>
        </w:rPr>
        <w:t xml:space="preserve">  地下水监测项目</w:t>
      </w:r>
      <w:r>
        <w:rPr>
          <w:rFonts w:hint="eastAsia" w:eastAsia="宋体"/>
        </w:rPr>
        <w:t>指标与</w:t>
      </w:r>
      <w:r>
        <w:rPr>
          <w:rFonts w:eastAsia="宋体"/>
        </w:rPr>
        <w:t>标准限值</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5067"/>
        <w:gridCol w:w="23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79" w:type="pct"/>
            <w:tcBorders>
              <w:tl2br w:val="nil"/>
              <w:tr2bl w:val="nil"/>
            </w:tcBorders>
          </w:tcPr>
          <w:p>
            <w:pPr>
              <w:pStyle w:val="34"/>
            </w:pPr>
            <w:r>
              <w:t>序号</w:t>
            </w:r>
          </w:p>
        </w:tc>
        <w:tc>
          <w:tcPr>
            <w:tcW w:w="2971" w:type="pct"/>
            <w:tcBorders>
              <w:tl2br w:val="nil"/>
              <w:tr2bl w:val="nil"/>
            </w:tcBorders>
          </w:tcPr>
          <w:p>
            <w:pPr>
              <w:pStyle w:val="34"/>
            </w:pPr>
            <w:r>
              <w:t>检测项目</w:t>
            </w:r>
          </w:p>
        </w:tc>
        <w:tc>
          <w:tcPr>
            <w:tcW w:w="1348" w:type="pct"/>
            <w:tcBorders>
              <w:tl2br w:val="nil"/>
              <w:tr2bl w:val="nil"/>
            </w:tcBorders>
            <w:noWrap/>
          </w:tcPr>
          <w:p>
            <w:pPr>
              <w:pStyle w:val="34"/>
            </w:pPr>
            <w:r>
              <w:t>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pH</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总硬度</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≤450mg/L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3</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溶解性总固体</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≤1000mg/L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4</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耗氧量</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≤3.0mg/L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5</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铁</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6</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锰</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7</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铜</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≤1.00mg/L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8</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锌</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≤1.00mg/L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9</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挥发酚</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10</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rPr>
              <w:t>阴离子表面活性剂</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11</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硝酸盐氮</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≤20.0mg/L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12</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亚硝酸盐氮</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≤1.00mg/L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13</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氨氮</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14</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硫化物</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15</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氟化物</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16</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氰化物</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17</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砷</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18</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汞</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19</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镉</w:t>
            </w:r>
          </w:p>
        </w:tc>
        <w:tc>
          <w:tcPr>
            <w:tcW w:w="1348" w:type="pct"/>
            <w:tcBorders>
              <w:tl2br w:val="nil"/>
              <w:tr2bl w:val="nil"/>
            </w:tcBorders>
          </w:tcPr>
          <w:p>
            <w:pPr>
              <w:adjustRightInd w:val="0"/>
              <w:snapToGrid w:val="0"/>
              <w:jc w:val="center"/>
              <w:rPr>
                <w:rFonts w:ascii="Times New Roman" w:hAnsi="Times New Roman"/>
              </w:rPr>
            </w:pPr>
            <w:r>
              <w:rPr>
                <w:rFonts w:ascii="Times New Roman" w:hAnsi="Times New Roman"/>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20</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六价铬</w:t>
            </w:r>
          </w:p>
        </w:tc>
        <w:tc>
          <w:tcPr>
            <w:tcW w:w="1348" w:type="pct"/>
            <w:tcBorders>
              <w:tl2br w:val="nil"/>
              <w:tr2bl w:val="nil"/>
            </w:tcBorders>
          </w:tcPr>
          <w:p>
            <w:pPr>
              <w:adjustRightInd w:val="0"/>
              <w:snapToGrid w:val="0"/>
              <w:jc w:val="center"/>
              <w:rPr>
                <w:rFonts w:ascii="Times New Roman" w:hAnsi="Times New Roman"/>
              </w:rPr>
            </w:pPr>
            <w:r>
              <w:rPr>
                <w:rFonts w:ascii="Times New Roman" w:hAnsi="Times New Roma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21</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铅</w:t>
            </w:r>
          </w:p>
        </w:tc>
        <w:tc>
          <w:tcPr>
            <w:tcW w:w="1348" w:type="pct"/>
            <w:tcBorders>
              <w:tl2br w:val="nil"/>
              <w:tr2bl w:val="nil"/>
            </w:tcBorders>
          </w:tcPr>
          <w:p>
            <w:pPr>
              <w:adjustRightInd w:val="0"/>
              <w:snapToGrid w:val="0"/>
              <w:jc w:val="center"/>
              <w:rPr>
                <w:rFonts w:ascii="Times New Roman" w:hAnsi="Times New Roman"/>
              </w:rPr>
            </w:pPr>
            <w:r>
              <w:rPr>
                <w:rFonts w:ascii="Times New Roman" w:hAnsi="Times New Roman"/>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22</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总大肠菌群</w:t>
            </w:r>
          </w:p>
        </w:tc>
        <w:tc>
          <w:tcPr>
            <w:tcW w:w="1348" w:type="pct"/>
            <w:tcBorders>
              <w:tl2br w:val="nil"/>
              <w:tr2bl w:val="nil"/>
            </w:tcBorders>
          </w:tcPr>
          <w:p>
            <w:pPr>
              <w:adjustRightInd w:val="0"/>
              <w:snapToGrid w:val="0"/>
              <w:jc w:val="center"/>
              <w:rPr>
                <w:rFonts w:ascii="Times New Roman" w:hAnsi="Times New Roman"/>
              </w:rPr>
            </w:pPr>
            <w:r>
              <w:rPr>
                <w:rFonts w:ascii="Times New Roman" w:hAnsi="Times New Roman"/>
              </w:rPr>
              <w:t>≤3.0MPN/100mL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23</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rPr>
              <w:t>钾</w:t>
            </w:r>
            <w:r>
              <w:rPr>
                <w:rFonts w:ascii="Times New Roman" w:hAnsi="Times New Roman"/>
              </w:rPr>
              <w:t>离子</w:t>
            </w:r>
          </w:p>
        </w:tc>
        <w:tc>
          <w:tcPr>
            <w:tcW w:w="1348" w:type="pct"/>
            <w:tcBorders>
              <w:tl2br w:val="nil"/>
              <w:tr2bl w:val="nil"/>
            </w:tcBorders>
          </w:tcPr>
          <w:p>
            <w:pPr>
              <w:adjustRightInd w:val="0"/>
              <w:snapToGrid w:val="0"/>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24</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钙离子</w:t>
            </w:r>
          </w:p>
        </w:tc>
        <w:tc>
          <w:tcPr>
            <w:tcW w:w="1348" w:type="pct"/>
            <w:tcBorders>
              <w:tl2br w:val="nil"/>
              <w:tr2bl w:val="nil"/>
            </w:tcBorders>
          </w:tcPr>
          <w:p>
            <w:pPr>
              <w:adjustRightInd w:val="0"/>
              <w:snapToGrid w:val="0"/>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25</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钠离子</w:t>
            </w:r>
          </w:p>
        </w:tc>
        <w:tc>
          <w:tcPr>
            <w:tcW w:w="1348" w:type="pct"/>
            <w:tcBorders>
              <w:tl2br w:val="nil"/>
              <w:tr2bl w:val="nil"/>
            </w:tcBorders>
          </w:tcPr>
          <w:p>
            <w:pPr>
              <w:adjustRightInd w:val="0"/>
              <w:snapToGrid w:val="0"/>
              <w:jc w:val="center"/>
              <w:rPr>
                <w:rFonts w:ascii="Times New Roman" w:hAnsi="Times New Roman"/>
              </w:rPr>
            </w:pPr>
            <w:r>
              <w:rPr>
                <w:rFonts w:hint="eastAsia"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26</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镁离子</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27</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碳酸根离子</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28</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rPr>
              <w:t>碳酸氢根离子</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29</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氯化物</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pct"/>
            <w:tcBorders>
              <w:tl2br w:val="nil"/>
              <w:tr2bl w:val="nil"/>
            </w:tcBorders>
          </w:tcPr>
          <w:p>
            <w:pPr>
              <w:pStyle w:val="34"/>
            </w:pPr>
            <w:r>
              <w:t>30</w:t>
            </w:r>
          </w:p>
        </w:tc>
        <w:tc>
          <w:tcPr>
            <w:tcW w:w="2971" w:type="pct"/>
            <w:tcBorders>
              <w:tl2br w:val="nil"/>
              <w:tr2bl w:val="nil"/>
            </w:tcBorders>
          </w:tcPr>
          <w:p>
            <w:pPr>
              <w:adjustRightInd w:val="0"/>
              <w:snapToGrid w:val="0"/>
              <w:jc w:val="center"/>
              <w:rPr>
                <w:rFonts w:ascii="Times New Roman" w:hAnsi="Times New Roman"/>
              </w:rPr>
            </w:pPr>
            <w:r>
              <w:rPr>
                <w:rFonts w:ascii="Times New Roman" w:hAnsi="Times New Roman"/>
                <w:bCs/>
                <w:kern w:val="0"/>
              </w:rPr>
              <w:t>硫酸盐</w:t>
            </w:r>
          </w:p>
        </w:tc>
        <w:tc>
          <w:tcPr>
            <w:tcW w:w="1348" w:type="pct"/>
            <w:tcBorders>
              <w:tl2br w:val="nil"/>
              <w:tr2bl w:val="nil"/>
            </w:tcBorders>
            <w:noWrap/>
          </w:tcPr>
          <w:p>
            <w:pPr>
              <w:adjustRightInd w:val="0"/>
              <w:snapToGrid w:val="0"/>
              <w:jc w:val="center"/>
              <w:rPr>
                <w:rFonts w:ascii="Times New Roman" w:hAnsi="Times New Roman"/>
              </w:rPr>
            </w:pPr>
            <w:r>
              <w:rPr>
                <w:rFonts w:ascii="Times New Roman" w:hAnsi="Times New Roman"/>
              </w:rPr>
              <w:t>≤250mg/L</w:t>
            </w:r>
          </w:p>
        </w:tc>
      </w:tr>
    </w:tbl>
    <w:p>
      <w:pPr>
        <w:pStyle w:val="7"/>
        <w:spacing w:before="156" w:beforeLines="50"/>
        <w:ind w:firstLine="480"/>
        <w:rPr>
          <w:rFonts w:cs="Times New Roman"/>
        </w:rPr>
      </w:pPr>
      <w:r>
        <w:rPr>
          <w:rFonts w:cs="Times New Roman"/>
        </w:rPr>
        <w:t>（3）声环境质量标准</w:t>
      </w:r>
    </w:p>
    <w:p>
      <w:pPr>
        <w:pStyle w:val="7"/>
        <w:ind w:firstLine="480"/>
        <w:rPr>
          <w:rFonts w:cs="Times New Roman"/>
        </w:rPr>
      </w:pPr>
      <w:r>
        <w:rPr>
          <w:rFonts w:cs="Times New Roman"/>
        </w:rPr>
        <w:t>声环境质量执行《声环境质量标准》（</w:t>
      </w:r>
      <w:r>
        <w:rPr>
          <w:rFonts w:cs="Times New Roman"/>
          <w:spacing w:val="-1"/>
        </w:rPr>
        <w:t>GB3096-2008</w:t>
      </w:r>
      <w:r>
        <w:rPr>
          <w:rFonts w:cs="Times New Roman"/>
        </w:rPr>
        <w:t>）</w:t>
      </w:r>
      <w:r>
        <w:rPr>
          <w:rFonts w:cs="Times New Roman"/>
          <w:spacing w:val="-1"/>
        </w:rPr>
        <w:t>2类标准，即昼间60dB（A），夜间50dB（A）。</w:t>
      </w:r>
    </w:p>
    <w:p>
      <w:pPr>
        <w:pStyle w:val="7"/>
        <w:ind w:firstLine="480"/>
        <w:rPr>
          <w:rFonts w:cs="Times New Roman"/>
        </w:rPr>
      </w:pPr>
      <w:r>
        <w:rPr>
          <w:rFonts w:cs="Times New Roman"/>
        </w:rPr>
        <w:t>（4）土壤环境质量标准</w:t>
      </w:r>
    </w:p>
    <w:p>
      <w:pPr>
        <w:pStyle w:val="7"/>
        <w:ind w:firstLine="480"/>
        <w:rPr>
          <w:rFonts w:cs="Times New Roman"/>
          <w:spacing w:val="-20"/>
        </w:rPr>
      </w:pPr>
      <w:r>
        <w:rPr>
          <w:rFonts w:cs="Times New Roman"/>
        </w:rPr>
        <w:t>本项目占地红线范围内和红线范围外50m内为未利用荒地</w:t>
      </w:r>
      <w:r>
        <w:rPr>
          <w:rFonts w:hint="eastAsia" w:cs="Times New Roman"/>
        </w:rPr>
        <w:t>或其他工厂</w:t>
      </w:r>
      <w:r>
        <w:rPr>
          <w:rFonts w:cs="Times New Roman"/>
        </w:rPr>
        <w:t>，评价范围内无农用地。</w:t>
      </w:r>
      <w:r>
        <w:rPr>
          <w:rFonts w:hint="eastAsia" w:cs="Times New Roman"/>
        </w:rPr>
        <w:t>项目区</w:t>
      </w:r>
      <w:r>
        <w:rPr>
          <w:rFonts w:cs="Times New Roman"/>
        </w:rPr>
        <w:t>土壤环境质量执行《土壤环境质量 建设用地土壤污染风险管控标准（试行）》</w:t>
      </w:r>
      <w:r>
        <w:rPr>
          <w:rFonts w:cs="Times New Roman"/>
          <w:spacing w:val="-20"/>
        </w:rPr>
        <w:t>（GB36600-2018）</w:t>
      </w:r>
      <w:r>
        <w:rPr>
          <w:rFonts w:cs="Times New Roman"/>
        </w:rPr>
        <w:t>表1第二类用地筛选值</w:t>
      </w:r>
      <w:r>
        <w:rPr>
          <w:rFonts w:cs="Times New Roman"/>
          <w:spacing w:val="-20"/>
        </w:rPr>
        <w:t>，见表2.4-</w:t>
      </w:r>
      <w:r>
        <w:rPr>
          <w:rFonts w:hint="eastAsia" w:cs="Times New Roman"/>
          <w:spacing w:val="-20"/>
        </w:rPr>
        <w:t>4。</w:t>
      </w:r>
    </w:p>
    <w:p>
      <w:pPr>
        <w:pStyle w:val="36"/>
        <w:spacing w:before="156"/>
        <w:rPr>
          <w:rFonts w:eastAsia="宋体"/>
        </w:rPr>
      </w:pPr>
      <w:r>
        <w:rPr>
          <w:rFonts w:eastAsia="宋体"/>
        </w:rPr>
        <w:t>表2.4-</w:t>
      </w:r>
      <w:r>
        <w:rPr>
          <w:rFonts w:hint="eastAsia" w:eastAsia="宋体"/>
        </w:rPr>
        <w:t>4</w:t>
      </w:r>
      <w:r>
        <w:rPr>
          <w:rFonts w:eastAsia="宋体"/>
        </w:rPr>
        <w:t xml:space="preserve">  土壤污染风险管控标准</w:t>
      </w:r>
      <w:r>
        <w:rPr>
          <w:rFonts w:hint="eastAsia" w:eastAsia="宋体"/>
        </w:rPr>
        <w:t>（</w:t>
      </w:r>
      <w:r>
        <w:rPr>
          <w:rFonts w:eastAsia="宋体"/>
        </w:rPr>
        <w:t>单位mg/kg</w:t>
      </w:r>
      <w:r>
        <w:rPr>
          <w:rFonts w:hint="eastAsia" w:eastAsia="宋体"/>
        </w:rPr>
        <w:t>）</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1097"/>
        <w:gridCol w:w="3454"/>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95" w:type="pct"/>
            <w:vMerge w:val="restar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污染物类别</w:t>
            </w:r>
          </w:p>
        </w:tc>
        <w:tc>
          <w:tcPr>
            <w:tcW w:w="643" w:type="pct"/>
            <w:vMerge w:val="restar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序号</w:t>
            </w:r>
          </w:p>
        </w:tc>
        <w:tc>
          <w:tcPr>
            <w:tcW w:w="2025" w:type="pct"/>
            <w:vMerge w:val="restar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污染物项目</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202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95" w:type="pct"/>
            <w:vMerge w:val="restar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重金属和无机物</w:t>
            </w: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镉</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铬（六价）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铜</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铅</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6</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汞</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7</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镍</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5" w:type="pct"/>
            <w:vMerge w:val="restar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挥发性有机物</w:t>
            </w: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8</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四氯化碳</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9</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氯仿</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10</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氯甲烷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11</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1,1-二氯乙烷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1,2-二氯乙烷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13</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1,1-二氯乙烯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14</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顺-1,2-二氯乙烯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15</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反-1,2-二氯乙烯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16</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二氯甲烷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17</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1,2-碳酸二甲酯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18</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1,1,1,2-四氯乙烷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19</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1,1,2,2-四氯乙烷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20</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四氯乙烯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21</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1,1,1-三氯乙烷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22</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1,1,2-三氯乙烷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23</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三氯乙烯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24</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1,2,3-三氯丙烷</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25</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氯乙烯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26</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27</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氯苯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28</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1,2-二氯苯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29</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1,4-二氯苯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30</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乙苯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31</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苯乙烯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32</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甲苯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33</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间二甲苯+对二甲苯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34</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邻二甲苯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95" w:type="pct"/>
            <w:vMerge w:val="restar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半挥发性有机物</w:t>
            </w: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35</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硝基苯</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36</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苯胺</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37</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2-氯酚</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38</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苯并[a]蒽</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39</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苯并[a]芘</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40</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苯并[b]荧蒽</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41</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苯并[k]荧蒽</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42</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䓛</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43</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二苯并[a, h]蒽</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44</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茚并[1,2,3-cd]芘</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95" w:type="pct"/>
            <w:vMerge w:val="continue"/>
            <w:tcBorders>
              <w:tl2br w:val="nil"/>
              <w:tr2bl w:val="nil"/>
            </w:tcBorders>
            <w:vAlign w:val="center"/>
          </w:tcPr>
          <w:p>
            <w:pPr>
              <w:kinsoku w:val="0"/>
              <w:overflowPunct w:val="0"/>
              <w:jc w:val="center"/>
              <w:rPr>
                <w:rFonts w:ascii="Times New Roman" w:hAnsi="Times New Roman"/>
                <w:bCs/>
                <w:lang w:val="zh-CN" w:bidi="zh-CN"/>
              </w:rPr>
            </w:pPr>
          </w:p>
        </w:tc>
        <w:tc>
          <w:tcPr>
            <w:tcW w:w="643"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45</w:t>
            </w:r>
          </w:p>
        </w:tc>
        <w:tc>
          <w:tcPr>
            <w:tcW w:w="202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萘</w:t>
            </w:r>
          </w:p>
        </w:tc>
        <w:tc>
          <w:tcPr>
            <w:tcW w:w="1235" w:type="pct"/>
            <w:tcBorders>
              <w:tl2br w:val="nil"/>
              <w:tr2bl w:val="nil"/>
            </w:tcBorders>
            <w:vAlign w:val="center"/>
          </w:tcPr>
          <w:p>
            <w:pPr>
              <w:kinsoku w:val="0"/>
              <w:overflowPunct w:val="0"/>
              <w:jc w:val="center"/>
              <w:rPr>
                <w:rFonts w:ascii="Times New Roman" w:hAnsi="Times New Roman"/>
                <w:bCs/>
                <w:lang w:val="zh-CN" w:bidi="zh-CN"/>
              </w:rPr>
            </w:pPr>
            <w:r>
              <w:rPr>
                <w:rFonts w:ascii="Times New Roman" w:hAnsi="Times New Roman"/>
                <w:bCs/>
                <w:lang w:val="zh-CN" w:bidi="zh-CN"/>
              </w:rPr>
              <w:t>70</w:t>
            </w:r>
          </w:p>
        </w:tc>
      </w:tr>
    </w:tbl>
    <w:p>
      <w:pPr>
        <w:pStyle w:val="6"/>
        <w:spacing w:after="0" w:afterLines="0"/>
      </w:pPr>
      <w:r>
        <w:t>污染物排放标准</w:t>
      </w:r>
    </w:p>
    <w:p>
      <w:pPr>
        <w:pStyle w:val="7"/>
        <w:ind w:firstLine="480"/>
        <w:rPr>
          <w:rFonts w:cs="Times New Roman"/>
          <w:lang w:val="zh-CN"/>
        </w:rPr>
      </w:pPr>
      <w:r>
        <w:rPr>
          <w:rFonts w:cs="Times New Roman"/>
          <w:lang w:val="zh-CN"/>
        </w:rPr>
        <w:t>（1）大气污染物排放标准</w:t>
      </w:r>
    </w:p>
    <w:p>
      <w:pPr>
        <w:pStyle w:val="7"/>
        <w:ind w:firstLine="480"/>
        <w:rPr>
          <w:rFonts w:cs="Times New Roman"/>
          <w:lang w:val="zh-CN"/>
        </w:rPr>
      </w:pPr>
      <w:r>
        <w:rPr>
          <w:rFonts w:cs="Times New Roman"/>
          <w:lang w:val="zh-CN"/>
        </w:rPr>
        <w:t>废</w:t>
      </w:r>
      <w:r>
        <w:rPr>
          <w:rFonts w:hint="eastAsia" w:cs="Times New Roman"/>
          <w:lang w:val="zh-CN"/>
        </w:rPr>
        <w:t>滴灌带</w:t>
      </w:r>
      <w:r>
        <w:rPr>
          <w:rFonts w:cs="Times New Roman"/>
          <w:lang w:val="zh-CN"/>
        </w:rPr>
        <w:t>经过抽拉和运输，使得废</w:t>
      </w:r>
      <w:r>
        <w:rPr>
          <w:rFonts w:hint="eastAsia" w:cs="Times New Roman"/>
          <w:lang w:val="zh-CN"/>
        </w:rPr>
        <w:t>滴灌带</w:t>
      </w:r>
      <w:r>
        <w:rPr>
          <w:rFonts w:cs="Times New Roman"/>
          <w:lang w:val="zh-CN"/>
        </w:rPr>
        <w:t>沾的泥土几乎都掉了，而附在</w:t>
      </w:r>
      <w:r>
        <w:rPr>
          <w:rFonts w:hint="eastAsia" w:cs="Times New Roman"/>
          <w:lang w:val="zh-CN"/>
        </w:rPr>
        <w:t>滴灌带</w:t>
      </w:r>
      <w:r>
        <w:rPr>
          <w:rFonts w:cs="Times New Roman"/>
          <w:lang w:val="zh-CN"/>
        </w:rPr>
        <w:t>上的泥土量极少，且堆放过程不易扬尘，因此不考虑堆放扬尘排放及核算；且《排放源统计调查产排污核算方法和系数手册》中“附表2 工业源固体物料堆场颗粒物核算系数手册”也是指块状、粉状等粒径在一定范围内的物料堆放才考虑颗粒物排放，因此不考虑</w:t>
      </w:r>
      <w:r>
        <w:rPr>
          <w:rFonts w:hint="eastAsia" w:cs="Times New Roman"/>
          <w:lang w:val="zh-CN"/>
        </w:rPr>
        <w:t>滴灌带</w:t>
      </w:r>
      <w:r>
        <w:rPr>
          <w:rFonts w:cs="Times New Roman"/>
          <w:lang w:val="zh-CN"/>
        </w:rPr>
        <w:t>堆放的扬尘；本项目破碎采取湿式破碎，破碎过程几乎没有颗粒物产生。</w:t>
      </w:r>
    </w:p>
    <w:p>
      <w:pPr>
        <w:pStyle w:val="7"/>
        <w:ind w:firstLine="480"/>
        <w:rPr>
          <w:rFonts w:cs="Times New Roman"/>
          <w:lang w:val="zh-CN"/>
        </w:rPr>
      </w:pPr>
      <w:r>
        <w:rPr>
          <w:rFonts w:cs="Times New Roman"/>
          <w:lang w:val="zh-CN"/>
        </w:rPr>
        <w:t>根据本项目废气排放特征，废旧滴灌带造粒、滴灌带</w:t>
      </w:r>
      <w:r>
        <w:rPr>
          <w:rFonts w:hint="eastAsia" w:cs="Times New Roman"/>
          <w:lang w:val="zh-CN"/>
        </w:rPr>
        <w:t>/水带</w:t>
      </w:r>
      <w:r>
        <w:rPr>
          <w:rFonts w:cs="Times New Roman"/>
          <w:lang w:val="zh-CN"/>
        </w:rPr>
        <w:t>生产工序有组织非甲烷总烃排放执行《</w:t>
      </w:r>
      <w:bookmarkStart w:id="20" w:name="OLE_LINK23"/>
      <w:bookmarkStart w:id="21" w:name="OLE_LINK24"/>
      <w:r>
        <w:rPr>
          <w:rFonts w:cs="Times New Roman"/>
          <w:lang w:val="zh-CN"/>
        </w:rPr>
        <w:t>合成树脂工业污染物排放标准</w:t>
      </w:r>
      <w:bookmarkEnd w:id="20"/>
      <w:bookmarkEnd w:id="21"/>
      <w:r>
        <w:rPr>
          <w:rFonts w:cs="Times New Roman"/>
          <w:lang w:val="zh-CN"/>
        </w:rPr>
        <w:t>》（GB31572-2015</w:t>
      </w:r>
      <w:r>
        <w:rPr>
          <w:rFonts w:hint="eastAsia" w:cs="Times New Roman"/>
          <w:lang w:val="zh-CN"/>
        </w:rPr>
        <w:t>，含2024年修改单</w:t>
      </w:r>
      <w:r>
        <w:rPr>
          <w:rFonts w:cs="Times New Roman"/>
          <w:lang w:val="zh-CN"/>
        </w:rPr>
        <w:t>）中表4大气污染物排放限值要求；厂界无组织非甲烷总烃排放执行《合成树脂工业污染物排放标准》（GB31572-2015</w:t>
      </w:r>
      <w:r>
        <w:rPr>
          <w:rFonts w:hint="eastAsia" w:cs="Times New Roman"/>
          <w:lang w:val="zh-CN"/>
        </w:rPr>
        <w:t>，含2024年修改单</w:t>
      </w:r>
      <w:r>
        <w:rPr>
          <w:rFonts w:cs="Times New Roman"/>
          <w:lang w:val="zh-CN"/>
        </w:rPr>
        <w:t>）表9企业边界大气污染物浓度限值；厂区内VOCs无组织排放执行《挥发性有机物无组织排放控制标准》（GB37822-2019）中表A.1厂区内VOCs无组织排放限值。相关标准限值详见</w:t>
      </w:r>
      <w:r>
        <w:rPr>
          <w:rFonts w:hint="eastAsia" w:cs="Times New Roman"/>
          <w:lang w:val="zh-CN"/>
        </w:rPr>
        <w:t>表2.4-5</w:t>
      </w:r>
      <w:r>
        <w:rPr>
          <w:rFonts w:cs="Times New Roman"/>
          <w:lang w:val="zh-CN"/>
        </w:rPr>
        <w:t>。</w:t>
      </w:r>
    </w:p>
    <w:p>
      <w:pPr>
        <w:pStyle w:val="36"/>
        <w:spacing w:before="156"/>
        <w:rPr>
          <w:rFonts w:eastAsia="宋体"/>
        </w:rPr>
      </w:pPr>
      <w:bookmarkStart w:id="22" w:name="_Ref111291684"/>
    </w:p>
    <w:p>
      <w:pPr>
        <w:pStyle w:val="36"/>
        <w:spacing w:before="156"/>
        <w:rPr>
          <w:rFonts w:eastAsia="宋体"/>
        </w:rPr>
      </w:pPr>
    </w:p>
    <w:p>
      <w:pPr>
        <w:pStyle w:val="36"/>
        <w:spacing w:before="156"/>
        <w:rPr>
          <w:rFonts w:eastAsia="宋体"/>
        </w:rPr>
      </w:pPr>
    </w:p>
    <w:p>
      <w:pPr>
        <w:pStyle w:val="36"/>
        <w:spacing w:before="156"/>
        <w:rPr>
          <w:rFonts w:eastAsia="宋体"/>
        </w:rPr>
      </w:pPr>
      <w:r>
        <w:rPr>
          <w:rFonts w:eastAsia="宋体"/>
        </w:rPr>
        <w:t>表</w:t>
      </w:r>
      <w:r>
        <w:rPr>
          <w:rFonts w:hint="eastAsia" w:eastAsia="宋体"/>
        </w:rPr>
        <w:t>2.4-5</w:t>
      </w:r>
      <w:bookmarkEnd w:id="22"/>
      <w:r>
        <w:rPr>
          <w:rFonts w:eastAsia="宋体"/>
        </w:rPr>
        <w:t xml:space="preserve">  废气污染物排放浓度限值</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494"/>
        <w:gridCol w:w="851"/>
        <w:gridCol w:w="1134"/>
        <w:gridCol w:w="3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835" w:type="dxa"/>
            <w:gridSpan w:val="2"/>
            <w:vMerge w:val="restart"/>
            <w:tcBorders>
              <w:tl2br w:val="nil"/>
              <w:tr2bl w:val="nil"/>
            </w:tcBorders>
            <w:vAlign w:val="center"/>
          </w:tcPr>
          <w:p>
            <w:pPr>
              <w:pStyle w:val="34"/>
            </w:pPr>
            <w:r>
              <w:t>污染物</w:t>
            </w:r>
          </w:p>
        </w:tc>
        <w:tc>
          <w:tcPr>
            <w:tcW w:w="1985" w:type="dxa"/>
            <w:gridSpan w:val="2"/>
            <w:tcBorders>
              <w:tl2br w:val="nil"/>
              <w:tr2bl w:val="nil"/>
            </w:tcBorders>
            <w:vAlign w:val="center"/>
          </w:tcPr>
          <w:p>
            <w:pPr>
              <w:pStyle w:val="34"/>
            </w:pPr>
            <w:r>
              <w:t>标准值</w:t>
            </w:r>
          </w:p>
        </w:tc>
        <w:tc>
          <w:tcPr>
            <w:tcW w:w="3492" w:type="dxa"/>
            <w:vMerge w:val="restart"/>
            <w:tcBorders>
              <w:tl2br w:val="nil"/>
              <w:tr2bl w:val="nil"/>
            </w:tcBorders>
            <w:vAlign w:val="center"/>
          </w:tcPr>
          <w:p>
            <w:pPr>
              <w:pStyle w:val="34"/>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835" w:type="dxa"/>
            <w:gridSpan w:val="2"/>
            <w:vMerge w:val="continue"/>
            <w:tcBorders>
              <w:tl2br w:val="nil"/>
              <w:tr2bl w:val="nil"/>
            </w:tcBorders>
            <w:vAlign w:val="center"/>
          </w:tcPr>
          <w:p>
            <w:pPr>
              <w:pStyle w:val="34"/>
            </w:pPr>
          </w:p>
        </w:tc>
        <w:tc>
          <w:tcPr>
            <w:tcW w:w="851" w:type="dxa"/>
            <w:tcBorders>
              <w:tl2br w:val="nil"/>
              <w:tr2bl w:val="nil"/>
            </w:tcBorders>
            <w:vAlign w:val="center"/>
          </w:tcPr>
          <w:p>
            <w:pPr>
              <w:pStyle w:val="34"/>
            </w:pPr>
            <w:r>
              <w:t>单位</w:t>
            </w:r>
          </w:p>
        </w:tc>
        <w:tc>
          <w:tcPr>
            <w:tcW w:w="1134" w:type="dxa"/>
            <w:tcBorders>
              <w:tl2br w:val="nil"/>
              <w:tr2bl w:val="nil"/>
            </w:tcBorders>
            <w:vAlign w:val="center"/>
          </w:tcPr>
          <w:p>
            <w:pPr>
              <w:pStyle w:val="34"/>
            </w:pPr>
            <w:r>
              <w:rPr>
                <w:rFonts w:hint="eastAsia"/>
              </w:rPr>
              <w:t>排放限值</w:t>
            </w:r>
          </w:p>
        </w:tc>
        <w:tc>
          <w:tcPr>
            <w:tcW w:w="3492" w:type="dxa"/>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41" w:type="dxa"/>
            <w:tcBorders>
              <w:tl2br w:val="nil"/>
              <w:tr2bl w:val="nil"/>
            </w:tcBorders>
            <w:vAlign w:val="center"/>
          </w:tcPr>
          <w:p>
            <w:pPr>
              <w:pStyle w:val="34"/>
            </w:pPr>
            <w:r>
              <w:t>有组织废气</w:t>
            </w:r>
          </w:p>
        </w:tc>
        <w:tc>
          <w:tcPr>
            <w:tcW w:w="1494" w:type="dxa"/>
            <w:tcBorders>
              <w:tl2br w:val="nil"/>
              <w:tr2bl w:val="nil"/>
            </w:tcBorders>
            <w:vAlign w:val="center"/>
          </w:tcPr>
          <w:p>
            <w:pPr>
              <w:pStyle w:val="34"/>
            </w:pPr>
            <w:r>
              <w:t>非甲烷总烃</w:t>
            </w:r>
          </w:p>
        </w:tc>
        <w:tc>
          <w:tcPr>
            <w:tcW w:w="851" w:type="dxa"/>
            <w:tcBorders>
              <w:tl2br w:val="nil"/>
              <w:tr2bl w:val="nil"/>
            </w:tcBorders>
            <w:vAlign w:val="center"/>
          </w:tcPr>
          <w:p>
            <w:pPr>
              <w:pStyle w:val="34"/>
            </w:pPr>
            <w:r>
              <w:t>mg/m</w:t>
            </w:r>
            <w:r>
              <w:rPr>
                <w:vertAlign w:val="superscript"/>
              </w:rPr>
              <w:t>3</w:t>
            </w:r>
          </w:p>
        </w:tc>
        <w:tc>
          <w:tcPr>
            <w:tcW w:w="1134" w:type="dxa"/>
            <w:tcBorders>
              <w:tl2br w:val="nil"/>
              <w:tr2bl w:val="nil"/>
            </w:tcBorders>
            <w:vAlign w:val="center"/>
          </w:tcPr>
          <w:p>
            <w:pPr>
              <w:pStyle w:val="34"/>
            </w:pPr>
            <w:r>
              <w:t>100</w:t>
            </w:r>
          </w:p>
        </w:tc>
        <w:tc>
          <w:tcPr>
            <w:tcW w:w="3492" w:type="dxa"/>
            <w:tcBorders>
              <w:tl2br w:val="nil"/>
              <w:tr2bl w:val="nil"/>
            </w:tcBorders>
            <w:vAlign w:val="center"/>
          </w:tcPr>
          <w:p>
            <w:pPr>
              <w:pStyle w:val="34"/>
            </w:pPr>
            <w:r>
              <w:t>《合成树脂工业污染物排放标准》（GB 31572-2015，含2024年修改单）中表4大气污染物排放限值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1341" w:type="dxa"/>
            <w:tcBorders>
              <w:tl2br w:val="nil"/>
              <w:tr2bl w:val="nil"/>
            </w:tcBorders>
            <w:vAlign w:val="center"/>
          </w:tcPr>
          <w:p>
            <w:pPr>
              <w:pStyle w:val="34"/>
            </w:pPr>
            <w:r>
              <w:t>厂界无组织废气</w:t>
            </w:r>
          </w:p>
        </w:tc>
        <w:tc>
          <w:tcPr>
            <w:tcW w:w="1494" w:type="dxa"/>
            <w:tcBorders>
              <w:tl2br w:val="nil"/>
              <w:tr2bl w:val="nil"/>
            </w:tcBorders>
            <w:vAlign w:val="center"/>
          </w:tcPr>
          <w:p>
            <w:pPr>
              <w:pStyle w:val="34"/>
            </w:pPr>
            <w:r>
              <w:t>非甲烷总烃</w:t>
            </w:r>
          </w:p>
        </w:tc>
        <w:tc>
          <w:tcPr>
            <w:tcW w:w="851" w:type="dxa"/>
            <w:tcBorders>
              <w:tl2br w:val="nil"/>
              <w:tr2bl w:val="nil"/>
            </w:tcBorders>
            <w:vAlign w:val="center"/>
          </w:tcPr>
          <w:p>
            <w:pPr>
              <w:pStyle w:val="34"/>
            </w:pPr>
            <w:r>
              <w:t>mg/m</w:t>
            </w:r>
            <w:r>
              <w:rPr>
                <w:vertAlign w:val="superscript"/>
              </w:rPr>
              <w:t>3</w:t>
            </w:r>
          </w:p>
        </w:tc>
        <w:tc>
          <w:tcPr>
            <w:tcW w:w="1134" w:type="dxa"/>
            <w:tcBorders>
              <w:tl2br w:val="nil"/>
              <w:tr2bl w:val="nil"/>
            </w:tcBorders>
            <w:vAlign w:val="center"/>
          </w:tcPr>
          <w:p>
            <w:pPr>
              <w:pStyle w:val="34"/>
            </w:pPr>
            <w:r>
              <w:t>4.0</w:t>
            </w:r>
          </w:p>
        </w:tc>
        <w:tc>
          <w:tcPr>
            <w:tcW w:w="3492" w:type="dxa"/>
            <w:tcBorders>
              <w:tl2br w:val="nil"/>
              <w:tr2bl w:val="nil"/>
            </w:tcBorders>
            <w:vAlign w:val="center"/>
          </w:tcPr>
          <w:p>
            <w:pPr>
              <w:pStyle w:val="34"/>
            </w:pPr>
            <w:r>
              <w:rPr>
                <w:spacing w:val="-6"/>
              </w:rPr>
              <w:t>《合成树脂工业污染物排放标准》（GB 31572-2015，含2024年修改单）中表9企业边界大气污染物浓度限值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41" w:type="dxa"/>
            <w:vMerge w:val="restart"/>
            <w:tcBorders>
              <w:tl2br w:val="nil"/>
              <w:tr2bl w:val="nil"/>
            </w:tcBorders>
            <w:vAlign w:val="center"/>
          </w:tcPr>
          <w:p>
            <w:pPr>
              <w:pStyle w:val="34"/>
            </w:pPr>
            <w:r>
              <w:t>厂区内厂房外无组织非甲烷总烃</w:t>
            </w:r>
          </w:p>
        </w:tc>
        <w:tc>
          <w:tcPr>
            <w:tcW w:w="1494" w:type="dxa"/>
            <w:tcBorders>
              <w:tl2br w:val="nil"/>
              <w:tr2bl w:val="nil"/>
            </w:tcBorders>
            <w:vAlign w:val="center"/>
          </w:tcPr>
          <w:p>
            <w:pPr>
              <w:pStyle w:val="34"/>
            </w:pPr>
            <w:r>
              <w:t>监控点处1h平均浓度值</w:t>
            </w:r>
          </w:p>
        </w:tc>
        <w:tc>
          <w:tcPr>
            <w:tcW w:w="851" w:type="dxa"/>
            <w:tcBorders>
              <w:tl2br w:val="nil"/>
              <w:tr2bl w:val="nil"/>
            </w:tcBorders>
            <w:vAlign w:val="center"/>
          </w:tcPr>
          <w:p>
            <w:pPr>
              <w:pStyle w:val="34"/>
            </w:pPr>
            <w:r>
              <w:t>mg/m</w:t>
            </w:r>
            <w:r>
              <w:rPr>
                <w:vertAlign w:val="superscript"/>
              </w:rPr>
              <w:t>3</w:t>
            </w:r>
          </w:p>
        </w:tc>
        <w:tc>
          <w:tcPr>
            <w:tcW w:w="1134" w:type="dxa"/>
            <w:tcBorders>
              <w:tl2br w:val="nil"/>
              <w:tr2bl w:val="nil"/>
            </w:tcBorders>
            <w:vAlign w:val="center"/>
          </w:tcPr>
          <w:p>
            <w:pPr>
              <w:pStyle w:val="34"/>
            </w:pPr>
            <w:r>
              <w:t>10</w:t>
            </w:r>
          </w:p>
        </w:tc>
        <w:tc>
          <w:tcPr>
            <w:tcW w:w="3492" w:type="dxa"/>
            <w:vMerge w:val="restart"/>
            <w:tcBorders>
              <w:tl2br w:val="nil"/>
              <w:tr2bl w:val="nil"/>
            </w:tcBorders>
            <w:vAlign w:val="center"/>
          </w:tcPr>
          <w:p>
            <w:pPr>
              <w:pStyle w:val="34"/>
            </w:pPr>
            <w:r>
              <w:t>《挥发性有机物无组织排放控制标准》（GB37822-2019）表A.1厂区内VOCs无组织排放限值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41" w:type="dxa"/>
            <w:vMerge w:val="continue"/>
            <w:tcBorders>
              <w:tl2br w:val="nil"/>
              <w:tr2bl w:val="nil"/>
            </w:tcBorders>
            <w:vAlign w:val="center"/>
          </w:tcPr>
          <w:p>
            <w:pPr>
              <w:pStyle w:val="34"/>
            </w:pPr>
          </w:p>
        </w:tc>
        <w:tc>
          <w:tcPr>
            <w:tcW w:w="1494" w:type="dxa"/>
            <w:tcBorders>
              <w:tl2br w:val="nil"/>
              <w:tr2bl w:val="nil"/>
            </w:tcBorders>
            <w:vAlign w:val="center"/>
          </w:tcPr>
          <w:p>
            <w:pPr>
              <w:pStyle w:val="34"/>
            </w:pPr>
            <w:r>
              <w:rPr>
                <w:spacing w:val="-6"/>
              </w:rPr>
              <w:t>监控点处任意一次浓度值</w:t>
            </w:r>
          </w:p>
        </w:tc>
        <w:tc>
          <w:tcPr>
            <w:tcW w:w="851" w:type="dxa"/>
            <w:tcBorders>
              <w:tl2br w:val="nil"/>
              <w:tr2bl w:val="nil"/>
            </w:tcBorders>
            <w:vAlign w:val="center"/>
          </w:tcPr>
          <w:p>
            <w:pPr>
              <w:pStyle w:val="34"/>
            </w:pPr>
            <w:r>
              <w:t>mg/m</w:t>
            </w:r>
            <w:r>
              <w:rPr>
                <w:vertAlign w:val="superscript"/>
              </w:rPr>
              <w:t>3</w:t>
            </w:r>
          </w:p>
        </w:tc>
        <w:tc>
          <w:tcPr>
            <w:tcW w:w="1134" w:type="dxa"/>
            <w:tcBorders>
              <w:tl2br w:val="nil"/>
              <w:tr2bl w:val="nil"/>
            </w:tcBorders>
            <w:vAlign w:val="center"/>
          </w:tcPr>
          <w:p>
            <w:pPr>
              <w:pStyle w:val="34"/>
            </w:pPr>
            <w:r>
              <w:t>30</w:t>
            </w:r>
          </w:p>
        </w:tc>
        <w:tc>
          <w:tcPr>
            <w:tcW w:w="3492" w:type="dxa"/>
            <w:vMerge w:val="continue"/>
            <w:tcBorders>
              <w:tl2br w:val="nil"/>
              <w:tr2bl w:val="nil"/>
            </w:tcBorders>
            <w:vAlign w:val="center"/>
          </w:tcPr>
          <w:p>
            <w:pPr>
              <w:pStyle w:val="34"/>
            </w:pPr>
          </w:p>
        </w:tc>
      </w:tr>
    </w:tbl>
    <w:p>
      <w:pPr>
        <w:pStyle w:val="7"/>
        <w:ind w:firstLine="480"/>
        <w:rPr>
          <w:rFonts w:cs="Times New Roman"/>
          <w:lang w:val="zh-CN"/>
        </w:rPr>
      </w:pPr>
      <w:r>
        <w:rPr>
          <w:rFonts w:cs="Times New Roman"/>
          <w:lang w:val="zh-CN"/>
        </w:rPr>
        <w:t>（2）废水排放标准</w:t>
      </w:r>
    </w:p>
    <w:p>
      <w:pPr>
        <w:pStyle w:val="7"/>
        <w:ind w:firstLine="480"/>
        <w:rPr>
          <w:rFonts w:cs="Times New Roman"/>
          <w:lang w:val="zh-CN"/>
        </w:rPr>
      </w:pPr>
      <w:r>
        <w:rPr>
          <w:rFonts w:cs="Times New Roman"/>
          <w:lang w:val="zh-CN"/>
        </w:rPr>
        <w:t>生活污水在化粪池内暂存，定期由环卫</w:t>
      </w:r>
      <w:r>
        <w:rPr>
          <w:rFonts w:hint="eastAsia" w:cs="Times New Roman"/>
          <w:lang w:val="zh-CN"/>
        </w:rPr>
        <w:t>部门</w:t>
      </w:r>
      <w:r>
        <w:rPr>
          <w:rFonts w:cs="Times New Roman"/>
          <w:lang w:val="zh-CN"/>
        </w:rPr>
        <w:t>拉运处理，生活污水执行《污水综合排放标准》（GB8978-1996）表4中的三级排放标准，详见</w:t>
      </w:r>
      <w:r>
        <w:rPr>
          <w:rFonts w:hint="eastAsia" w:cs="Times New Roman"/>
          <w:lang w:val="zh-CN"/>
        </w:rPr>
        <w:t>表2.4-6</w:t>
      </w:r>
      <w:r>
        <w:rPr>
          <w:rFonts w:cs="Times New Roman"/>
          <w:lang w:val="zh-CN"/>
        </w:rPr>
        <w:t>。</w:t>
      </w:r>
    </w:p>
    <w:p>
      <w:pPr>
        <w:pStyle w:val="36"/>
        <w:spacing w:before="156"/>
        <w:rPr>
          <w:rFonts w:eastAsia="宋体"/>
        </w:rPr>
      </w:pPr>
      <w:bookmarkStart w:id="23" w:name="_Ref111291946"/>
      <w:r>
        <w:rPr>
          <w:rFonts w:eastAsia="宋体"/>
        </w:rPr>
        <w:t>表</w:t>
      </w:r>
      <w:r>
        <w:rPr>
          <w:rFonts w:hint="eastAsia" w:eastAsia="宋体"/>
        </w:rPr>
        <w:t>2.4-6</w:t>
      </w:r>
      <w:bookmarkEnd w:id="23"/>
      <w:r>
        <w:rPr>
          <w:rFonts w:eastAsia="宋体"/>
        </w:rPr>
        <w:t xml:space="preserve">  废水污染物执行标准一览表</w:t>
      </w:r>
      <w:r>
        <w:rPr>
          <w:rFonts w:hint="eastAsia" w:eastAsia="宋体"/>
        </w:rPr>
        <w:t>（</w:t>
      </w:r>
      <w:r>
        <w:rPr>
          <w:rFonts w:eastAsia="宋体"/>
        </w:rPr>
        <w:t>单位：mg/L</w:t>
      </w:r>
      <w:r>
        <w:rPr>
          <w:rFonts w:hint="eastAsia" w:eastAsia="宋体"/>
        </w:rPr>
        <w:t>）</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947"/>
        <w:gridCol w:w="4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37" w:type="pct"/>
            <w:tcBorders>
              <w:tl2br w:val="nil"/>
              <w:tr2bl w:val="nil"/>
            </w:tcBorders>
            <w:vAlign w:val="center"/>
          </w:tcPr>
          <w:p>
            <w:pPr>
              <w:pStyle w:val="34"/>
            </w:pPr>
            <w:r>
              <w:t>序号</w:t>
            </w:r>
          </w:p>
        </w:tc>
        <w:tc>
          <w:tcPr>
            <w:tcW w:w="1728" w:type="pct"/>
            <w:tcBorders>
              <w:tl2br w:val="nil"/>
              <w:tr2bl w:val="nil"/>
            </w:tcBorders>
            <w:vAlign w:val="center"/>
          </w:tcPr>
          <w:p>
            <w:pPr>
              <w:pStyle w:val="34"/>
            </w:pPr>
            <w:r>
              <w:t>污染物</w:t>
            </w:r>
          </w:p>
        </w:tc>
        <w:tc>
          <w:tcPr>
            <w:tcW w:w="2835" w:type="pct"/>
            <w:tcBorders>
              <w:tl2br w:val="nil"/>
              <w:tr2bl w:val="nil"/>
            </w:tcBorders>
            <w:vAlign w:val="center"/>
          </w:tcPr>
          <w:p>
            <w:pPr>
              <w:pStyle w:val="34"/>
            </w:pPr>
            <w: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37" w:type="pct"/>
            <w:tcBorders>
              <w:tl2br w:val="nil"/>
              <w:tr2bl w:val="nil"/>
            </w:tcBorders>
            <w:vAlign w:val="center"/>
          </w:tcPr>
          <w:p>
            <w:pPr>
              <w:pStyle w:val="34"/>
            </w:pPr>
            <w:r>
              <w:t>1</w:t>
            </w:r>
          </w:p>
        </w:tc>
        <w:tc>
          <w:tcPr>
            <w:tcW w:w="1728" w:type="pct"/>
            <w:tcBorders>
              <w:tl2br w:val="nil"/>
              <w:tr2bl w:val="nil"/>
            </w:tcBorders>
            <w:vAlign w:val="center"/>
          </w:tcPr>
          <w:p>
            <w:pPr>
              <w:pStyle w:val="34"/>
            </w:pPr>
            <w:r>
              <w:t>pH(无量纲)</w:t>
            </w:r>
          </w:p>
        </w:tc>
        <w:tc>
          <w:tcPr>
            <w:tcW w:w="2835" w:type="pct"/>
            <w:tcBorders>
              <w:tl2br w:val="nil"/>
              <w:tr2bl w:val="nil"/>
            </w:tcBorders>
            <w:vAlign w:val="center"/>
          </w:tcPr>
          <w:p>
            <w:pPr>
              <w:pStyle w:val="34"/>
            </w:pPr>
            <w: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37" w:type="pct"/>
            <w:tcBorders>
              <w:tl2br w:val="nil"/>
              <w:tr2bl w:val="nil"/>
            </w:tcBorders>
            <w:vAlign w:val="center"/>
          </w:tcPr>
          <w:p>
            <w:pPr>
              <w:pStyle w:val="34"/>
            </w:pPr>
            <w:r>
              <w:t>2</w:t>
            </w:r>
          </w:p>
        </w:tc>
        <w:tc>
          <w:tcPr>
            <w:tcW w:w="1728" w:type="pct"/>
            <w:tcBorders>
              <w:tl2br w:val="nil"/>
              <w:tr2bl w:val="nil"/>
            </w:tcBorders>
            <w:vAlign w:val="center"/>
          </w:tcPr>
          <w:p>
            <w:pPr>
              <w:pStyle w:val="34"/>
            </w:pPr>
            <w:r>
              <w:t>CODcr</w:t>
            </w:r>
          </w:p>
        </w:tc>
        <w:tc>
          <w:tcPr>
            <w:tcW w:w="2835" w:type="pct"/>
            <w:tcBorders>
              <w:tl2br w:val="nil"/>
              <w:tr2bl w:val="nil"/>
            </w:tcBorders>
            <w:vAlign w:val="center"/>
          </w:tcPr>
          <w:p>
            <w:pPr>
              <w:pStyle w:val="34"/>
            </w:pPr>
            <w: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37" w:type="pct"/>
            <w:tcBorders>
              <w:tl2br w:val="nil"/>
              <w:tr2bl w:val="nil"/>
            </w:tcBorders>
            <w:vAlign w:val="center"/>
          </w:tcPr>
          <w:p>
            <w:pPr>
              <w:pStyle w:val="34"/>
            </w:pPr>
            <w:r>
              <w:t>3</w:t>
            </w:r>
          </w:p>
        </w:tc>
        <w:tc>
          <w:tcPr>
            <w:tcW w:w="1728" w:type="pct"/>
            <w:tcBorders>
              <w:tl2br w:val="nil"/>
              <w:tr2bl w:val="nil"/>
            </w:tcBorders>
            <w:vAlign w:val="center"/>
          </w:tcPr>
          <w:p>
            <w:pPr>
              <w:pStyle w:val="34"/>
            </w:pPr>
            <w:r>
              <w:t>BOD</w:t>
            </w:r>
            <w:r>
              <w:rPr>
                <w:vertAlign w:val="subscript"/>
              </w:rPr>
              <w:t>5</w:t>
            </w:r>
          </w:p>
        </w:tc>
        <w:tc>
          <w:tcPr>
            <w:tcW w:w="2835" w:type="pct"/>
            <w:tcBorders>
              <w:tl2br w:val="nil"/>
              <w:tr2bl w:val="nil"/>
            </w:tcBorders>
            <w:vAlign w:val="center"/>
          </w:tcPr>
          <w:p>
            <w:pPr>
              <w:pStyle w:val="34"/>
            </w:pPr>
            <w: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37" w:type="pct"/>
            <w:tcBorders>
              <w:tl2br w:val="nil"/>
              <w:tr2bl w:val="nil"/>
            </w:tcBorders>
            <w:vAlign w:val="center"/>
          </w:tcPr>
          <w:p>
            <w:pPr>
              <w:pStyle w:val="34"/>
            </w:pPr>
            <w:r>
              <w:t>4</w:t>
            </w:r>
          </w:p>
        </w:tc>
        <w:tc>
          <w:tcPr>
            <w:tcW w:w="1728" w:type="pct"/>
            <w:tcBorders>
              <w:tl2br w:val="nil"/>
              <w:tr2bl w:val="nil"/>
            </w:tcBorders>
            <w:vAlign w:val="center"/>
          </w:tcPr>
          <w:p>
            <w:pPr>
              <w:pStyle w:val="34"/>
            </w:pPr>
            <w:r>
              <w:t>氨氮</w:t>
            </w:r>
          </w:p>
        </w:tc>
        <w:tc>
          <w:tcPr>
            <w:tcW w:w="2835"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37" w:type="pct"/>
            <w:tcBorders>
              <w:tl2br w:val="nil"/>
              <w:tr2bl w:val="nil"/>
            </w:tcBorders>
            <w:vAlign w:val="center"/>
          </w:tcPr>
          <w:p>
            <w:pPr>
              <w:pStyle w:val="34"/>
            </w:pPr>
            <w:r>
              <w:t>5</w:t>
            </w:r>
          </w:p>
        </w:tc>
        <w:tc>
          <w:tcPr>
            <w:tcW w:w="1728" w:type="pct"/>
            <w:tcBorders>
              <w:tl2br w:val="nil"/>
              <w:tr2bl w:val="nil"/>
            </w:tcBorders>
            <w:vAlign w:val="center"/>
          </w:tcPr>
          <w:p>
            <w:pPr>
              <w:pStyle w:val="34"/>
            </w:pPr>
            <w:r>
              <w:t>SS</w:t>
            </w:r>
          </w:p>
        </w:tc>
        <w:tc>
          <w:tcPr>
            <w:tcW w:w="2835" w:type="pct"/>
            <w:tcBorders>
              <w:tl2br w:val="nil"/>
              <w:tr2bl w:val="nil"/>
            </w:tcBorders>
            <w:vAlign w:val="center"/>
          </w:tcPr>
          <w:p>
            <w:pPr>
              <w:pStyle w:val="34"/>
            </w:pPr>
            <w:r>
              <w:t>400</w:t>
            </w:r>
          </w:p>
        </w:tc>
      </w:tr>
    </w:tbl>
    <w:p>
      <w:pPr>
        <w:pStyle w:val="7"/>
        <w:ind w:firstLine="480"/>
        <w:rPr>
          <w:rFonts w:cs="Times New Roman"/>
          <w:lang w:val="zh-CN"/>
        </w:rPr>
      </w:pPr>
      <w:r>
        <w:rPr>
          <w:rFonts w:cs="Times New Roman"/>
          <w:lang w:val="zh-CN"/>
        </w:rPr>
        <w:t>（3）噪声排放标准</w:t>
      </w:r>
    </w:p>
    <w:p>
      <w:pPr>
        <w:pStyle w:val="7"/>
        <w:ind w:firstLine="480"/>
        <w:rPr>
          <w:rFonts w:cs="Times New Roman"/>
          <w:lang w:val="zh-CN"/>
        </w:rPr>
      </w:pPr>
      <w:r>
        <w:rPr>
          <w:rFonts w:cs="Times New Roman"/>
          <w:lang w:val="zh-CN"/>
        </w:rPr>
        <w:t>项目施工期噪声排放执行《建筑施工场界环境噪声排放标准》（GB12523-2011）；运营期噪声排放执行《工业企业厂界环境噪声排放标准》（GB12348-2008）中2类区环境噪声排放限值，具体标准限值详见</w:t>
      </w:r>
      <w:r>
        <w:rPr>
          <w:rFonts w:hint="eastAsia" w:cs="Times New Roman"/>
          <w:lang w:val="zh-CN"/>
        </w:rPr>
        <w:t>表2.4-7</w:t>
      </w:r>
      <w:r>
        <w:rPr>
          <w:rFonts w:cs="Times New Roman"/>
          <w:lang w:val="zh-CN"/>
        </w:rPr>
        <w:t>。</w:t>
      </w:r>
    </w:p>
    <w:p>
      <w:pPr>
        <w:pStyle w:val="36"/>
        <w:spacing w:before="156"/>
        <w:rPr>
          <w:rFonts w:eastAsia="宋体"/>
        </w:rPr>
      </w:pPr>
      <w:bookmarkStart w:id="24" w:name="_Ref111292253"/>
      <w:r>
        <w:rPr>
          <w:rFonts w:eastAsia="宋体"/>
        </w:rPr>
        <w:t>表</w:t>
      </w:r>
      <w:r>
        <w:rPr>
          <w:rFonts w:hint="eastAsia" w:eastAsia="宋体"/>
        </w:rPr>
        <w:t>2.4-7</w:t>
      </w:r>
      <w:bookmarkEnd w:id="24"/>
      <w:r>
        <w:rPr>
          <w:rFonts w:hint="eastAsia" w:eastAsia="宋体"/>
        </w:rPr>
        <w:t xml:space="preserve"> </w:t>
      </w:r>
      <w:r>
        <w:rPr>
          <w:rFonts w:eastAsia="宋体"/>
        </w:rPr>
        <w:t xml:space="preserve"> 噪声排放标准一览表</w:t>
      </w:r>
      <w:r>
        <w:rPr>
          <w:rFonts w:hint="eastAsia" w:eastAsia="宋体"/>
        </w:rPr>
        <w:t>（</w:t>
      </w:r>
      <w:r>
        <w:rPr>
          <w:rFonts w:eastAsia="宋体"/>
        </w:rPr>
        <w:t>单位：dB（A）</w:t>
      </w:r>
      <w:r>
        <w:rPr>
          <w:rFonts w:hint="eastAsia" w:eastAsia="宋体"/>
        </w:rPr>
        <w:t>）</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06"/>
        <w:gridCol w:w="2561"/>
        <w:gridCol w:w="2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997" w:type="pct"/>
            <w:tcBorders>
              <w:tl2br w:val="nil"/>
              <w:tr2bl w:val="nil"/>
            </w:tcBorders>
            <w:vAlign w:val="center"/>
          </w:tcPr>
          <w:p>
            <w:pPr>
              <w:pStyle w:val="34"/>
            </w:pPr>
            <w:r>
              <w:t>时段</w:t>
            </w:r>
          </w:p>
        </w:tc>
        <w:tc>
          <w:tcPr>
            <w:tcW w:w="1501" w:type="pct"/>
            <w:tcBorders>
              <w:tl2br w:val="nil"/>
              <w:tr2bl w:val="nil"/>
            </w:tcBorders>
            <w:vAlign w:val="center"/>
          </w:tcPr>
          <w:p>
            <w:pPr>
              <w:pStyle w:val="34"/>
            </w:pPr>
            <w:r>
              <w:t>昼间</w:t>
            </w:r>
          </w:p>
        </w:tc>
        <w:tc>
          <w:tcPr>
            <w:tcW w:w="1501" w:type="pct"/>
            <w:tcBorders>
              <w:tl2br w:val="nil"/>
              <w:tr2bl w:val="nil"/>
            </w:tcBorders>
            <w:vAlign w:val="center"/>
          </w:tcPr>
          <w:p>
            <w:pPr>
              <w:pStyle w:val="34"/>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997" w:type="pct"/>
            <w:tcBorders>
              <w:tl2br w:val="nil"/>
              <w:tr2bl w:val="nil"/>
            </w:tcBorders>
            <w:vAlign w:val="center"/>
          </w:tcPr>
          <w:p>
            <w:pPr>
              <w:pStyle w:val="34"/>
            </w:pPr>
            <w:r>
              <w:t>施工期</w:t>
            </w:r>
          </w:p>
        </w:tc>
        <w:tc>
          <w:tcPr>
            <w:tcW w:w="1501" w:type="pct"/>
            <w:tcBorders>
              <w:tl2br w:val="nil"/>
              <w:tr2bl w:val="nil"/>
            </w:tcBorders>
            <w:vAlign w:val="center"/>
          </w:tcPr>
          <w:p>
            <w:pPr>
              <w:pStyle w:val="34"/>
            </w:pPr>
            <w:r>
              <w:t>70</w:t>
            </w:r>
          </w:p>
        </w:tc>
        <w:tc>
          <w:tcPr>
            <w:tcW w:w="1501" w:type="pct"/>
            <w:tcBorders>
              <w:tl2br w:val="nil"/>
              <w:tr2bl w:val="nil"/>
            </w:tcBorders>
            <w:vAlign w:val="center"/>
          </w:tcPr>
          <w:p>
            <w:pPr>
              <w:pStyle w:val="34"/>
            </w:pPr>
            <w: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997" w:type="pct"/>
            <w:tcBorders>
              <w:tl2br w:val="nil"/>
              <w:tr2bl w:val="nil"/>
            </w:tcBorders>
            <w:vAlign w:val="center"/>
          </w:tcPr>
          <w:p>
            <w:pPr>
              <w:pStyle w:val="34"/>
            </w:pPr>
            <w:r>
              <w:t>运营期</w:t>
            </w:r>
          </w:p>
        </w:tc>
        <w:tc>
          <w:tcPr>
            <w:tcW w:w="1501" w:type="pct"/>
            <w:tcBorders>
              <w:tl2br w:val="nil"/>
              <w:tr2bl w:val="nil"/>
            </w:tcBorders>
            <w:vAlign w:val="center"/>
          </w:tcPr>
          <w:p>
            <w:pPr>
              <w:pStyle w:val="34"/>
            </w:pPr>
            <w:r>
              <w:t>60</w:t>
            </w:r>
          </w:p>
        </w:tc>
        <w:tc>
          <w:tcPr>
            <w:tcW w:w="1501" w:type="pct"/>
            <w:tcBorders>
              <w:tl2br w:val="nil"/>
              <w:tr2bl w:val="nil"/>
            </w:tcBorders>
            <w:vAlign w:val="center"/>
          </w:tcPr>
          <w:p>
            <w:pPr>
              <w:pStyle w:val="34"/>
            </w:pPr>
            <w:r>
              <w:t>50</w:t>
            </w:r>
          </w:p>
        </w:tc>
      </w:tr>
    </w:tbl>
    <w:p>
      <w:pPr>
        <w:pStyle w:val="7"/>
        <w:ind w:firstLine="480"/>
        <w:rPr>
          <w:rFonts w:cs="Times New Roman"/>
          <w:lang w:val="zh-CN"/>
        </w:rPr>
      </w:pPr>
      <w:r>
        <w:rPr>
          <w:rFonts w:cs="Times New Roman"/>
          <w:lang w:val="zh-CN"/>
        </w:rPr>
        <w:t>（4）固体废物污染控制标准</w:t>
      </w:r>
    </w:p>
    <w:p>
      <w:pPr>
        <w:pStyle w:val="7"/>
        <w:ind w:firstLine="480"/>
        <w:rPr>
          <w:rFonts w:cs="Times New Roman"/>
          <w:lang w:val="zh-CN"/>
        </w:rPr>
      </w:pPr>
      <w:r>
        <w:rPr>
          <w:rFonts w:cs="Times New Roman"/>
          <w:lang w:val="zh-CN"/>
        </w:rPr>
        <w:t>《一般工业固体废物贮存和填埋污染控制标准》（GB18599-2020）</w:t>
      </w:r>
      <w:r>
        <w:rPr>
          <w:rFonts w:hint="eastAsia" w:cs="Times New Roman"/>
          <w:lang w:val="zh-CN"/>
        </w:rPr>
        <w:t>、</w:t>
      </w:r>
      <w:r>
        <w:rPr>
          <w:rFonts w:cs="Times New Roman"/>
          <w:lang w:val="zh-CN"/>
        </w:rPr>
        <w:t>《危险废物贮存污染控制标准》（GB18597-2023）</w:t>
      </w:r>
      <w:r>
        <w:rPr>
          <w:rFonts w:hint="eastAsia" w:cs="Times New Roman"/>
          <w:lang w:val="zh-CN"/>
        </w:rPr>
        <w:t>、</w:t>
      </w:r>
      <w:r>
        <w:rPr>
          <w:rFonts w:cs="Times New Roman"/>
          <w:lang w:val="zh-CN"/>
        </w:rPr>
        <w:t>《危险废物识别标志设置技术规范》（HJ1276-2022）</w:t>
      </w:r>
      <w:r>
        <w:rPr>
          <w:rFonts w:hint="eastAsia" w:cs="Times New Roman"/>
          <w:lang w:val="zh-CN"/>
        </w:rPr>
        <w:t>，</w:t>
      </w:r>
      <w:r>
        <w:rPr>
          <w:rFonts w:cs="Times New Roman"/>
          <w:lang w:val="zh-CN"/>
        </w:rPr>
        <w:t>危险废物的转移依照《危险废物收集 贮存 运输技术规范》（HJ2025-2012）及《危险废物转移管理办法》。</w:t>
      </w:r>
    </w:p>
    <w:p>
      <w:pPr>
        <w:pStyle w:val="4"/>
        <w:spacing w:before="156" w:after="156"/>
        <w:rPr>
          <w:rFonts w:eastAsia="宋体"/>
          <w:lang w:val="zh-CN"/>
        </w:rPr>
      </w:pPr>
      <w:bookmarkStart w:id="25" w:name="_Toc20843"/>
      <w:r>
        <w:rPr>
          <w:rFonts w:eastAsia="宋体"/>
          <w:lang w:val="zh-CN"/>
        </w:rPr>
        <w:t>评价等级与评价范围</w:t>
      </w:r>
      <w:bookmarkEnd w:id="25"/>
    </w:p>
    <w:p>
      <w:pPr>
        <w:pStyle w:val="5"/>
        <w:rPr>
          <w:rFonts w:cs="Times New Roman"/>
        </w:rPr>
      </w:pPr>
      <w:r>
        <w:rPr>
          <w:rFonts w:cs="Times New Roman"/>
        </w:rPr>
        <w:t>评价工作等级</w:t>
      </w:r>
    </w:p>
    <w:p>
      <w:pPr>
        <w:pStyle w:val="7"/>
        <w:ind w:firstLine="480"/>
        <w:rPr>
          <w:rFonts w:cs="Times New Roman"/>
          <w:lang w:val="zh-CN"/>
        </w:rPr>
      </w:pPr>
      <w:r>
        <w:rPr>
          <w:rFonts w:cs="Times New Roman"/>
          <w:lang w:val="zh-CN"/>
        </w:rPr>
        <w:t>按照《建设项目环境影响评价技术导则 总纲》（HJ2.1-2016）的要求，并根据本项目的排污特征、污染物排放量及项目所在地的环境功能区划要求，确定评价工作等级如下：</w:t>
      </w:r>
    </w:p>
    <w:p>
      <w:pPr>
        <w:pStyle w:val="6"/>
      </w:pPr>
      <w:r>
        <w:t>大气评价工作等级</w:t>
      </w:r>
    </w:p>
    <w:p>
      <w:pPr>
        <w:pStyle w:val="7"/>
        <w:ind w:firstLine="480"/>
        <w:rPr>
          <w:rFonts w:cs="Times New Roman"/>
          <w:lang w:val="zh-CN"/>
        </w:rPr>
      </w:pPr>
      <w:r>
        <w:rPr>
          <w:rFonts w:cs="Times New Roman"/>
          <w:lang w:val="zh-CN"/>
        </w:rPr>
        <w:t>根据建设项目特点、污染物排放特征、项目所在地区的地形特点和环境功能区划，按照《环境影响评价技术导则 大气环境》（HJ2.2-2018）中评价等级的判定的方法，选择项目污染源正常排放的主要污染物及排放参数，采用导则推荐的AERSCREEN模型分别计算项目污染源的最大环境影响，然后按评价工作分级判据确定大气环境评价工作等级。</w:t>
      </w:r>
    </w:p>
    <w:p>
      <w:pPr>
        <w:pStyle w:val="7"/>
        <w:ind w:firstLine="480"/>
        <w:rPr>
          <w:rFonts w:cs="Times New Roman"/>
        </w:rPr>
      </w:pPr>
      <w:r>
        <w:rPr>
          <w:rFonts w:cs="Times New Roman"/>
        </w:rPr>
        <w:t>根据项目污染源初步调查结果，分别计算项目排放主要污染物的最大地面空气质量浓度占标率P</w:t>
      </w:r>
      <w:r>
        <w:rPr>
          <w:rFonts w:cs="Times New Roman"/>
          <w:vertAlign w:val="subscript"/>
        </w:rPr>
        <w:t>i</w:t>
      </w:r>
      <w:r>
        <w:rPr>
          <w:rFonts w:cs="Times New Roman"/>
        </w:rPr>
        <w:t>及第i个污染物的地面浓度达标准限值10%时所对应的最远距离D</w:t>
      </w:r>
      <w:r>
        <w:rPr>
          <w:rFonts w:cs="Times New Roman"/>
          <w:vertAlign w:val="subscript"/>
        </w:rPr>
        <w:t>10%</w:t>
      </w:r>
      <w:r>
        <w:rPr>
          <w:rFonts w:cs="Times New Roman"/>
        </w:rPr>
        <w:t>。其中P</w:t>
      </w:r>
      <w:r>
        <w:rPr>
          <w:rFonts w:cs="Times New Roman"/>
          <w:vertAlign w:val="subscript"/>
        </w:rPr>
        <w:t>i</w:t>
      </w:r>
      <w:r>
        <w:rPr>
          <w:rFonts w:cs="Times New Roman"/>
        </w:rPr>
        <w:t>定义见公式：</w:t>
      </w:r>
    </w:p>
    <w:p>
      <w:pPr>
        <w:pStyle w:val="7"/>
        <w:ind w:firstLine="480"/>
        <w:jc w:val="center"/>
        <w:rPr>
          <w:rFonts w:cs="Times New Roman"/>
          <w:lang w:val="zh-CN"/>
        </w:rPr>
      </w:pPr>
      <w:r>
        <w:rPr>
          <w:rFonts w:cs="Times New Roman"/>
          <w:position w:val="-30"/>
        </w:rPr>
        <w:object>
          <v:shape id="_x0000_i1025" o:spt="75" type="#_x0000_t75" style="height:36.75pt;width:92.2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p>
      <w:pPr>
        <w:pStyle w:val="7"/>
        <w:ind w:firstLine="480"/>
        <w:rPr>
          <w:rFonts w:cs="Times New Roman"/>
        </w:rPr>
      </w:pPr>
      <w:r>
        <w:rPr>
          <w:rFonts w:cs="Times New Roman"/>
        </w:rPr>
        <w:t>式中：</w:t>
      </w:r>
      <w:r>
        <w:rPr>
          <w:rFonts w:cs="Times New Roman"/>
          <w:position w:val="-12"/>
        </w:rPr>
        <w:object>
          <v:shape id="_x0000_i1026" o:spt="75" type="#_x0000_t75" style="height:23.25pt;width:15.7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cs="Times New Roman"/>
        </w:rPr>
        <w:t>—第</w:t>
      </w:r>
      <w:r>
        <w:rPr>
          <w:rFonts w:cs="Times New Roman"/>
          <w:position w:val="-6"/>
        </w:rPr>
        <w:object>
          <v:shape id="_x0000_i1027" o:spt="75" type="#_x0000_t75" style="height:15.75pt;width:5.25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cs="Times New Roman"/>
        </w:rPr>
        <w:t>个污染物的最大地面空气质量浓度占标率，%；</w:t>
      </w:r>
    </w:p>
    <w:p>
      <w:pPr>
        <w:pStyle w:val="7"/>
        <w:ind w:firstLine="1200" w:firstLineChars="500"/>
        <w:rPr>
          <w:rFonts w:cs="Times New Roman"/>
        </w:rPr>
      </w:pPr>
      <w:r>
        <w:rPr>
          <w:rFonts w:cs="Times New Roman"/>
          <w:position w:val="-12"/>
        </w:rPr>
        <w:object>
          <v:shape id="_x0000_i1028" o:spt="75" type="#_x0000_t75" style="height:23.25pt;width:15.7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rPr>
          <w:rFonts w:cs="Times New Roman"/>
        </w:rPr>
        <w:t>—采用估算模式计算出的第</w:t>
      </w:r>
      <w:r>
        <w:rPr>
          <w:rFonts w:cs="Times New Roman"/>
          <w:position w:val="-6"/>
        </w:rPr>
        <w:object>
          <v:shape id="_x0000_i1029" o:spt="75" type="#_x0000_t75" style="height:15.75pt;width:5.25pt;" o:ole="t" filled="f" o:preferrelative="t" stroked="f" coordsize="21600,21600">
            <v:path/>
            <v:fill on="f" focussize="0,0"/>
            <v:stroke on="f" joinstyle="miter"/>
            <v:imagedata r:id="rId12" o:title=""/>
            <o:lock v:ext="edit" aspectratio="t"/>
            <w10:wrap type="none"/>
            <w10:anchorlock/>
          </v:shape>
          <o:OLEObject Type="Embed" ProgID="Equation.3" ShapeID="_x0000_i1029" DrawAspect="Content" ObjectID="_1468075729" r:id="rId15">
            <o:LockedField>false</o:LockedField>
          </o:OLEObject>
        </w:object>
      </w:r>
      <w:r>
        <w:rPr>
          <w:rFonts w:cs="Times New Roman"/>
        </w:rPr>
        <w:t>个污染物的最大1h地面空气质量浓度，μg/m</w:t>
      </w:r>
      <w:r>
        <w:rPr>
          <w:rFonts w:cs="Times New Roman"/>
          <w:vertAlign w:val="superscript"/>
        </w:rPr>
        <w:t>3</w:t>
      </w:r>
      <w:r>
        <w:rPr>
          <w:rFonts w:cs="Times New Roman"/>
        </w:rPr>
        <w:t>；</w:t>
      </w:r>
    </w:p>
    <w:p>
      <w:pPr>
        <w:pStyle w:val="7"/>
        <w:ind w:firstLine="1200" w:firstLineChars="500"/>
        <w:rPr>
          <w:rFonts w:cs="Times New Roman"/>
        </w:rPr>
      </w:pPr>
      <w:r>
        <w:rPr>
          <w:rFonts w:cs="Times New Roman"/>
          <w:position w:val="-12"/>
        </w:rPr>
        <w:object>
          <v:shape id="_x0000_i1030" o:spt="75" type="#_x0000_t75" style="height:23.25pt;width:23.25pt;" o:ole="t" filled="f" o:preferrelative="t" stroked="f" coordsize="21600,21600">
            <v:path/>
            <v:fill on="f" focussize="0,0"/>
            <v:stroke on="f" joinstyle="miter"/>
            <v:imagedata r:id="rId17" o:title=""/>
            <o:lock v:ext="edit" aspectratio="t"/>
            <w10:wrap type="none"/>
            <w10:anchorlock/>
          </v:shape>
          <o:OLEObject Type="Embed" ProgID="Equation.3" ShapeID="_x0000_i1030" DrawAspect="Content" ObjectID="_1468075730" r:id="rId16">
            <o:LockedField>false</o:LockedField>
          </o:OLEObject>
        </w:object>
      </w:r>
      <w:r>
        <w:rPr>
          <w:rFonts w:cs="Times New Roman"/>
        </w:rPr>
        <w:t>—第</w:t>
      </w:r>
      <w:r>
        <w:rPr>
          <w:rFonts w:cs="Times New Roman"/>
          <w:position w:val="-6"/>
        </w:rPr>
        <w:object>
          <v:shape id="_x0000_i1031" o:spt="75" type="#_x0000_t75" style="height:15.75pt;width:5.25pt;" o:ole="t" filled="f" o:preferrelative="t" stroked="f" coordsize="21600,21600">
            <v:path/>
            <v:fill on="f" focussize="0,0"/>
            <v:stroke on="f" joinstyle="miter"/>
            <v:imagedata r:id="rId12" o:title=""/>
            <o:lock v:ext="edit" aspectratio="t"/>
            <w10:wrap type="none"/>
            <w10:anchorlock/>
          </v:shape>
          <o:OLEObject Type="Embed" ProgID="Equation.3" ShapeID="_x0000_i1031" DrawAspect="Content" ObjectID="_1468075731" r:id="rId18">
            <o:LockedField>false</o:LockedField>
          </o:OLEObject>
        </w:object>
      </w:r>
      <w:r>
        <w:rPr>
          <w:rFonts w:cs="Times New Roman"/>
        </w:rPr>
        <w:t>个污染物的环境空气质量浓度标准，μg/m</w:t>
      </w:r>
      <w:r>
        <w:rPr>
          <w:rFonts w:cs="Times New Roman"/>
          <w:vertAlign w:val="superscript"/>
        </w:rPr>
        <w:t>3</w:t>
      </w:r>
      <w:r>
        <w:rPr>
          <w:rFonts w:cs="Times New Roman"/>
        </w:rPr>
        <w:t>。NMHC使用1h平均质量浓度限值。</w:t>
      </w:r>
    </w:p>
    <w:p>
      <w:pPr>
        <w:pStyle w:val="7"/>
        <w:ind w:firstLine="480"/>
        <w:rPr>
          <w:rFonts w:cs="Times New Roman"/>
        </w:rPr>
      </w:pPr>
      <w:r>
        <w:rPr>
          <w:rFonts w:cs="Times New Roman"/>
        </w:rPr>
        <w:t>如污染物数i大于1，取P值中最大者P</w:t>
      </w:r>
      <w:r>
        <w:rPr>
          <w:rFonts w:cs="Times New Roman"/>
          <w:vertAlign w:val="subscript"/>
        </w:rPr>
        <w:t>max</w:t>
      </w:r>
      <w:r>
        <w:rPr>
          <w:rFonts w:cs="Times New Roman"/>
        </w:rPr>
        <w:t>。大气评价工作等级判据见</w:t>
      </w:r>
      <w:r>
        <w:rPr>
          <w:rFonts w:hint="eastAsia" w:cs="Times New Roman"/>
        </w:rPr>
        <w:t>表2.5-1</w:t>
      </w:r>
      <w:r>
        <w:rPr>
          <w:rFonts w:cs="Times New Roman"/>
        </w:rPr>
        <w:t>，估算模型参数见</w:t>
      </w:r>
      <w:r>
        <w:rPr>
          <w:rFonts w:hint="eastAsia" w:cs="Times New Roman"/>
        </w:rPr>
        <w:t>表2.5-2</w:t>
      </w:r>
      <w:r>
        <w:rPr>
          <w:rFonts w:cs="Times New Roman"/>
        </w:rPr>
        <w:t>。</w:t>
      </w:r>
    </w:p>
    <w:p>
      <w:pPr>
        <w:pStyle w:val="36"/>
        <w:spacing w:before="156"/>
        <w:rPr>
          <w:rFonts w:eastAsia="宋体"/>
        </w:rPr>
      </w:pPr>
      <w:bookmarkStart w:id="26" w:name="_Ref534575039"/>
      <w:r>
        <w:rPr>
          <w:rFonts w:eastAsia="宋体"/>
        </w:rPr>
        <w:t>表</w:t>
      </w:r>
      <w:r>
        <w:rPr>
          <w:rFonts w:hint="eastAsia" w:eastAsia="宋体"/>
        </w:rPr>
        <w:t>2.5-1</w:t>
      </w:r>
      <w:bookmarkEnd w:id="26"/>
      <w:r>
        <w:rPr>
          <w:rFonts w:eastAsia="宋体"/>
        </w:rPr>
        <w:t xml:space="preserve">  评价工作等级判别表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34"/>
        <w:gridCol w:w="4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pct"/>
            <w:tcBorders>
              <w:tl2br w:val="nil"/>
              <w:tr2bl w:val="nil"/>
            </w:tcBorders>
          </w:tcPr>
          <w:p>
            <w:pPr>
              <w:pStyle w:val="34"/>
            </w:pPr>
            <w:r>
              <w:t>评价工作等级</w:t>
            </w:r>
          </w:p>
        </w:tc>
        <w:tc>
          <w:tcPr>
            <w:tcW w:w="2811" w:type="pct"/>
            <w:tcBorders>
              <w:tl2br w:val="nil"/>
              <w:tr2bl w:val="nil"/>
            </w:tcBorders>
          </w:tcPr>
          <w:p>
            <w:pPr>
              <w:pStyle w:val="34"/>
            </w:pPr>
            <w: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pct"/>
            <w:tcBorders>
              <w:tl2br w:val="nil"/>
              <w:tr2bl w:val="nil"/>
            </w:tcBorders>
          </w:tcPr>
          <w:p>
            <w:pPr>
              <w:pStyle w:val="34"/>
            </w:pPr>
            <w:r>
              <w:t>一级评价</w:t>
            </w:r>
          </w:p>
        </w:tc>
        <w:tc>
          <w:tcPr>
            <w:tcW w:w="2811" w:type="pct"/>
            <w:tcBorders>
              <w:tl2br w:val="nil"/>
              <w:tr2bl w:val="nil"/>
            </w:tcBorders>
          </w:tcPr>
          <w:p>
            <w:pPr>
              <w:pStyle w:val="34"/>
            </w:pPr>
            <w: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pct"/>
            <w:tcBorders>
              <w:tl2br w:val="nil"/>
              <w:tr2bl w:val="nil"/>
            </w:tcBorders>
          </w:tcPr>
          <w:p>
            <w:pPr>
              <w:pStyle w:val="34"/>
            </w:pPr>
            <w:r>
              <w:t>二级评价</w:t>
            </w:r>
          </w:p>
        </w:tc>
        <w:tc>
          <w:tcPr>
            <w:tcW w:w="2811" w:type="pct"/>
            <w:tcBorders>
              <w:tl2br w:val="nil"/>
              <w:tr2bl w:val="nil"/>
            </w:tcBorders>
          </w:tcPr>
          <w:p>
            <w:pPr>
              <w:pStyle w:val="34"/>
            </w:pPr>
            <w:r>
              <w:t>1%≤Pmax &lt;10%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pct"/>
            <w:tcBorders>
              <w:tl2br w:val="nil"/>
              <w:tr2bl w:val="nil"/>
            </w:tcBorders>
          </w:tcPr>
          <w:p>
            <w:pPr>
              <w:pStyle w:val="34"/>
            </w:pPr>
            <w:r>
              <w:t>三级评价</w:t>
            </w:r>
          </w:p>
        </w:tc>
        <w:tc>
          <w:tcPr>
            <w:tcW w:w="2811" w:type="pct"/>
            <w:tcBorders>
              <w:tl2br w:val="nil"/>
              <w:tr2bl w:val="nil"/>
            </w:tcBorders>
          </w:tcPr>
          <w:p>
            <w:pPr>
              <w:pStyle w:val="34"/>
            </w:pPr>
            <w:r>
              <w:t>Pmax &lt;1%</w:t>
            </w:r>
          </w:p>
        </w:tc>
      </w:tr>
    </w:tbl>
    <w:p>
      <w:pPr>
        <w:pStyle w:val="36"/>
        <w:spacing w:before="156"/>
        <w:rPr>
          <w:rFonts w:eastAsia="宋体"/>
        </w:rPr>
      </w:pPr>
      <w:bookmarkStart w:id="27" w:name="_Ref111293714"/>
    </w:p>
    <w:p>
      <w:pPr>
        <w:pStyle w:val="36"/>
        <w:spacing w:before="156"/>
        <w:rPr>
          <w:rFonts w:eastAsia="宋体"/>
        </w:rPr>
      </w:pPr>
      <w:r>
        <w:rPr>
          <w:rFonts w:eastAsia="宋体"/>
        </w:rPr>
        <w:t>表</w:t>
      </w:r>
      <w:r>
        <w:rPr>
          <w:rFonts w:hint="eastAsia" w:eastAsia="宋体"/>
        </w:rPr>
        <w:t>2.5-2</w:t>
      </w:r>
      <w:bookmarkEnd w:id="27"/>
      <w:r>
        <w:rPr>
          <w:rFonts w:eastAsia="宋体"/>
        </w:rPr>
        <w:t xml:space="preserve">  估算模型参数表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99"/>
        <w:gridCol w:w="3543"/>
        <w:gridCol w:w="20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参数</w:t>
            </w:r>
          </w:p>
        </w:tc>
        <w:tc>
          <w:tcPr>
            <w:tcW w:w="1223" w:type="pct"/>
            <w:tcBorders>
              <w:tl2br w:val="nil"/>
              <w:tr2bl w:val="nil"/>
            </w:tcBorders>
            <w:vAlign w:val="center"/>
          </w:tcPr>
          <w:p>
            <w:pPr>
              <w:pStyle w:val="34"/>
            </w:pPr>
            <w: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restart"/>
            <w:tcBorders>
              <w:tl2br w:val="nil"/>
              <w:tr2bl w:val="nil"/>
            </w:tcBorders>
            <w:vAlign w:val="center"/>
          </w:tcPr>
          <w:p>
            <w:pPr>
              <w:pStyle w:val="34"/>
            </w:pPr>
            <w:r>
              <w:t>城市/农村选项</w:t>
            </w:r>
          </w:p>
        </w:tc>
        <w:tc>
          <w:tcPr>
            <w:tcW w:w="2077" w:type="pct"/>
            <w:tcBorders>
              <w:tl2br w:val="nil"/>
              <w:tr2bl w:val="nil"/>
            </w:tcBorders>
            <w:vAlign w:val="center"/>
          </w:tcPr>
          <w:p>
            <w:pPr>
              <w:pStyle w:val="34"/>
            </w:pPr>
            <w:r>
              <w:t>城市/农村</w:t>
            </w:r>
          </w:p>
        </w:tc>
        <w:tc>
          <w:tcPr>
            <w:tcW w:w="1223" w:type="pct"/>
            <w:tcBorders>
              <w:tl2br w:val="nil"/>
              <w:tr2bl w:val="nil"/>
            </w:tcBorders>
            <w:vAlign w:val="center"/>
          </w:tcPr>
          <w:p>
            <w:pPr>
              <w:pStyle w:val="34"/>
            </w:pPr>
            <w: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人口数（城市选项时）</w:t>
            </w:r>
          </w:p>
        </w:tc>
        <w:tc>
          <w:tcPr>
            <w:tcW w:w="1223"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最高环境温度/℃</w:t>
            </w:r>
          </w:p>
        </w:tc>
        <w:tc>
          <w:tcPr>
            <w:tcW w:w="1223" w:type="pct"/>
            <w:tcBorders>
              <w:tl2br w:val="nil"/>
              <w:tr2bl w:val="nil"/>
            </w:tcBorders>
            <w:vAlign w:val="center"/>
          </w:tcPr>
          <w:p>
            <w:pPr>
              <w:pStyle w:val="34"/>
            </w:pPr>
            <w:r>
              <w:t>41.6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最低环境温度/℃</w:t>
            </w:r>
          </w:p>
        </w:tc>
        <w:tc>
          <w:tcPr>
            <w:tcW w:w="1223" w:type="pct"/>
            <w:tcBorders>
              <w:tl2br w:val="nil"/>
              <w:tr2bl w:val="nil"/>
            </w:tcBorders>
            <w:vAlign w:val="center"/>
          </w:tcPr>
          <w:p>
            <w:pPr>
              <w:pStyle w:val="34"/>
            </w:pPr>
            <w:r>
              <w:t>-39.2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土地利用类型</w:t>
            </w:r>
          </w:p>
        </w:tc>
        <w:tc>
          <w:tcPr>
            <w:tcW w:w="1223" w:type="pct"/>
            <w:tcBorders>
              <w:tl2br w:val="nil"/>
              <w:tr2bl w:val="nil"/>
            </w:tcBorders>
            <w:vAlign w:val="center"/>
          </w:tcPr>
          <w:p>
            <w:pPr>
              <w:pStyle w:val="34"/>
            </w:pPr>
            <w:r>
              <w:rPr>
                <w:rFonts w:hint="eastAsia"/>
              </w:rPr>
              <w:t>农作地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区域湿度条件</w:t>
            </w:r>
          </w:p>
        </w:tc>
        <w:tc>
          <w:tcPr>
            <w:tcW w:w="1223" w:type="pct"/>
            <w:tcBorders>
              <w:tl2br w:val="nil"/>
              <w:tr2bl w:val="nil"/>
            </w:tcBorders>
            <w:vAlign w:val="center"/>
          </w:tcPr>
          <w:p>
            <w:pPr>
              <w:pStyle w:val="34"/>
            </w:pPr>
            <w:r>
              <w:t>干燥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restart"/>
            <w:tcBorders>
              <w:tl2br w:val="nil"/>
              <w:tr2bl w:val="nil"/>
            </w:tcBorders>
            <w:vAlign w:val="center"/>
          </w:tcPr>
          <w:p>
            <w:pPr>
              <w:pStyle w:val="34"/>
            </w:pPr>
            <w:r>
              <w:t>是否考虑地形</w:t>
            </w:r>
          </w:p>
        </w:tc>
        <w:tc>
          <w:tcPr>
            <w:tcW w:w="2077" w:type="pct"/>
            <w:tcBorders>
              <w:tl2br w:val="nil"/>
              <w:tr2bl w:val="nil"/>
            </w:tcBorders>
            <w:vAlign w:val="center"/>
          </w:tcPr>
          <w:p>
            <w:pPr>
              <w:pStyle w:val="34"/>
            </w:pPr>
            <w:r>
              <w:t>考虑地形</w:t>
            </w:r>
          </w:p>
        </w:tc>
        <w:tc>
          <w:tcPr>
            <w:tcW w:w="1223" w:type="pct"/>
            <w:tcBorders>
              <w:tl2br w:val="nil"/>
              <w:tr2bl w:val="nil"/>
            </w:tcBorders>
            <w:vAlign w:val="center"/>
          </w:tcPr>
          <w:p>
            <w:pPr>
              <w:pStyle w:val="34"/>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地形数据分辨率</w:t>
            </w:r>
          </w:p>
        </w:tc>
        <w:tc>
          <w:tcPr>
            <w:tcW w:w="1223" w:type="pct"/>
            <w:tcBorders>
              <w:tl2br w:val="nil"/>
              <w:tr2bl w:val="nil"/>
            </w:tcBorders>
            <w:vAlign w:val="center"/>
          </w:tcPr>
          <w:p>
            <w:pPr>
              <w:pStyle w:val="34"/>
            </w:pPr>
            <w:r>
              <w:t>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restart"/>
            <w:tcBorders>
              <w:tl2br w:val="nil"/>
              <w:tr2bl w:val="nil"/>
            </w:tcBorders>
            <w:vAlign w:val="center"/>
          </w:tcPr>
          <w:p>
            <w:pPr>
              <w:pStyle w:val="34"/>
            </w:pPr>
            <w:r>
              <w:t>是否考虑岸线熏烟</w:t>
            </w:r>
          </w:p>
        </w:tc>
        <w:tc>
          <w:tcPr>
            <w:tcW w:w="2077" w:type="pct"/>
            <w:tcBorders>
              <w:tl2br w:val="nil"/>
              <w:tr2bl w:val="nil"/>
            </w:tcBorders>
            <w:vAlign w:val="center"/>
          </w:tcPr>
          <w:p>
            <w:pPr>
              <w:pStyle w:val="34"/>
            </w:pPr>
            <w:r>
              <w:t>考虑岸线熏烟</w:t>
            </w:r>
          </w:p>
        </w:tc>
        <w:tc>
          <w:tcPr>
            <w:tcW w:w="1223" w:type="pct"/>
            <w:tcBorders>
              <w:tl2br w:val="nil"/>
              <w:tr2bl w:val="nil"/>
            </w:tcBorders>
            <w:vAlign w:val="center"/>
          </w:tcPr>
          <w:p>
            <w:pPr>
              <w:pStyle w:val="34"/>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岸线距离/m</w:t>
            </w:r>
          </w:p>
        </w:tc>
        <w:tc>
          <w:tcPr>
            <w:tcW w:w="1223"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岸线方向/°</w:t>
            </w:r>
          </w:p>
        </w:tc>
        <w:tc>
          <w:tcPr>
            <w:tcW w:w="1223" w:type="pct"/>
            <w:tcBorders>
              <w:tl2br w:val="nil"/>
              <w:tr2bl w:val="nil"/>
            </w:tcBorders>
            <w:vAlign w:val="center"/>
          </w:tcPr>
          <w:p>
            <w:pPr>
              <w:pStyle w:val="34"/>
            </w:pPr>
            <w:r>
              <w:t>/</w:t>
            </w:r>
          </w:p>
        </w:tc>
      </w:tr>
    </w:tbl>
    <w:p>
      <w:pPr>
        <w:pStyle w:val="7"/>
        <w:ind w:firstLine="480"/>
        <w:rPr>
          <w:rFonts w:cs="Times New Roman"/>
        </w:rPr>
      </w:pPr>
      <w:r>
        <w:rPr>
          <w:rFonts w:cs="Times New Roman"/>
        </w:rPr>
        <w:t>本项目运营期废气主要以非甲烷总烃为污染物，因此本次评价以此确定评价工作等级，污染物源强见</w:t>
      </w:r>
      <w:r>
        <w:rPr>
          <w:rFonts w:hint="eastAsia" w:cs="Times New Roman"/>
        </w:rPr>
        <w:t>表2.5-3</w:t>
      </w:r>
      <w:r>
        <w:rPr>
          <w:rFonts w:cs="Times New Roman"/>
        </w:rPr>
        <w:t>及</w:t>
      </w:r>
      <w:r>
        <w:rPr>
          <w:rFonts w:hint="eastAsia" w:cs="Times New Roman"/>
        </w:rPr>
        <w:t>表2.5-4。</w:t>
      </w:r>
    </w:p>
    <w:p>
      <w:pPr>
        <w:pStyle w:val="36"/>
        <w:spacing w:before="156"/>
        <w:rPr>
          <w:rFonts w:eastAsia="宋体"/>
        </w:rPr>
      </w:pPr>
      <w:bookmarkStart w:id="28" w:name="_Ref111293725"/>
      <w:r>
        <w:rPr>
          <w:rFonts w:eastAsia="宋体"/>
        </w:rPr>
        <w:t>表</w:t>
      </w:r>
      <w:r>
        <w:rPr>
          <w:rFonts w:hint="eastAsia" w:eastAsia="宋体"/>
        </w:rPr>
        <w:t>2.5-3</w:t>
      </w:r>
      <w:bookmarkEnd w:id="28"/>
      <w:r>
        <w:rPr>
          <w:rFonts w:eastAsia="宋体"/>
        </w:rPr>
        <w:t xml:space="preserve">  项目有组织废气污染源</w:t>
      </w:r>
      <w:r>
        <w:rPr>
          <w:rFonts w:hint="eastAsia" w:eastAsia="宋体"/>
        </w:rPr>
        <w:t>参数</w:t>
      </w:r>
      <w:r>
        <w:rPr>
          <w:rFonts w:eastAsia="宋体"/>
        </w:rPr>
        <w:t>一览表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74"/>
        <w:gridCol w:w="426"/>
        <w:gridCol w:w="567"/>
        <w:gridCol w:w="850"/>
        <w:gridCol w:w="567"/>
        <w:gridCol w:w="709"/>
        <w:gridCol w:w="709"/>
        <w:gridCol w:w="567"/>
        <w:gridCol w:w="708"/>
        <w:gridCol w:w="709"/>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35" w:type="dxa"/>
            <w:vMerge w:val="restart"/>
            <w:tcBorders>
              <w:tl2br w:val="nil"/>
              <w:tr2bl w:val="nil"/>
            </w:tcBorders>
          </w:tcPr>
          <w:p>
            <w:pPr>
              <w:pStyle w:val="34"/>
              <w:rPr>
                <w:lang w:val="zh-CN"/>
              </w:rPr>
            </w:pPr>
            <w:bookmarkStart w:id="29" w:name="_Ref111293738"/>
            <w:r>
              <w:rPr>
                <w:lang w:val="zh-CN"/>
              </w:rPr>
              <w:t>编号</w:t>
            </w:r>
          </w:p>
        </w:tc>
        <w:tc>
          <w:tcPr>
            <w:tcW w:w="974" w:type="dxa"/>
            <w:vMerge w:val="restart"/>
            <w:tcBorders>
              <w:tl2br w:val="nil"/>
              <w:tr2bl w:val="nil"/>
            </w:tcBorders>
          </w:tcPr>
          <w:p>
            <w:pPr>
              <w:pStyle w:val="34"/>
              <w:rPr>
                <w:lang w:val="zh-CN"/>
              </w:rPr>
            </w:pPr>
            <w:r>
              <w:rPr>
                <w:lang w:val="zh-CN"/>
              </w:rPr>
              <w:t>名称</w:t>
            </w:r>
          </w:p>
        </w:tc>
        <w:tc>
          <w:tcPr>
            <w:tcW w:w="993" w:type="dxa"/>
            <w:gridSpan w:val="2"/>
            <w:tcBorders>
              <w:tl2br w:val="nil"/>
              <w:tr2bl w:val="nil"/>
            </w:tcBorders>
          </w:tcPr>
          <w:p>
            <w:pPr>
              <w:pStyle w:val="34"/>
              <w:rPr>
                <w:lang w:val="zh-CN"/>
              </w:rPr>
            </w:pPr>
            <w:r>
              <w:rPr>
                <w:lang w:val="zh-CN"/>
              </w:rPr>
              <w:t>排气筒底部中心坐标/m</w:t>
            </w:r>
          </w:p>
        </w:tc>
        <w:tc>
          <w:tcPr>
            <w:tcW w:w="850" w:type="dxa"/>
            <w:vMerge w:val="restart"/>
            <w:tcBorders>
              <w:tl2br w:val="nil"/>
              <w:tr2bl w:val="nil"/>
            </w:tcBorders>
          </w:tcPr>
          <w:p>
            <w:pPr>
              <w:pStyle w:val="34"/>
              <w:rPr>
                <w:lang w:val="zh-CN"/>
              </w:rPr>
            </w:pPr>
            <w:r>
              <w:rPr>
                <w:lang w:val="zh-CN"/>
              </w:rPr>
              <w:t>排气筒底部海拔高度/m</w:t>
            </w:r>
          </w:p>
        </w:tc>
        <w:tc>
          <w:tcPr>
            <w:tcW w:w="567" w:type="dxa"/>
            <w:vMerge w:val="restart"/>
            <w:tcBorders>
              <w:tl2br w:val="nil"/>
              <w:tr2bl w:val="nil"/>
            </w:tcBorders>
          </w:tcPr>
          <w:p>
            <w:pPr>
              <w:pStyle w:val="34"/>
              <w:rPr>
                <w:lang w:val="zh-CN"/>
              </w:rPr>
            </w:pPr>
            <w:r>
              <w:rPr>
                <w:lang w:val="zh-CN"/>
              </w:rPr>
              <w:t>排气筒高度/m</w:t>
            </w:r>
          </w:p>
        </w:tc>
        <w:tc>
          <w:tcPr>
            <w:tcW w:w="709" w:type="dxa"/>
            <w:vMerge w:val="restart"/>
            <w:tcBorders>
              <w:tl2br w:val="nil"/>
              <w:tr2bl w:val="nil"/>
            </w:tcBorders>
          </w:tcPr>
          <w:p>
            <w:pPr>
              <w:pStyle w:val="34"/>
              <w:rPr>
                <w:lang w:val="zh-CN"/>
              </w:rPr>
            </w:pPr>
            <w:r>
              <w:rPr>
                <w:lang w:val="zh-CN"/>
              </w:rPr>
              <w:t>排气筒出口内径/m</w:t>
            </w:r>
          </w:p>
        </w:tc>
        <w:tc>
          <w:tcPr>
            <w:tcW w:w="709" w:type="dxa"/>
            <w:vMerge w:val="restart"/>
            <w:tcBorders>
              <w:tl2br w:val="nil"/>
              <w:tr2bl w:val="nil"/>
            </w:tcBorders>
          </w:tcPr>
          <w:p>
            <w:pPr>
              <w:pStyle w:val="34"/>
              <w:rPr>
                <w:lang w:val="zh-CN"/>
              </w:rPr>
            </w:pPr>
            <w:r>
              <w:rPr>
                <w:lang w:val="zh-CN"/>
              </w:rPr>
              <w:t>烟气</w:t>
            </w:r>
          </w:p>
          <w:p>
            <w:pPr>
              <w:pStyle w:val="34"/>
              <w:rPr>
                <w:lang w:val="zh-CN"/>
              </w:rPr>
            </w:pPr>
            <w:r>
              <w:rPr>
                <w:lang w:val="zh-CN"/>
              </w:rPr>
              <w:t>流</w:t>
            </w:r>
            <w:r>
              <w:rPr>
                <w:rFonts w:hint="eastAsia"/>
                <w:lang w:val="zh-CN"/>
              </w:rPr>
              <w:t>量</w:t>
            </w:r>
            <w:r>
              <w:rPr>
                <w:lang w:val="zh-CN"/>
              </w:rPr>
              <w:t>/</w:t>
            </w:r>
          </w:p>
          <w:p>
            <w:pPr>
              <w:pStyle w:val="34"/>
              <w:rPr>
                <w:lang w:val="zh-CN"/>
              </w:rPr>
            </w:pPr>
            <w:r>
              <w:rPr>
                <w:lang w:val="zh-CN"/>
              </w:rPr>
              <w:t>m</w:t>
            </w:r>
            <w:r>
              <w:rPr>
                <w:rFonts w:hint="eastAsia"/>
                <w:vertAlign w:val="superscript"/>
                <w:lang w:val="zh-CN"/>
              </w:rPr>
              <w:t>3</w:t>
            </w:r>
            <w:r>
              <w:rPr>
                <w:lang w:val="zh-CN"/>
              </w:rPr>
              <w:t>/</w:t>
            </w:r>
            <w:r>
              <w:rPr>
                <w:rFonts w:hint="eastAsia"/>
                <w:lang w:val="zh-CN"/>
              </w:rPr>
              <w:t>h</w:t>
            </w:r>
          </w:p>
        </w:tc>
        <w:tc>
          <w:tcPr>
            <w:tcW w:w="567" w:type="dxa"/>
            <w:vMerge w:val="restart"/>
            <w:tcBorders>
              <w:tl2br w:val="nil"/>
              <w:tr2bl w:val="nil"/>
            </w:tcBorders>
          </w:tcPr>
          <w:p>
            <w:pPr>
              <w:pStyle w:val="34"/>
              <w:rPr>
                <w:lang w:val="zh-CN"/>
              </w:rPr>
            </w:pPr>
            <w:r>
              <w:rPr>
                <w:lang w:val="zh-CN"/>
              </w:rPr>
              <w:t>烟气</w:t>
            </w:r>
          </w:p>
          <w:p>
            <w:pPr>
              <w:pStyle w:val="34"/>
              <w:rPr>
                <w:lang w:val="zh-CN"/>
              </w:rPr>
            </w:pPr>
            <w:r>
              <w:rPr>
                <w:lang w:val="zh-CN"/>
              </w:rPr>
              <w:t>温度</w:t>
            </w:r>
          </w:p>
          <w:p>
            <w:pPr>
              <w:pStyle w:val="34"/>
              <w:rPr>
                <w:lang w:val="zh-CN"/>
              </w:rPr>
            </w:pPr>
            <w:r>
              <w:rPr>
                <w:lang w:val="zh-CN"/>
              </w:rPr>
              <w:t>/℃</w:t>
            </w:r>
          </w:p>
        </w:tc>
        <w:tc>
          <w:tcPr>
            <w:tcW w:w="708" w:type="dxa"/>
            <w:vMerge w:val="restart"/>
            <w:tcBorders>
              <w:tl2br w:val="nil"/>
              <w:tr2bl w:val="nil"/>
            </w:tcBorders>
          </w:tcPr>
          <w:p>
            <w:pPr>
              <w:pStyle w:val="34"/>
              <w:rPr>
                <w:lang w:val="zh-CN"/>
              </w:rPr>
            </w:pPr>
            <w:r>
              <w:rPr>
                <w:lang w:val="zh-CN"/>
              </w:rPr>
              <w:t>年排放小时数/h</w:t>
            </w:r>
          </w:p>
        </w:tc>
        <w:tc>
          <w:tcPr>
            <w:tcW w:w="709" w:type="dxa"/>
            <w:vMerge w:val="restart"/>
            <w:tcBorders>
              <w:tl2br w:val="nil"/>
              <w:tr2bl w:val="nil"/>
            </w:tcBorders>
          </w:tcPr>
          <w:p>
            <w:pPr>
              <w:pStyle w:val="34"/>
              <w:rPr>
                <w:lang w:val="zh-CN"/>
              </w:rPr>
            </w:pPr>
            <w:r>
              <w:rPr>
                <w:lang w:val="zh-CN"/>
              </w:rPr>
              <w:t>排放工况</w:t>
            </w:r>
          </w:p>
        </w:tc>
        <w:tc>
          <w:tcPr>
            <w:tcW w:w="907" w:type="dxa"/>
            <w:tcBorders>
              <w:tl2br w:val="nil"/>
              <w:tr2bl w:val="nil"/>
            </w:tcBorders>
          </w:tcPr>
          <w:p>
            <w:pPr>
              <w:pStyle w:val="34"/>
              <w:rPr>
                <w:lang w:val="zh-CN"/>
              </w:rPr>
            </w:pPr>
            <w:r>
              <w:rPr>
                <w:lang w:val="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 w:type="dxa"/>
            <w:vMerge w:val="continue"/>
            <w:tcBorders>
              <w:tl2br w:val="nil"/>
              <w:tr2bl w:val="nil"/>
            </w:tcBorders>
          </w:tcPr>
          <w:p>
            <w:pPr>
              <w:pStyle w:val="34"/>
              <w:rPr>
                <w:lang w:val="zh-CN"/>
              </w:rPr>
            </w:pPr>
          </w:p>
        </w:tc>
        <w:tc>
          <w:tcPr>
            <w:tcW w:w="974" w:type="dxa"/>
            <w:vMerge w:val="continue"/>
            <w:tcBorders>
              <w:tl2br w:val="nil"/>
              <w:tr2bl w:val="nil"/>
            </w:tcBorders>
          </w:tcPr>
          <w:p>
            <w:pPr>
              <w:pStyle w:val="34"/>
              <w:rPr>
                <w:lang w:val="zh-CN"/>
              </w:rPr>
            </w:pPr>
          </w:p>
        </w:tc>
        <w:tc>
          <w:tcPr>
            <w:tcW w:w="426" w:type="dxa"/>
            <w:tcBorders>
              <w:tl2br w:val="nil"/>
              <w:tr2bl w:val="nil"/>
            </w:tcBorders>
          </w:tcPr>
          <w:p>
            <w:pPr>
              <w:pStyle w:val="34"/>
              <w:rPr>
                <w:lang w:val="zh-CN"/>
              </w:rPr>
            </w:pPr>
            <w:r>
              <w:rPr>
                <w:lang w:val="zh-CN"/>
              </w:rPr>
              <w:t>X</w:t>
            </w:r>
          </w:p>
        </w:tc>
        <w:tc>
          <w:tcPr>
            <w:tcW w:w="567" w:type="dxa"/>
            <w:tcBorders>
              <w:tl2br w:val="nil"/>
              <w:tr2bl w:val="nil"/>
            </w:tcBorders>
          </w:tcPr>
          <w:p>
            <w:pPr>
              <w:pStyle w:val="34"/>
              <w:rPr>
                <w:lang w:val="zh-CN"/>
              </w:rPr>
            </w:pPr>
            <w:r>
              <w:rPr>
                <w:lang w:val="zh-CN"/>
              </w:rPr>
              <w:t>Y</w:t>
            </w:r>
          </w:p>
        </w:tc>
        <w:tc>
          <w:tcPr>
            <w:tcW w:w="850" w:type="dxa"/>
            <w:vMerge w:val="continue"/>
            <w:tcBorders>
              <w:tl2br w:val="nil"/>
              <w:tr2bl w:val="nil"/>
            </w:tcBorders>
          </w:tcPr>
          <w:p>
            <w:pPr>
              <w:pStyle w:val="34"/>
              <w:rPr>
                <w:lang w:val="zh-CN"/>
              </w:rPr>
            </w:pPr>
          </w:p>
        </w:tc>
        <w:tc>
          <w:tcPr>
            <w:tcW w:w="567" w:type="dxa"/>
            <w:vMerge w:val="continue"/>
            <w:tcBorders>
              <w:tl2br w:val="nil"/>
              <w:tr2bl w:val="nil"/>
            </w:tcBorders>
          </w:tcPr>
          <w:p>
            <w:pPr>
              <w:pStyle w:val="34"/>
              <w:rPr>
                <w:lang w:val="zh-CN"/>
              </w:rPr>
            </w:pPr>
          </w:p>
        </w:tc>
        <w:tc>
          <w:tcPr>
            <w:tcW w:w="709" w:type="dxa"/>
            <w:vMerge w:val="continue"/>
            <w:tcBorders>
              <w:tl2br w:val="nil"/>
              <w:tr2bl w:val="nil"/>
            </w:tcBorders>
          </w:tcPr>
          <w:p>
            <w:pPr>
              <w:pStyle w:val="34"/>
              <w:rPr>
                <w:lang w:val="zh-CN"/>
              </w:rPr>
            </w:pPr>
          </w:p>
        </w:tc>
        <w:tc>
          <w:tcPr>
            <w:tcW w:w="709" w:type="dxa"/>
            <w:vMerge w:val="continue"/>
            <w:tcBorders>
              <w:tl2br w:val="nil"/>
              <w:tr2bl w:val="nil"/>
            </w:tcBorders>
          </w:tcPr>
          <w:p>
            <w:pPr>
              <w:pStyle w:val="34"/>
              <w:rPr>
                <w:lang w:val="zh-CN"/>
              </w:rPr>
            </w:pPr>
          </w:p>
        </w:tc>
        <w:tc>
          <w:tcPr>
            <w:tcW w:w="567" w:type="dxa"/>
            <w:vMerge w:val="continue"/>
            <w:tcBorders>
              <w:tl2br w:val="nil"/>
              <w:tr2bl w:val="nil"/>
            </w:tcBorders>
          </w:tcPr>
          <w:p>
            <w:pPr>
              <w:pStyle w:val="34"/>
              <w:rPr>
                <w:lang w:val="zh-CN"/>
              </w:rPr>
            </w:pPr>
          </w:p>
        </w:tc>
        <w:tc>
          <w:tcPr>
            <w:tcW w:w="708" w:type="dxa"/>
            <w:vMerge w:val="continue"/>
            <w:tcBorders>
              <w:tl2br w:val="nil"/>
              <w:tr2bl w:val="nil"/>
            </w:tcBorders>
          </w:tcPr>
          <w:p>
            <w:pPr>
              <w:pStyle w:val="34"/>
              <w:rPr>
                <w:lang w:val="zh-CN"/>
              </w:rPr>
            </w:pPr>
          </w:p>
        </w:tc>
        <w:tc>
          <w:tcPr>
            <w:tcW w:w="709" w:type="dxa"/>
            <w:vMerge w:val="continue"/>
            <w:tcBorders>
              <w:tl2br w:val="nil"/>
              <w:tr2bl w:val="nil"/>
            </w:tcBorders>
          </w:tcPr>
          <w:p>
            <w:pPr>
              <w:pStyle w:val="34"/>
              <w:rPr>
                <w:lang w:val="zh-CN"/>
              </w:rPr>
            </w:pPr>
          </w:p>
        </w:tc>
        <w:tc>
          <w:tcPr>
            <w:tcW w:w="907" w:type="dxa"/>
            <w:tcBorders>
              <w:tl2br w:val="nil"/>
              <w:tr2bl w:val="nil"/>
            </w:tcBorders>
          </w:tcPr>
          <w:p>
            <w:pPr>
              <w:pStyle w:val="34"/>
              <w:rPr>
                <w:lang w:val="zh-CN"/>
              </w:rPr>
            </w:pPr>
            <w:r>
              <w:rPr>
                <w:lang w:val="zh-CN"/>
              </w:rPr>
              <w:t>NMHC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dxa"/>
            <w:tcBorders>
              <w:tl2br w:val="nil"/>
              <w:tr2bl w:val="nil"/>
            </w:tcBorders>
            <w:vAlign w:val="center"/>
          </w:tcPr>
          <w:p>
            <w:pPr>
              <w:pStyle w:val="34"/>
              <w:rPr>
                <w:lang w:val="zh-CN"/>
              </w:rPr>
            </w:pPr>
            <w:r>
              <w:rPr>
                <w:lang w:val="zh-CN"/>
              </w:rPr>
              <w:t>DA001</w:t>
            </w:r>
          </w:p>
        </w:tc>
        <w:tc>
          <w:tcPr>
            <w:tcW w:w="974" w:type="dxa"/>
            <w:tcBorders>
              <w:tl2br w:val="nil"/>
              <w:tr2bl w:val="nil"/>
            </w:tcBorders>
            <w:vAlign w:val="center"/>
          </w:tcPr>
          <w:p>
            <w:pPr>
              <w:pStyle w:val="34"/>
              <w:rPr>
                <w:lang w:val="zh-CN"/>
              </w:rPr>
            </w:pPr>
            <w:r>
              <w:rPr>
                <w:lang w:val="zh-CN"/>
              </w:rPr>
              <w:t>排气筒</w:t>
            </w:r>
          </w:p>
        </w:tc>
        <w:tc>
          <w:tcPr>
            <w:tcW w:w="426" w:type="dxa"/>
            <w:tcBorders>
              <w:tl2br w:val="nil"/>
              <w:tr2bl w:val="nil"/>
            </w:tcBorders>
            <w:vAlign w:val="center"/>
          </w:tcPr>
          <w:p>
            <w:pPr>
              <w:pStyle w:val="34"/>
              <w:rPr>
                <w:lang w:val="zh-CN"/>
              </w:rPr>
            </w:pPr>
            <w:r>
              <w:rPr>
                <w:rFonts w:hint="eastAsia"/>
                <w:lang w:val="zh-CN"/>
              </w:rPr>
              <w:t>13</w:t>
            </w:r>
          </w:p>
        </w:tc>
        <w:tc>
          <w:tcPr>
            <w:tcW w:w="567" w:type="dxa"/>
            <w:tcBorders>
              <w:tl2br w:val="nil"/>
              <w:tr2bl w:val="nil"/>
            </w:tcBorders>
            <w:vAlign w:val="center"/>
          </w:tcPr>
          <w:p>
            <w:pPr>
              <w:pStyle w:val="34"/>
              <w:rPr>
                <w:lang w:val="zh-CN"/>
              </w:rPr>
            </w:pPr>
            <w:r>
              <w:rPr>
                <w:rFonts w:hint="eastAsia"/>
                <w:lang w:val="zh-CN"/>
              </w:rPr>
              <w:t>-48</w:t>
            </w:r>
          </w:p>
        </w:tc>
        <w:tc>
          <w:tcPr>
            <w:tcW w:w="850" w:type="dxa"/>
            <w:tcBorders>
              <w:tl2br w:val="nil"/>
              <w:tr2bl w:val="nil"/>
            </w:tcBorders>
            <w:vAlign w:val="center"/>
          </w:tcPr>
          <w:p>
            <w:pPr>
              <w:pStyle w:val="34"/>
              <w:rPr>
                <w:lang w:val="zh-CN"/>
              </w:rPr>
            </w:pPr>
            <w:r>
              <w:rPr>
                <w:lang w:val="zh-CN"/>
              </w:rPr>
              <w:t>6</w:t>
            </w:r>
            <w:r>
              <w:rPr>
                <w:rFonts w:hint="eastAsia"/>
                <w:lang w:val="zh-CN"/>
              </w:rPr>
              <w:t>43</w:t>
            </w:r>
          </w:p>
        </w:tc>
        <w:tc>
          <w:tcPr>
            <w:tcW w:w="567" w:type="dxa"/>
            <w:tcBorders>
              <w:tl2br w:val="nil"/>
              <w:tr2bl w:val="nil"/>
            </w:tcBorders>
            <w:vAlign w:val="center"/>
          </w:tcPr>
          <w:p>
            <w:pPr>
              <w:pStyle w:val="34"/>
              <w:rPr>
                <w:lang w:val="zh-CN"/>
              </w:rPr>
            </w:pPr>
            <w:r>
              <w:rPr>
                <w:lang w:val="zh-CN"/>
              </w:rPr>
              <w:t>15</w:t>
            </w:r>
          </w:p>
        </w:tc>
        <w:tc>
          <w:tcPr>
            <w:tcW w:w="709" w:type="dxa"/>
            <w:tcBorders>
              <w:tl2br w:val="nil"/>
              <w:tr2bl w:val="nil"/>
            </w:tcBorders>
            <w:vAlign w:val="center"/>
          </w:tcPr>
          <w:p>
            <w:pPr>
              <w:pStyle w:val="34"/>
            </w:pPr>
            <w:r>
              <w:rPr>
                <w:rFonts w:hint="eastAsia"/>
              </w:rPr>
              <w:t>0.5</w:t>
            </w:r>
          </w:p>
        </w:tc>
        <w:tc>
          <w:tcPr>
            <w:tcW w:w="709" w:type="dxa"/>
            <w:tcBorders>
              <w:tl2br w:val="nil"/>
              <w:tr2bl w:val="nil"/>
            </w:tcBorders>
            <w:vAlign w:val="center"/>
          </w:tcPr>
          <w:p>
            <w:pPr>
              <w:pStyle w:val="34"/>
              <w:rPr>
                <w:lang w:val="zh-CN"/>
              </w:rPr>
            </w:pPr>
            <w:r>
              <w:rPr>
                <w:rFonts w:hint="eastAsia"/>
                <w:lang w:val="zh-CN"/>
              </w:rPr>
              <w:t>20000</w:t>
            </w:r>
          </w:p>
        </w:tc>
        <w:tc>
          <w:tcPr>
            <w:tcW w:w="567" w:type="dxa"/>
            <w:tcBorders>
              <w:tl2br w:val="nil"/>
              <w:tr2bl w:val="nil"/>
            </w:tcBorders>
            <w:vAlign w:val="center"/>
          </w:tcPr>
          <w:p>
            <w:pPr>
              <w:pStyle w:val="34"/>
              <w:rPr>
                <w:lang w:val="zh-CN"/>
              </w:rPr>
            </w:pPr>
            <w:r>
              <w:rPr>
                <w:lang w:val="zh-CN"/>
              </w:rPr>
              <w:t>20</w:t>
            </w:r>
          </w:p>
        </w:tc>
        <w:tc>
          <w:tcPr>
            <w:tcW w:w="708" w:type="dxa"/>
            <w:tcBorders>
              <w:tl2br w:val="nil"/>
              <w:tr2bl w:val="nil"/>
            </w:tcBorders>
            <w:vAlign w:val="center"/>
          </w:tcPr>
          <w:p>
            <w:pPr>
              <w:pStyle w:val="34"/>
              <w:rPr>
                <w:lang w:val="zh-CN"/>
              </w:rPr>
            </w:pPr>
            <w:r>
              <w:rPr>
                <w:lang w:val="zh-CN"/>
              </w:rPr>
              <w:t>4320</w:t>
            </w:r>
          </w:p>
        </w:tc>
        <w:tc>
          <w:tcPr>
            <w:tcW w:w="709" w:type="dxa"/>
            <w:tcBorders>
              <w:tl2br w:val="nil"/>
              <w:tr2bl w:val="nil"/>
            </w:tcBorders>
            <w:vAlign w:val="center"/>
          </w:tcPr>
          <w:p>
            <w:pPr>
              <w:pStyle w:val="34"/>
              <w:rPr>
                <w:lang w:val="zh-CN"/>
              </w:rPr>
            </w:pPr>
            <w:r>
              <w:rPr>
                <w:lang w:val="zh-CN"/>
              </w:rPr>
              <w:t>正常</w:t>
            </w:r>
          </w:p>
        </w:tc>
        <w:tc>
          <w:tcPr>
            <w:tcW w:w="907" w:type="dxa"/>
            <w:tcBorders>
              <w:tl2br w:val="nil"/>
              <w:tr2bl w:val="nil"/>
            </w:tcBorders>
            <w:vAlign w:val="center"/>
          </w:tcPr>
          <w:p>
            <w:pPr>
              <w:pStyle w:val="34"/>
            </w:pPr>
            <w:r>
              <w:rPr>
                <w:rFonts w:hint="eastAsia"/>
              </w:rPr>
              <w:t>1.22</w:t>
            </w:r>
          </w:p>
        </w:tc>
      </w:tr>
    </w:tbl>
    <w:p>
      <w:pPr>
        <w:pStyle w:val="36"/>
        <w:spacing w:before="156"/>
        <w:rPr>
          <w:rFonts w:eastAsia="宋体"/>
        </w:rPr>
      </w:pPr>
      <w:r>
        <w:rPr>
          <w:rFonts w:eastAsia="宋体"/>
        </w:rPr>
        <w:t>表</w:t>
      </w:r>
      <w:r>
        <w:rPr>
          <w:rFonts w:hint="eastAsia" w:eastAsia="宋体"/>
        </w:rPr>
        <w:t>2.5-4</w:t>
      </w:r>
      <w:bookmarkEnd w:id="29"/>
      <w:r>
        <w:rPr>
          <w:rFonts w:eastAsia="宋体"/>
        </w:rPr>
        <w:t xml:space="preserve">  无组织废气污染源参数一览表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75"/>
        <w:gridCol w:w="640"/>
        <w:gridCol w:w="634"/>
        <w:gridCol w:w="634"/>
        <w:gridCol w:w="634"/>
        <w:gridCol w:w="634"/>
        <w:gridCol w:w="933"/>
        <w:gridCol w:w="636"/>
        <w:gridCol w:w="636"/>
        <w:gridCol w:w="636"/>
        <w:gridCol w:w="1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50" w:type="pct"/>
            <w:vMerge w:val="restart"/>
            <w:tcBorders>
              <w:tl2br w:val="nil"/>
              <w:tr2bl w:val="nil"/>
            </w:tcBorders>
          </w:tcPr>
          <w:p>
            <w:pPr>
              <w:pStyle w:val="34"/>
              <w:rPr>
                <w:lang w:val="zh-CN"/>
              </w:rPr>
            </w:pPr>
            <w:r>
              <w:rPr>
                <w:lang w:val="zh-CN"/>
              </w:rPr>
              <w:t>编号</w:t>
            </w:r>
          </w:p>
        </w:tc>
        <w:tc>
          <w:tcPr>
            <w:tcW w:w="630" w:type="pct"/>
            <w:vMerge w:val="restart"/>
            <w:tcBorders>
              <w:tl2br w:val="nil"/>
              <w:tr2bl w:val="nil"/>
            </w:tcBorders>
          </w:tcPr>
          <w:p>
            <w:pPr>
              <w:pStyle w:val="34"/>
              <w:rPr>
                <w:lang w:val="zh-CN"/>
              </w:rPr>
            </w:pPr>
            <w:r>
              <w:rPr>
                <w:lang w:val="zh-CN"/>
              </w:rPr>
              <w:t>名称</w:t>
            </w:r>
          </w:p>
        </w:tc>
        <w:tc>
          <w:tcPr>
            <w:tcW w:w="747" w:type="pct"/>
            <w:gridSpan w:val="2"/>
            <w:tcBorders>
              <w:tl2br w:val="nil"/>
              <w:tr2bl w:val="nil"/>
            </w:tcBorders>
          </w:tcPr>
          <w:p>
            <w:pPr>
              <w:pStyle w:val="34"/>
              <w:rPr>
                <w:lang w:val="zh-CN"/>
              </w:rPr>
            </w:pPr>
            <w:r>
              <w:rPr>
                <w:lang w:val="zh-CN"/>
              </w:rPr>
              <w:t>面源起点坐标/m</w:t>
            </w:r>
          </w:p>
        </w:tc>
        <w:tc>
          <w:tcPr>
            <w:tcW w:w="372" w:type="pct"/>
            <w:vMerge w:val="restart"/>
            <w:tcBorders>
              <w:tl2br w:val="nil"/>
              <w:tr2bl w:val="nil"/>
            </w:tcBorders>
          </w:tcPr>
          <w:p>
            <w:pPr>
              <w:pStyle w:val="34"/>
              <w:rPr>
                <w:lang w:val="zh-CN"/>
              </w:rPr>
            </w:pPr>
            <w:r>
              <w:rPr>
                <w:lang w:val="zh-CN"/>
              </w:rPr>
              <w:t>面源海拔高度</w:t>
            </w:r>
          </w:p>
          <w:p>
            <w:pPr>
              <w:pStyle w:val="34"/>
              <w:rPr>
                <w:lang w:val="zh-CN"/>
              </w:rPr>
            </w:pPr>
            <w:r>
              <w:rPr>
                <w:lang w:val="zh-CN"/>
              </w:rPr>
              <w:t>/m</w:t>
            </w:r>
          </w:p>
        </w:tc>
        <w:tc>
          <w:tcPr>
            <w:tcW w:w="372" w:type="pct"/>
            <w:vMerge w:val="restart"/>
            <w:tcBorders>
              <w:tl2br w:val="nil"/>
              <w:tr2bl w:val="nil"/>
            </w:tcBorders>
          </w:tcPr>
          <w:p>
            <w:pPr>
              <w:pStyle w:val="34"/>
              <w:rPr>
                <w:lang w:val="zh-CN"/>
              </w:rPr>
            </w:pPr>
            <w:r>
              <w:rPr>
                <w:lang w:val="zh-CN"/>
              </w:rPr>
              <w:t>面源长度/m</w:t>
            </w:r>
          </w:p>
        </w:tc>
        <w:tc>
          <w:tcPr>
            <w:tcW w:w="372" w:type="pct"/>
            <w:vMerge w:val="restart"/>
            <w:tcBorders>
              <w:tl2br w:val="nil"/>
              <w:tr2bl w:val="nil"/>
            </w:tcBorders>
          </w:tcPr>
          <w:p>
            <w:pPr>
              <w:pStyle w:val="34"/>
              <w:rPr>
                <w:lang w:val="zh-CN"/>
              </w:rPr>
            </w:pPr>
            <w:r>
              <w:rPr>
                <w:lang w:val="zh-CN"/>
              </w:rPr>
              <w:t>面源宽度/m</w:t>
            </w:r>
          </w:p>
        </w:tc>
        <w:tc>
          <w:tcPr>
            <w:tcW w:w="547" w:type="pct"/>
            <w:vMerge w:val="restart"/>
            <w:tcBorders>
              <w:tl2br w:val="nil"/>
              <w:tr2bl w:val="nil"/>
            </w:tcBorders>
          </w:tcPr>
          <w:p>
            <w:pPr>
              <w:pStyle w:val="34"/>
              <w:rPr>
                <w:lang w:val="zh-CN"/>
              </w:rPr>
            </w:pPr>
            <w:r>
              <w:rPr>
                <w:lang w:val="zh-CN"/>
              </w:rPr>
              <w:t>与正北向夹角/</w:t>
            </w:r>
          </w:p>
          <w:p>
            <w:pPr>
              <w:pStyle w:val="34"/>
              <w:rPr>
                <w:lang w:val="zh-CN"/>
              </w:rPr>
            </w:pPr>
            <w:r>
              <w:rPr>
                <w:lang w:val="zh-CN"/>
              </w:rPr>
              <w:t>（°）</w:t>
            </w:r>
          </w:p>
        </w:tc>
        <w:tc>
          <w:tcPr>
            <w:tcW w:w="373" w:type="pct"/>
            <w:vMerge w:val="restart"/>
            <w:tcBorders>
              <w:tl2br w:val="nil"/>
              <w:tr2bl w:val="nil"/>
            </w:tcBorders>
          </w:tcPr>
          <w:p>
            <w:pPr>
              <w:pStyle w:val="34"/>
              <w:rPr>
                <w:lang w:val="zh-CN"/>
              </w:rPr>
            </w:pPr>
            <w:r>
              <w:rPr>
                <w:lang w:val="zh-CN"/>
              </w:rPr>
              <w:t>面源有效排放高度/ m</w:t>
            </w:r>
          </w:p>
        </w:tc>
        <w:tc>
          <w:tcPr>
            <w:tcW w:w="373" w:type="pct"/>
            <w:vMerge w:val="restart"/>
            <w:tcBorders>
              <w:tl2br w:val="nil"/>
              <w:tr2bl w:val="nil"/>
            </w:tcBorders>
          </w:tcPr>
          <w:p>
            <w:pPr>
              <w:pStyle w:val="34"/>
              <w:rPr>
                <w:lang w:val="zh-CN"/>
              </w:rPr>
            </w:pPr>
            <w:r>
              <w:rPr>
                <w:lang w:val="zh-CN"/>
              </w:rPr>
              <w:t>年排放小时数/h</w:t>
            </w:r>
          </w:p>
        </w:tc>
        <w:tc>
          <w:tcPr>
            <w:tcW w:w="373" w:type="pct"/>
            <w:vMerge w:val="restart"/>
            <w:tcBorders>
              <w:tl2br w:val="nil"/>
              <w:tr2bl w:val="nil"/>
            </w:tcBorders>
          </w:tcPr>
          <w:p>
            <w:pPr>
              <w:pStyle w:val="34"/>
              <w:rPr>
                <w:lang w:val="zh-CN"/>
              </w:rPr>
            </w:pPr>
            <w:r>
              <w:rPr>
                <w:lang w:val="zh-CN"/>
              </w:rPr>
              <w:t>排放工况</w:t>
            </w:r>
          </w:p>
        </w:tc>
        <w:tc>
          <w:tcPr>
            <w:tcW w:w="592" w:type="pct"/>
            <w:tcBorders>
              <w:tl2br w:val="nil"/>
              <w:tr2bl w:val="nil"/>
            </w:tcBorders>
          </w:tcPr>
          <w:p>
            <w:pPr>
              <w:pStyle w:val="34"/>
              <w:rPr>
                <w:lang w:val="zh-CN"/>
              </w:rPr>
            </w:pPr>
            <w:r>
              <w:rPr>
                <w:lang w:val="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50" w:type="pct"/>
            <w:vMerge w:val="continue"/>
            <w:tcBorders>
              <w:tl2br w:val="nil"/>
              <w:tr2bl w:val="nil"/>
            </w:tcBorders>
          </w:tcPr>
          <w:p>
            <w:pPr>
              <w:pStyle w:val="34"/>
              <w:rPr>
                <w:lang w:val="zh-CN"/>
              </w:rPr>
            </w:pPr>
          </w:p>
        </w:tc>
        <w:tc>
          <w:tcPr>
            <w:tcW w:w="630" w:type="pct"/>
            <w:vMerge w:val="continue"/>
            <w:tcBorders>
              <w:tl2br w:val="nil"/>
              <w:tr2bl w:val="nil"/>
            </w:tcBorders>
          </w:tcPr>
          <w:p>
            <w:pPr>
              <w:pStyle w:val="34"/>
              <w:rPr>
                <w:lang w:val="zh-CN"/>
              </w:rPr>
            </w:pPr>
          </w:p>
        </w:tc>
        <w:tc>
          <w:tcPr>
            <w:tcW w:w="375" w:type="pct"/>
            <w:tcBorders>
              <w:tl2br w:val="nil"/>
              <w:tr2bl w:val="nil"/>
            </w:tcBorders>
          </w:tcPr>
          <w:p>
            <w:pPr>
              <w:pStyle w:val="34"/>
              <w:rPr>
                <w:lang w:val="zh-CN"/>
              </w:rPr>
            </w:pPr>
            <w:r>
              <w:rPr>
                <w:lang w:val="zh-CN"/>
              </w:rPr>
              <w:t>X</w:t>
            </w:r>
          </w:p>
        </w:tc>
        <w:tc>
          <w:tcPr>
            <w:tcW w:w="372" w:type="pct"/>
            <w:tcBorders>
              <w:tl2br w:val="nil"/>
              <w:tr2bl w:val="nil"/>
            </w:tcBorders>
          </w:tcPr>
          <w:p>
            <w:pPr>
              <w:pStyle w:val="34"/>
              <w:rPr>
                <w:lang w:val="zh-CN"/>
              </w:rPr>
            </w:pPr>
            <w:r>
              <w:rPr>
                <w:lang w:val="zh-CN"/>
              </w:rPr>
              <w:t>Y</w:t>
            </w:r>
          </w:p>
        </w:tc>
        <w:tc>
          <w:tcPr>
            <w:tcW w:w="372" w:type="pct"/>
            <w:vMerge w:val="continue"/>
            <w:tcBorders>
              <w:tl2br w:val="nil"/>
              <w:tr2bl w:val="nil"/>
            </w:tcBorders>
          </w:tcPr>
          <w:p>
            <w:pPr>
              <w:pStyle w:val="34"/>
              <w:rPr>
                <w:lang w:val="zh-CN"/>
              </w:rPr>
            </w:pPr>
          </w:p>
        </w:tc>
        <w:tc>
          <w:tcPr>
            <w:tcW w:w="372" w:type="pct"/>
            <w:vMerge w:val="continue"/>
            <w:tcBorders>
              <w:tl2br w:val="nil"/>
              <w:tr2bl w:val="nil"/>
            </w:tcBorders>
          </w:tcPr>
          <w:p>
            <w:pPr>
              <w:pStyle w:val="34"/>
              <w:rPr>
                <w:lang w:val="zh-CN"/>
              </w:rPr>
            </w:pPr>
          </w:p>
        </w:tc>
        <w:tc>
          <w:tcPr>
            <w:tcW w:w="372" w:type="pct"/>
            <w:vMerge w:val="continue"/>
            <w:tcBorders>
              <w:tl2br w:val="nil"/>
              <w:tr2bl w:val="nil"/>
            </w:tcBorders>
          </w:tcPr>
          <w:p>
            <w:pPr>
              <w:pStyle w:val="34"/>
              <w:rPr>
                <w:lang w:val="zh-CN"/>
              </w:rPr>
            </w:pPr>
          </w:p>
        </w:tc>
        <w:tc>
          <w:tcPr>
            <w:tcW w:w="547" w:type="pct"/>
            <w:vMerge w:val="continue"/>
            <w:tcBorders>
              <w:tl2br w:val="nil"/>
              <w:tr2bl w:val="nil"/>
            </w:tcBorders>
          </w:tcPr>
          <w:p>
            <w:pPr>
              <w:pStyle w:val="34"/>
              <w:rPr>
                <w:lang w:val="zh-CN"/>
              </w:rPr>
            </w:pPr>
          </w:p>
        </w:tc>
        <w:tc>
          <w:tcPr>
            <w:tcW w:w="373" w:type="pct"/>
            <w:vMerge w:val="continue"/>
            <w:tcBorders>
              <w:tl2br w:val="nil"/>
              <w:tr2bl w:val="nil"/>
            </w:tcBorders>
          </w:tcPr>
          <w:p>
            <w:pPr>
              <w:pStyle w:val="34"/>
              <w:rPr>
                <w:lang w:val="zh-CN"/>
              </w:rPr>
            </w:pPr>
          </w:p>
        </w:tc>
        <w:tc>
          <w:tcPr>
            <w:tcW w:w="373" w:type="pct"/>
            <w:vMerge w:val="continue"/>
            <w:tcBorders>
              <w:tl2br w:val="nil"/>
              <w:tr2bl w:val="nil"/>
            </w:tcBorders>
          </w:tcPr>
          <w:p>
            <w:pPr>
              <w:pStyle w:val="34"/>
              <w:rPr>
                <w:lang w:val="zh-CN"/>
              </w:rPr>
            </w:pPr>
          </w:p>
        </w:tc>
        <w:tc>
          <w:tcPr>
            <w:tcW w:w="373" w:type="pct"/>
            <w:vMerge w:val="continue"/>
            <w:tcBorders>
              <w:tl2br w:val="nil"/>
              <w:tr2bl w:val="nil"/>
            </w:tcBorders>
          </w:tcPr>
          <w:p>
            <w:pPr>
              <w:pStyle w:val="34"/>
              <w:rPr>
                <w:lang w:val="zh-CN"/>
              </w:rPr>
            </w:pPr>
          </w:p>
        </w:tc>
        <w:tc>
          <w:tcPr>
            <w:tcW w:w="592" w:type="pct"/>
            <w:tcBorders>
              <w:tl2br w:val="nil"/>
              <w:tr2bl w:val="nil"/>
            </w:tcBorders>
          </w:tcPr>
          <w:p>
            <w:pPr>
              <w:pStyle w:val="34"/>
              <w:rPr>
                <w:lang w:val="zh-CN"/>
              </w:rPr>
            </w:pPr>
            <w:r>
              <w:rPr>
                <w:lang w:val="zh-CN"/>
              </w:rPr>
              <w:t>NMHC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vAlign w:val="center"/>
          </w:tcPr>
          <w:p>
            <w:pPr>
              <w:pStyle w:val="34"/>
              <w:rPr>
                <w:lang w:val="zh-CN"/>
              </w:rPr>
            </w:pPr>
            <w:r>
              <w:rPr>
                <w:lang w:val="zh-CN"/>
              </w:rPr>
              <w:t>1</w:t>
            </w:r>
          </w:p>
        </w:tc>
        <w:tc>
          <w:tcPr>
            <w:tcW w:w="630" w:type="pct"/>
            <w:tcBorders>
              <w:tl2br w:val="nil"/>
              <w:tr2bl w:val="nil"/>
            </w:tcBorders>
            <w:vAlign w:val="center"/>
          </w:tcPr>
          <w:p>
            <w:pPr>
              <w:pStyle w:val="34"/>
              <w:rPr>
                <w:lang w:val="zh-CN"/>
              </w:rPr>
            </w:pPr>
            <w:r>
              <w:rPr>
                <w:rFonts w:hint="eastAsia"/>
              </w:rPr>
              <w:t>粉碎</w:t>
            </w:r>
            <w:r>
              <w:t>造粒</w:t>
            </w:r>
            <w:r>
              <w:rPr>
                <w:rFonts w:hint="eastAsia"/>
              </w:rPr>
              <w:t>车</w:t>
            </w:r>
            <w:r>
              <w:t>间</w:t>
            </w:r>
          </w:p>
        </w:tc>
        <w:tc>
          <w:tcPr>
            <w:tcW w:w="375" w:type="pct"/>
            <w:tcBorders>
              <w:tl2br w:val="nil"/>
              <w:tr2bl w:val="nil"/>
            </w:tcBorders>
            <w:vAlign w:val="center"/>
          </w:tcPr>
          <w:p>
            <w:pPr>
              <w:pStyle w:val="34"/>
            </w:pPr>
            <w:r>
              <w:t>-</w:t>
            </w:r>
            <w:r>
              <w:rPr>
                <w:rFonts w:hint="eastAsia"/>
              </w:rPr>
              <w:t>3</w:t>
            </w:r>
          </w:p>
        </w:tc>
        <w:tc>
          <w:tcPr>
            <w:tcW w:w="372" w:type="pct"/>
            <w:tcBorders>
              <w:tl2br w:val="nil"/>
              <w:tr2bl w:val="nil"/>
            </w:tcBorders>
            <w:vAlign w:val="center"/>
          </w:tcPr>
          <w:p>
            <w:pPr>
              <w:pStyle w:val="34"/>
              <w:rPr>
                <w:lang w:val="zh-CN"/>
              </w:rPr>
            </w:pPr>
            <w:r>
              <w:rPr>
                <w:rFonts w:hint="eastAsia"/>
                <w:lang w:val="zh-CN"/>
              </w:rPr>
              <w:t>-42</w:t>
            </w:r>
          </w:p>
        </w:tc>
        <w:tc>
          <w:tcPr>
            <w:tcW w:w="372" w:type="pct"/>
            <w:tcBorders>
              <w:tl2br w:val="nil"/>
              <w:tr2bl w:val="nil"/>
            </w:tcBorders>
            <w:vAlign w:val="center"/>
          </w:tcPr>
          <w:p>
            <w:pPr>
              <w:pStyle w:val="34"/>
              <w:rPr>
                <w:lang w:val="zh-CN"/>
              </w:rPr>
            </w:pPr>
            <w:r>
              <w:rPr>
                <w:lang w:val="zh-CN"/>
              </w:rPr>
              <w:t>6</w:t>
            </w:r>
            <w:r>
              <w:rPr>
                <w:rFonts w:hint="eastAsia"/>
                <w:lang w:val="zh-CN"/>
              </w:rPr>
              <w:t>43</w:t>
            </w:r>
          </w:p>
        </w:tc>
        <w:tc>
          <w:tcPr>
            <w:tcW w:w="372" w:type="pct"/>
            <w:tcBorders>
              <w:tl2br w:val="nil"/>
              <w:tr2bl w:val="nil"/>
            </w:tcBorders>
            <w:vAlign w:val="center"/>
          </w:tcPr>
          <w:p>
            <w:pPr>
              <w:pStyle w:val="34"/>
            </w:pPr>
            <w:r>
              <w:rPr>
                <w:rFonts w:hint="eastAsia"/>
              </w:rPr>
              <w:t>20</w:t>
            </w:r>
          </w:p>
        </w:tc>
        <w:tc>
          <w:tcPr>
            <w:tcW w:w="372" w:type="pct"/>
            <w:tcBorders>
              <w:tl2br w:val="nil"/>
              <w:tr2bl w:val="nil"/>
            </w:tcBorders>
            <w:vAlign w:val="center"/>
          </w:tcPr>
          <w:p>
            <w:pPr>
              <w:pStyle w:val="34"/>
            </w:pPr>
            <w:r>
              <w:rPr>
                <w:rFonts w:hint="eastAsia"/>
              </w:rPr>
              <w:t>40</w:t>
            </w:r>
          </w:p>
        </w:tc>
        <w:tc>
          <w:tcPr>
            <w:tcW w:w="547" w:type="pct"/>
            <w:tcBorders>
              <w:tl2br w:val="nil"/>
              <w:tr2bl w:val="nil"/>
            </w:tcBorders>
            <w:vAlign w:val="center"/>
          </w:tcPr>
          <w:p>
            <w:pPr>
              <w:pStyle w:val="34"/>
              <w:rPr>
                <w:lang w:val="zh-CN"/>
              </w:rPr>
            </w:pPr>
            <w:r>
              <w:rPr>
                <w:lang w:val="zh-CN"/>
              </w:rPr>
              <w:t>0</w:t>
            </w:r>
          </w:p>
        </w:tc>
        <w:tc>
          <w:tcPr>
            <w:tcW w:w="373" w:type="pct"/>
            <w:tcBorders>
              <w:tl2br w:val="nil"/>
              <w:tr2bl w:val="nil"/>
            </w:tcBorders>
            <w:vAlign w:val="center"/>
          </w:tcPr>
          <w:p>
            <w:pPr>
              <w:pStyle w:val="34"/>
              <w:rPr>
                <w:lang w:val="zh-CN"/>
              </w:rPr>
            </w:pPr>
            <w:r>
              <w:rPr>
                <w:lang w:val="zh-CN"/>
              </w:rPr>
              <w:t>6</w:t>
            </w:r>
          </w:p>
        </w:tc>
        <w:tc>
          <w:tcPr>
            <w:tcW w:w="373" w:type="pct"/>
            <w:tcBorders>
              <w:tl2br w:val="nil"/>
              <w:tr2bl w:val="nil"/>
            </w:tcBorders>
            <w:vAlign w:val="center"/>
          </w:tcPr>
          <w:p>
            <w:pPr>
              <w:pStyle w:val="34"/>
              <w:rPr>
                <w:lang w:val="zh-CN"/>
              </w:rPr>
            </w:pPr>
            <w:r>
              <w:rPr>
                <w:lang w:val="zh-CN"/>
              </w:rPr>
              <w:t>4320</w:t>
            </w:r>
          </w:p>
        </w:tc>
        <w:tc>
          <w:tcPr>
            <w:tcW w:w="373" w:type="pct"/>
            <w:tcBorders>
              <w:tl2br w:val="nil"/>
              <w:tr2bl w:val="nil"/>
            </w:tcBorders>
            <w:vAlign w:val="center"/>
          </w:tcPr>
          <w:p>
            <w:pPr>
              <w:pStyle w:val="34"/>
              <w:rPr>
                <w:lang w:val="zh-CN"/>
              </w:rPr>
            </w:pPr>
            <w:r>
              <w:rPr>
                <w:lang w:val="zh-CN"/>
              </w:rPr>
              <w:t>正常</w:t>
            </w:r>
          </w:p>
        </w:tc>
        <w:tc>
          <w:tcPr>
            <w:tcW w:w="1010" w:type="dxa"/>
            <w:tcBorders>
              <w:tl2br w:val="nil"/>
              <w:tr2bl w:val="nil"/>
            </w:tcBorders>
            <w:vAlign w:val="center"/>
          </w:tcPr>
          <w:p>
            <w:pPr>
              <w:pStyle w:val="34"/>
            </w:pPr>
            <w: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vAlign w:val="center"/>
          </w:tcPr>
          <w:p>
            <w:pPr>
              <w:pStyle w:val="34"/>
              <w:rPr>
                <w:lang w:val="zh-CN"/>
              </w:rPr>
            </w:pPr>
            <w:r>
              <w:rPr>
                <w:lang w:val="zh-CN"/>
              </w:rPr>
              <w:t>2</w:t>
            </w:r>
          </w:p>
        </w:tc>
        <w:tc>
          <w:tcPr>
            <w:tcW w:w="630" w:type="pct"/>
            <w:tcBorders>
              <w:tl2br w:val="nil"/>
              <w:tr2bl w:val="nil"/>
            </w:tcBorders>
            <w:vAlign w:val="center"/>
          </w:tcPr>
          <w:p>
            <w:pPr>
              <w:pStyle w:val="34"/>
            </w:pPr>
            <w:r>
              <w:t>成品生产车间</w:t>
            </w:r>
          </w:p>
        </w:tc>
        <w:tc>
          <w:tcPr>
            <w:tcW w:w="375" w:type="pct"/>
            <w:tcBorders>
              <w:tl2br w:val="nil"/>
              <w:tr2bl w:val="nil"/>
            </w:tcBorders>
            <w:vAlign w:val="center"/>
          </w:tcPr>
          <w:p>
            <w:pPr>
              <w:pStyle w:val="34"/>
            </w:pPr>
            <w:r>
              <w:rPr>
                <w:rFonts w:hint="eastAsia"/>
              </w:rPr>
              <w:t>21</w:t>
            </w:r>
          </w:p>
        </w:tc>
        <w:tc>
          <w:tcPr>
            <w:tcW w:w="372" w:type="pct"/>
            <w:tcBorders>
              <w:tl2br w:val="nil"/>
              <w:tr2bl w:val="nil"/>
            </w:tcBorders>
            <w:vAlign w:val="center"/>
          </w:tcPr>
          <w:p>
            <w:pPr>
              <w:pStyle w:val="34"/>
            </w:pPr>
            <w:r>
              <w:rPr>
                <w:rFonts w:hint="eastAsia"/>
              </w:rPr>
              <w:t>-31</w:t>
            </w:r>
          </w:p>
        </w:tc>
        <w:tc>
          <w:tcPr>
            <w:tcW w:w="372" w:type="pct"/>
            <w:tcBorders>
              <w:tl2br w:val="nil"/>
              <w:tr2bl w:val="nil"/>
            </w:tcBorders>
            <w:vAlign w:val="center"/>
          </w:tcPr>
          <w:p>
            <w:pPr>
              <w:pStyle w:val="34"/>
              <w:rPr>
                <w:lang w:val="zh-CN"/>
              </w:rPr>
            </w:pPr>
            <w:r>
              <w:rPr>
                <w:lang w:val="zh-CN"/>
              </w:rPr>
              <w:t>6</w:t>
            </w:r>
            <w:r>
              <w:rPr>
                <w:rFonts w:hint="eastAsia"/>
                <w:lang w:val="zh-CN"/>
              </w:rPr>
              <w:t>43</w:t>
            </w:r>
          </w:p>
        </w:tc>
        <w:tc>
          <w:tcPr>
            <w:tcW w:w="372" w:type="pct"/>
            <w:tcBorders>
              <w:tl2br w:val="nil"/>
              <w:tr2bl w:val="nil"/>
            </w:tcBorders>
            <w:vAlign w:val="center"/>
          </w:tcPr>
          <w:p>
            <w:pPr>
              <w:pStyle w:val="34"/>
            </w:pPr>
            <w:r>
              <w:rPr>
                <w:rFonts w:hint="eastAsia"/>
              </w:rPr>
              <w:t>50</w:t>
            </w:r>
          </w:p>
        </w:tc>
        <w:tc>
          <w:tcPr>
            <w:tcW w:w="372" w:type="pct"/>
            <w:tcBorders>
              <w:tl2br w:val="nil"/>
              <w:tr2bl w:val="nil"/>
            </w:tcBorders>
            <w:vAlign w:val="center"/>
          </w:tcPr>
          <w:p>
            <w:pPr>
              <w:pStyle w:val="34"/>
            </w:pPr>
            <w:r>
              <w:rPr>
                <w:rFonts w:hint="eastAsia"/>
              </w:rPr>
              <w:t>22</w:t>
            </w:r>
          </w:p>
        </w:tc>
        <w:tc>
          <w:tcPr>
            <w:tcW w:w="547" w:type="pct"/>
            <w:tcBorders>
              <w:tl2br w:val="nil"/>
              <w:tr2bl w:val="nil"/>
            </w:tcBorders>
            <w:vAlign w:val="center"/>
          </w:tcPr>
          <w:p>
            <w:pPr>
              <w:pStyle w:val="34"/>
              <w:rPr>
                <w:lang w:val="zh-CN"/>
              </w:rPr>
            </w:pPr>
            <w:r>
              <w:rPr>
                <w:lang w:val="zh-CN"/>
              </w:rPr>
              <w:t>0</w:t>
            </w:r>
          </w:p>
        </w:tc>
        <w:tc>
          <w:tcPr>
            <w:tcW w:w="373" w:type="pct"/>
            <w:tcBorders>
              <w:tl2br w:val="nil"/>
              <w:tr2bl w:val="nil"/>
            </w:tcBorders>
            <w:vAlign w:val="center"/>
          </w:tcPr>
          <w:p>
            <w:pPr>
              <w:pStyle w:val="34"/>
              <w:rPr>
                <w:lang w:val="zh-CN"/>
              </w:rPr>
            </w:pPr>
            <w:r>
              <w:rPr>
                <w:lang w:val="zh-CN"/>
              </w:rPr>
              <w:t>6</w:t>
            </w:r>
          </w:p>
        </w:tc>
        <w:tc>
          <w:tcPr>
            <w:tcW w:w="373" w:type="pct"/>
            <w:tcBorders>
              <w:tl2br w:val="nil"/>
              <w:tr2bl w:val="nil"/>
            </w:tcBorders>
            <w:vAlign w:val="center"/>
          </w:tcPr>
          <w:p>
            <w:pPr>
              <w:pStyle w:val="34"/>
              <w:rPr>
                <w:lang w:val="zh-CN"/>
              </w:rPr>
            </w:pPr>
            <w:r>
              <w:rPr>
                <w:lang w:val="zh-CN"/>
              </w:rPr>
              <w:t>4320</w:t>
            </w:r>
          </w:p>
        </w:tc>
        <w:tc>
          <w:tcPr>
            <w:tcW w:w="373" w:type="pct"/>
            <w:tcBorders>
              <w:tl2br w:val="nil"/>
              <w:tr2bl w:val="nil"/>
            </w:tcBorders>
            <w:vAlign w:val="center"/>
          </w:tcPr>
          <w:p>
            <w:pPr>
              <w:pStyle w:val="34"/>
              <w:rPr>
                <w:lang w:val="zh-CN"/>
              </w:rPr>
            </w:pPr>
            <w:r>
              <w:rPr>
                <w:lang w:val="zh-CN"/>
              </w:rPr>
              <w:t>正常</w:t>
            </w:r>
          </w:p>
        </w:tc>
        <w:tc>
          <w:tcPr>
            <w:tcW w:w="1010" w:type="dxa"/>
            <w:tcBorders>
              <w:tl2br w:val="nil"/>
              <w:tr2bl w:val="nil"/>
            </w:tcBorders>
            <w:vAlign w:val="center"/>
          </w:tcPr>
          <w:p>
            <w:pPr>
              <w:pStyle w:val="34"/>
            </w:pPr>
            <w:r>
              <w:rPr>
                <w:rFonts w:hint="eastAsia"/>
              </w:rPr>
              <w:t>0.17</w:t>
            </w:r>
          </w:p>
        </w:tc>
      </w:tr>
    </w:tbl>
    <w:p>
      <w:pPr>
        <w:pStyle w:val="7"/>
        <w:ind w:firstLine="480"/>
        <w:rPr>
          <w:rFonts w:cs="Times New Roman"/>
        </w:rPr>
      </w:pPr>
      <w:r>
        <w:rPr>
          <w:rFonts w:cs="Times New Roman"/>
        </w:rPr>
        <w:t>采用导则推荐的估算模型对项目废气进行估算，各废气污染物估算结果最大地面浓度占标率P</w:t>
      </w:r>
      <w:r>
        <w:rPr>
          <w:rFonts w:cs="Times New Roman"/>
          <w:vertAlign w:val="subscript"/>
        </w:rPr>
        <w:t>max</w:t>
      </w:r>
      <w:r>
        <w:rPr>
          <w:rFonts w:cs="Times New Roman"/>
        </w:rPr>
        <w:t>计算结果见</w:t>
      </w:r>
      <w:r>
        <w:rPr>
          <w:rFonts w:hint="eastAsia" w:cs="Times New Roman"/>
        </w:rPr>
        <w:t>表2.5-5</w:t>
      </w:r>
      <w:r>
        <w:rPr>
          <w:rFonts w:cs="Times New Roman"/>
        </w:rPr>
        <w:t>。</w:t>
      </w:r>
    </w:p>
    <w:p>
      <w:pPr>
        <w:pStyle w:val="36"/>
        <w:spacing w:before="156"/>
        <w:rPr>
          <w:rFonts w:eastAsia="宋体"/>
        </w:rPr>
      </w:pPr>
      <w:bookmarkStart w:id="30" w:name="_Ref111293752"/>
      <w:r>
        <w:rPr>
          <w:rFonts w:eastAsia="宋体"/>
        </w:rPr>
        <w:t>表</w:t>
      </w:r>
      <w:r>
        <w:rPr>
          <w:rFonts w:hint="eastAsia" w:eastAsia="宋体"/>
        </w:rPr>
        <w:t>2.5-5</w:t>
      </w:r>
      <w:bookmarkEnd w:id="30"/>
      <w:r>
        <w:rPr>
          <w:rFonts w:eastAsia="宋体"/>
        </w:rPr>
        <w:t xml:space="preserve">  非甲烷总烃估算结果</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228"/>
        <w:gridCol w:w="1225"/>
        <w:gridCol w:w="1332"/>
        <w:gridCol w:w="1115"/>
        <w:gridCol w:w="1225"/>
        <w:gridCol w:w="1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1" w:type="pct"/>
            <w:tcBorders>
              <w:tl2br w:val="nil"/>
              <w:tr2bl w:val="nil"/>
            </w:tcBorders>
            <w:vAlign w:val="center"/>
          </w:tcPr>
          <w:p>
            <w:pPr>
              <w:pStyle w:val="34"/>
            </w:pPr>
            <w:r>
              <w:t>污染源</w:t>
            </w:r>
          </w:p>
        </w:tc>
        <w:tc>
          <w:tcPr>
            <w:tcW w:w="720" w:type="pct"/>
            <w:tcBorders>
              <w:tl2br w:val="nil"/>
              <w:tr2bl w:val="nil"/>
            </w:tcBorders>
            <w:vAlign w:val="center"/>
          </w:tcPr>
          <w:p>
            <w:pPr>
              <w:pStyle w:val="34"/>
            </w:pPr>
            <w:r>
              <w:t>评价因子</w:t>
            </w:r>
          </w:p>
        </w:tc>
        <w:tc>
          <w:tcPr>
            <w:tcW w:w="718" w:type="pct"/>
            <w:tcBorders>
              <w:tl2br w:val="nil"/>
              <w:tr2bl w:val="nil"/>
            </w:tcBorders>
            <w:vAlign w:val="center"/>
          </w:tcPr>
          <w:p>
            <w:pPr>
              <w:pStyle w:val="34"/>
            </w:pPr>
            <w:r>
              <w:t>C</w:t>
            </w:r>
            <w:r>
              <w:rPr>
                <w:vertAlign w:val="subscript"/>
              </w:rPr>
              <w:t>i</w:t>
            </w:r>
            <w:r>
              <w:t>（mg/m</w:t>
            </w:r>
            <w:r>
              <w:rPr>
                <w:vertAlign w:val="superscript"/>
              </w:rPr>
              <w:t>3</w:t>
            </w:r>
            <w:r>
              <w:t>）</w:t>
            </w:r>
          </w:p>
        </w:tc>
        <w:tc>
          <w:tcPr>
            <w:tcW w:w="781" w:type="pct"/>
            <w:tcBorders>
              <w:tl2br w:val="nil"/>
              <w:tr2bl w:val="nil"/>
            </w:tcBorders>
            <w:vAlign w:val="center"/>
          </w:tcPr>
          <w:p>
            <w:pPr>
              <w:pStyle w:val="34"/>
            </w:pPr>
            <w:r>
              <w:t>C</w:t>
            </w:r>
            <w:r>
              <w:rPr>
                <w:vertAlign w:val="subscript"/>
              </w:rPr>
              <w:t>oi</w:t>
            </w:r>
            <w:r>
              <w:t>（mg/m</w:t>
            </w:r>
            <w:r>
              <w:rPr>
                <w:vertAlign w:val="superscript"/>
              </w:rPr>
              <w:t>3</w:t>
            </w:r>
            <w:r>
              <w:t>）</w:t>
            </w:r>
          </w:p>
        </w:tc>
        <w:tc>
          <w:tcPr>
            <w:tcW w:w="654" w:type="pct"/>
            <w:tcBorders>
              <w:tl2br w:val="nil"/>
              <w:tr2bl w:val="nil"/>
            </w:tcBorders>
            <w:vAlign w:val="center"/>
          </w:tcPr>
          <w:p>
            <w:pPr>
              <w:pStyle w:val="34"/>
            </w:pPr>
            <w:r>
              <w:t>P</w:t>
            </w:r>
            <w:r>
              <w:rPr>
                <w:vertAlign w:val="subscript"/>
              </w:rPr>
              <w:t>i</w:t>
            </w:r>
            <w:r>
              <w:t>（%）</w:t>
            </w:r>
          </w:p>
        </w:tc>
        <w:tc>
          <w:tcPr>
            <w:tcW w:w="718" w:type="pct"/>
            <w:tcBorders>
              <w:tl2br w:val="nil"/>
              <w:tr2bl w:val="nil"/>
            </w:tcBorders>
            <w:vAlign w:val="center"/>
          </w:tcPr>
          <w:p>
            <w:pPr>
              <w:pStyle w:val="34"/>
            </w:pPr>
            <w:r>
              <w:t>D</w:t>
            </w:r>
            <w:r>
              <w:rPr>
                <w:vertAlign w:val="subscript"/>
              </w:rPr>
              <w:t>10%</w:t>
            </w:r>
            <w:r>
              <w:t>（m）</w:t>
            </w:r>
          </w:p>
        </w:tc>
        <w:tc>
          <w:tcPr>
            <w:tcW w:w="718" w:type="pct"/>
            <w:tcBorders>
              <w:tl2br w:val="nil"/>
              <w:tr2bl w:val="nil"/>
            </w:tcBorders>
            <w:vAlign w:val="center"/>
          </w:tcPr>
          <w:p>
            <w:pPr>
              <w:pStyle w:val="34"/>
            </w:pPr>
            <w: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91" w:type="pct"/>
            <w:tcBorders>
              <w:tl2br w:val="nil"/>
              <w:tr2bl w:val="nil"/>
            </w:tcBorders>
            <w:vAlign w:val="center"/>
          </w:tcPr>
          <w:p>
            <w:pPr>
              <w:pStyle w:val="34"/>
            </w:pPr>
            <w:r>
              <w:t>DA001</w:t>
            </w:r>
          </w:p>
        </w:tc>
        <w:tc>
          <w:tcPr>
            <w:tcW w:w="720" w:type="pct"/>
            <w:vMerge w:val="restart"/>
            <w:tcBorders>
              <w:tl2br w:val="nil"/>
              <w:tr2bl w:val="nil"/>
            </w:tcBorders>
            <w:vAlign w:val="center"/>
          </w:tcPr>
          <w:p>
            <w:pPr>
              <w:pStyle w:val="34"/>
            </w:pPr>
            <w:r>
              <w:t>非甲烷</w:t>
            </w:r>
          </w:p>
          <w:p>
            <w:pPr>
              <w:pStyle w:val="34"/>
            </w:pPr>
            <w:r>
              <w:t>总烃</w:t>
            </w:r>
          </w:p>
        </w:tc>
        <w:tc>
          <w:tcPr>
            <w:tcW w:w="718" w:type="pct"/>
            <w:tcBorders>
              <w:tl2br w:val="nil"/>
              <w:tr2bl w:val="nil"/>
            </w:tcBorders>
            <w:vAlign w:val="center"/>
          </w:tcPr>
          <w:p>
            <w:pPr>
              <w:pStyle w:val="34"/>
            </w:pPr>
            <w:r>
              <w:t>0.</w:t>
            </w:r>
            <w:r>
              <w:rPr>
                <w:rFonts w:hint="eastAsia"/>
              </w:rPr>
              <w:t>339</w:t>
            </w:r>
          </w:p>
        </w:tc>
        <w:tc>
          <w:tcPr>
            <w:tcW w:w="781" w:type="pct"/>
            <w:vMerge w:val="restart"/>
            <w:tcBorders>
              <w:tl2br w:val="nil"/>
              <w:tr2bl w:val="nil"/>
            </w:tcBorders>
            <w:vAlign w:val="center"/>
          </w:tcPr>
          <w:p>
            <w:pPr>
              <w:pStyle w:val="34"/>
            </w:pPr>
            <w:r>
              <w:t>2</w:t>
            </w:r>
          </w:p>
        </w:tc>
        <w:tc>
          <w:tcPr>
            <w:tcW w:w="654" w:type="pct"/>
            <w:tcBorders>
              <w:tl2br w:val="nil"/>
              <w:tr2bl w:val="nil"/>
            </w:tcBorders>
            <w:vAlign w:val="center"/>
          </w:tcPr>
          <w:p>
            <w:pPr>
              <w:pStyle w:val="34"/>
            </w:pPr>
            <w:r>
              <w:rPr>
                <w:rFonts w:hint="eastAsia"/>
              </w:rPr>
              <w:t>4.72</w:t>
            </w:r>
          </w:p>
        </w:tc>
        <w:tc>
          <w:tcPr>
            <w:tcW w:w="718" w:type="pct"/>
            <w:tcBorders>
              <w:tl2br w:val="nil"/>
              <w:tr2bl w:val="nil"/>
            </w:tcBorders>
            <w:vAlign w:val="center"/>
          </w:tcPr>
          <w:p>
            <w:pPr>
              <w:pStyle w:val="34"/>
            </w:pPr>
            <w:r>
              <w:t>0</w:t>
            </w:r>
          </w:p>
        </w:tc>
        <w:tc>
          <w:tcPr>
            <w:tcW w:w="718" w:type="pct"/>
            <w:tcBorders>
              <w:tl2br w:val="nil"/>
              <w:tr2bl w:val="nil"/>
            </w:tcBorders>
            <w:vAlign w:val="center"/>
          </w:tcPr>
          <w:p>
            <w:pPr>
              <w:pStyle w:val="34"/>
            </w:pPr>
            <w: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91" w:type="pct"/>
            <w:tcBorders>
              <w:tl2br w:val="nil"/>
              <w:tr2bl w:val="nil"/>
            </w:tcBorders>
            <w:vAlign w:val="center"/>
          </w:tcPr>
          <w:p>
            <w:pPr>
              <w:pStyle w:val="34"/>
            </w:pPr>
            <w:r>
              <w:rPr>
                <w:rFonts w:hint="eastAsia"/>
              </w:rPr>
              <w:t>粉碎</w:t>
            </w:r>
            <w:r>
              <w:t>造粒</w:t>
            </w:r>
            <w:r>
              <w:rPr>
                <w:rFonts w:hint="eastAsia"/>
              </w:rPr>
              <w:t>车</w:t>
            </w:r>
            <w:r>
              <w:t>间</w:t>
            </w:r>
          </w:p>
        </w:tc>
        <w:tc>
          <w:tcPr>
            <w:tcW w:w="720" w:type="pct"/>
            <w:vMerge w:val="continue"/>
            <w:tcBorders>
              <w:tl2br w:val="nil"/>
              <w:tr2bl w:val="nil"/>
            </w:tcBorders>
            <w:vAlign w:val="center"/>
          </w:tcPr>
          <w:p>
            <w:pPr>
              <w:pStyle w:val="34"/>
            </w:pPr>
          </w:p>
        </w:tc>
        <w:tc>
          <w:tcPr>
            <w:tcW w:w="718" w:type="pct"/>
            <w:tcBorders>
              <w:tl2br w:val="nil"/>
              <w:tr2bl w:val="nil"/>
            </w:tcBorders>
            <w:vAlign w:val="center"/>
          </w:tcPr>
          <w:p>
            <w:pPr>
              <w:pStyle w:val="34"/>
            </w:pPr>
            <w:r>
              <w:t>0.0</w:t>
            </w:r>
            <w:r>
              <w:rPr>
                <w:rFonts w:hint="eastAsia"/>
              </w:rPr>
              <w:t>11</w:t>
            </w:r>
          </w:p>
        </w:tc>
        <w:tc>
          <w:tcPr>
            <w:tcW w:w="781" w:type="pct"/>
            <w:vMerge w:val="continue"/>
            <w:tcBorders>
              <w:tl2br w:val="nil"/>
              <w:tr2bl w:val="nil"/>
            </w:tcBorders>
            <w:vAlign w:val="center"/>
          </w:tcPr>
          <w:p>
            <w:pPr>
              <w:pStyle w:val="34"/>
            </w:pPr>
          </w:p>
        </w:tc>
        <w:tc>
          <w:tcPr>
            <w:tcW w:w="654" w:type="pct"/>
            <w:tcBorders>
              <w:tl2br w:val="nil"/>
              <w:tr2bl w:val="nil"/>
            </w:tcBorders>
            <w:vAlign w:val="center"/>
          </w:tcPr>
          <w:p>
            <w:pPr>
              <w:pStyle w:val="34"/>
            </w:pPr>
            <w:r>
              <w:rPr>
                <w:rFonts w:hint="eastAsia"/>
              </w:rPr>
              <w:t>2.55</w:t>
            </w:r>
          </w:p>
        </w:tc>
        <w:tc>
          <w:tcPr>
            <w:tcW w:w="718" w:type="pct"/>
            <w:tcBorders>
              <w:tl2br w:val="nil"/>
              <w:tr2bl w:val="nil"/>
            </w:tcBorders>
            <w:vAlign w:val="center"/>
          </w:tcPr>
          <w:p>
            <w:pPr>
              <w:pStyle w:val="34"/>
            </w:pPr>
            <w:r>
              <w:t>0</w:t>
            </w:r>
          </w:p>
        </w:tc>
        <w:tc>
          <w:tcPr>
            <w:tcW w:w="718" w:type="pct"/>
            <w:tcBorders>
              <w:tl2br w:val="nil"/>
              <w:tr2bl w:val="nil"/>
            </w:tcBorders>
            <w:vAlign w:val="center"/>
          </w:tcPr>
          <w:p>
            <w:pPr>
              <w:pStyle w:val="34"/>
            </w:pPr>
            <w: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91" w:type="pct"/>
            <w:tcBorders>
              <w:tl2br w:val="nil"/>
              <w:tr2bl w:val="nil"/>
            </w:tcBorders>
            <w:vAlign w:val="center"/>
          </w:tcPr>
          <w:p>
            <w:pPr>
              <w:pStyle w:val="34"/>
            </w:pPr>
            <w:r>
              <w:t>成品生产车间</w:t>
            </w:r>
          </w:p>
        </w:tc>
        <w:tc>
          <w:tcPr>
            <w:tcW w:w="720" w:type="pct"/>
            <w:vMerge w:val="continue"/>
            <w:tcBorders>
              <w:tl2br w:val="nil"/>
              <w:tr2bl w:val="nil"/>
            </w:tcBorders>
            <w:vAlign w:val="center"/>
          </w:tcPr>
          <w:p>
            <w:pPr>
              <w:pStyle w:val="34"/>
            </w:pPr>
          </w:p>
        </w:tc>
        <w:tc>
          <w:tcPr>
            <w:tcW w:w="718" w:type="pct"/>
            <w:tcBorders>
              <w:tl2br w:val="nil"/>
              <w:tr2bl w:val="nil"/>
            </w:tcBorders>
            <w:vAlign w:val="center"/>
          </w:tcPr>
          <w:p>
            <w:pPr>
              <w:pStyle w:val="34"/>
            </w:pPr>
            <w:r>
              <w:t>0.0</w:t>
            </w:r>
            <w:r>
              <w:rPr>
                <w:rFonts w:hint="eastAsia"/>
              </w:rPr>
              <w:t>47</w:t>
            </w:r>
          </w:p>
        </w:tc>
        <w:tc>
          <w:tcPr>
            <w:tcW w:w="781" w:type="pct"/>
            <w:vMerge w:val="continue"/>
            <w:tcBorders>
              <w:tl2br w:val="nil"/>
              <w:tr2bl w:val="nil"/>
            </w:tcBorders>
            <w:vAlign w:val="center"/>
          </w:tcPr>
          <w:p>
            <w:pPr>
              <w:pStyle w:val="34"/>
            </w:pPr>
          </w:p>
        </w:tc>
        <w:tc>
          <w:tcPr>
            <w:tcW w:w="654" w:type="pct"/>
            <w:tcBorders>
              <w:tl2br w:val="nil"/>
              <w:tr2bl w:val="nil"/>
            </w:tcBorders>
            <w:vAlign w:val="center"/>
          </w:tcPr>
          <w:p>
            <w:pPr>
              <w:pStyle w:val="34"/>
            </w:pPr>
            <w:r>
              <w:rPr>
                <w:rFonts w:hint="eastAsia"/>
              </w:rPr>
              <w:t>9.51</w:t>
            </w:r>
          </w:p>
        </w:tc>
        <w:tc>
          <w:tcPr>
            <w:tcW w:w="718" w:type="pct"/>
            <w:tcBorders>
              <w:tl2br w:val="nil"/>
              <w:tr2bl w:val="nil"/>
            </w:tcBorders>
            <w:vAlign w:val="center"/>
          </w:tcPr>
          <w:p>
            <w:pPr>
              <w:pStyle w:val="34"/>
            </w:pPr>
            <w:r>
              <w:t>0</w:t>
            </w:r>
          </w:p>
        </w:tc>
        <w:tc>
          <w:tcPr>
            <w:tcW w:w="718" w:type="pct"/>
            <w:tcBorders>
              <w:tl2br w:val="nil"/>
              <w:tr2bl w:val="nil"/>
            </w:tcBorders>
            <w:vAlign w:val="center"/>
          </w:tcPr>
          <w:p>
            <w:pPr>
              <w:pStyle w:val="34"/>
            </w:pPr>
            <w:r>
              <w:t>二级</w:t>
            </w:r>
          </w:p>
        </w:tc>
      </w:tr>
    </w:tbl>
    <w:p>
      <w:pPr>
        <w:pStyle w:val="7"/>
        <w:ind w:firstLine="480"/>
        <w:rPr>
          <w:rFonts w:cs="Times New Roman"/>
        </w:rPr>
      </w:pPr>
      <w:r>
        <w:rPr>
          <w:rFonts w:cs="Times New Roman"/>
        </w:rPr>
        <w:t>根据</w:t>
      </w:r>
      <w:r>
        <w:rPr>
          <w:rFonts w:cs="Times New Roman"/>
        </w:rPr>
        <w:fldChar w:fldCharType="begin"/>
      </w:r>
      <w:r>
        <w:rPr>
          <w:rFonts w:cs="Times New Roman"/>
        </w:rPr>
        <w:instrText xml:space="preserve"> REF _Ref111293752 \h  \* MERGEFORMAT </w:instrText>
      </w:r>
      <w:r>
        <w:rPr>
          <w:rFonts w:cs="Times New Roman"/>
        </w:rPr>
        <w:fldChar w:fldCharType="separate"/>
      </w:r>
      <w:r>
        <w:rPr>
          <w:rFonts w:cs="Times New Roman"/>
        </w:rPr>
        <w:t>表2.5</w:t>
      </w:r>
      <w:r>
        <w:rPr>
          <w:rFonts w:cs="Times New Roman"/>
        </w:rPr>
        <w:noBreakHyphen/>
      </w:r>
      <w:r>
        <w:rPr>
          <w:rFonts w:cs="Times New Roman"/>
        </w:rPr>
        <w:t>5</w:t>
      </w:r>
      <w:r>
        <w:rPr>
          <w:rFonts w:cs="Times New Roman"/>
        </w:rPr>
        <w:fldChar w:fldCharType="end"/>
      </w:r>
      <w:r>
        <w:rPr>
          <w:rFonts w:cs="Times New Roman"/>
        </w:rPr>
        <w:t>估算结果，本项目污染物最大占标率为</w:t>
      </w:r>
      <w:r>
        <w:rPr>
          <w:rFonts w:hint="eastAsia" w:cs="Times New Roman"/>
        </w:rPr>
        <w:t>9.51</w:t>
      </w:r>
      <w:r>
        <w:rPr>
          <w:rFonts w:cs="Times New Roman"/>
        </w:rPr>
        <w:t>%，属于1%＜P</w:t>
      </w:r>
      <w:r>
        <w:rPr>
          <w:rFonts w:cs="Times New Roman"/>
          <w:vertAlign w:val="subscript"/>
        </w:rPr>
        <w:t>max</w:t>
      </w:r>
      <w:r>
        <w:rPr>
          <w:rFonts w:cs="Times New Roman"/>
        </w:rPr>
        <w:t>＜10%，确定大气环境评价等级为二级。</w:t>
      </w:r>
    </w:p>
    <w:p>
      <w:pPr>
        <w:pStyle w:val="6"/>
        <w:spacing w:after="0" w:afterLines="0"/>
      </w:pPr>
      <w:r>
        <w:t>地表水环境评价工作等级</w:t>
      </w:r>
    </w:p>
    <w:p>
      <w:pPr>
        <w:pStyle w:val="7"/>
        <w:ind w:firstLine="480"/>
        <w:rPr>
          <w:rFonts w:cs="Times New Roman"/>
        </w:rPr>
      </w:pPr>
      <w:r>
        <w:rPr>
          <w:rFonts w:cs="Times New Roman"/>
        </w:rPr>
        <w:t>《环境影响评价技术导则 地表水环境》（HJ2.3-2018）中地表水环境影响评价工作等级分级判据主要按照影响类型、排放方式、排放量或影响情况、受纳水体环境质量现状、水环境保护目标等综合确定。</w:t>
      </w:r>
    </w:p>
    <w:p>
      <w:pPr>
        <w:pStyle w:val="7"/>
        <w:ind w:firstLine="480"/>
        <w:rPr>
          <w:rFonts w:cs="Times New Roman"/>
        </w:rPr>
      </w:pPr>
      <w:r>
        <w:rPr>
          <w:rFonts w:cs="Times New Roman"/>
        </w:rPr>
        <w:t>本项目生产用水全部循环使用，不外排。生活污水在厂区化粪池暂存，</w:t>
      </w:r>
      <w:r>
        <w:rPr>
          <w:rFonts w:cs="Times New Roman"/>
          <w:lang w:val="zh-CN"/>
        </w:rPr>
        <w:t>定期由环卫</w:t>
      </w:r>
      <w:r>
        <w:rPr>
          <w:rFonts w:hint="eastAsia" w:cs="Times New Roman"/>
          <w:lang w:val="zh-CN"/>
        </w:rPr>
        <w:t>部门</w:t>
      </w:r>
      <w:r>
        <w:rPr>
          <w:rFonts w:cs="Times New Roman"/>
          <w:lang w:val="zh-CN"/>
        </w:rPr>
        <w:t>拉运处理</w:t>
      </w:r>
      <w:r>
        <w:rPr>
          <w:rFonts w:cs="Times New Roman"/>
        </w:rPr>
        <w:t>。生活污水污染物成分简单，与地表水体不发生水力联系。因此判定本项目地表水环境影响评价工作等级为三级B，可不必进行地表水环境影响预测。地表水主要评价内容包括水污染控制和水环境影响减缓措施有效性评价，以及依托污水处理设施的环境可行性评价。</w:t>
      </w:r>
    </w:p>
    <w:p>
      <w:pPr>
        <w:pStyle w:val="6"/>
        <w:spacing w:after="0" w:afterLines="0"/>
      </w:pPr>
      <w:bookmarkStart w:id="31" w:name="OLE_LINK26"/>
      <w:bookmarkStart w:id="32" w:name="OLE_LINK25"/>
      <w:r>
        <w:t>地下水环境评价工作等级</w:t>
      </w:r>
    </w:p>
    <w:bookmarkEnd w:id="31"/>
    <w:bookmarkEnd w:id="32"/>
    <w:p>
      <w:pPr>
        <w:pStyle w:val="7"/>
        <w:ind w:firstLine="480"/>
        <w:rPr>
          <w:rFonts w:cs="Times New Roman"/>
        </w:rPr>
      </w:pPr>
      <w:r>
        <w:rPr>
          <w:rFonts w:cs="Times New Roman"/>
        </w:rPr>
        <w:t>（1）划分依据</w:t>
      </w:r>
    </w:p>
    <w:p>
      <w:pPr>
        <w:pStyle w:val="7"/>
        <w:ind w:firstLine="480"/>
        <w:rPr>
          <w:rFonts w:cs="Times New Roman"/>
        </w:rPr>
      </w:pPr>
      <w:r>
        <w:rPr>
          <w:rFonts w:cs="Times New Roman"/>
        </w:rPr>
        <w:t>根据《环境影响评价技术导则 地下水环境》（HJ610-2016），地下水评价工作等级划分依据如下：</w:t>
      </w:r>
    </w:p>
    <w:p>
      <w:pPr>
        <w:pStyle w:val="7"/>
        <w:ind w:firstLine="480"/>
        <w:rPr>
          <w:rFonts w:cs="Times New Roman"/>
        </w:rPr>
      </w:pPr>
      <w:r>
        <w:rPr>
          <w:rFonts w:cs="Times New Roman"/>
        </w:rPr>
        <w:t>本项目地下水环境影响评价行业类别为“155、废旧资源（含生物质）加工、再生利用”，地下水环境影响评价项目类别为Ⅲ类。</w:t>
      </w:r>
    </w:p>
    <w:p>
      <w:pPr>
        <w:pStyle w:val="7"/>
        <w:ind w:firstLine="480"/>
        <w:rPr>
          <w:rFonts w:cs="Times New Roman"/>
        </w:rPr>
      </w:pPr>
      <w:r>
        <w:rPr>
          <w:rFonts w:cs="Times New Roman"/>
        </w:rPr>
        <w:t>建设项目的地下水环境敏感程度可分为敏感、较敏感、不敏感三级，分级原则见</w:t>
      </w:r>
      <w:r>
        <w:rPr>
          <w:rFonts w:hint="eastAsia" w:cs="Times New Roman"/>
        </w:rPr>
        <w:t>表2.5-6</w:t>
      </w:r>
      <w:r>
        <w:rPr>
          <w:rFonts w:cs="Times New Roman"/>
        </w:rPr>
        <w:t>。</w:t>
      </w:r>
    </w:p>
    <w:p>
      <w:pPr>
        <w:pStyle w:val="36"/>
        <w:spacing w:before="156"/>
        <w:rPr>
          <w:rFonts w:eastAsia="宋体"/>
        </w:rPr>
      </w:pPr>
      <w:bookmarkStart w:id="33" w:name="_Ref10480448"/>
      <w:r>
        <w:rPr>
          <w:rFonts w:eastAsia="宋体"/>
        </w:rPr>
        <w:t>表</w:t>
      </w:r>
      <w:r>
        <w:rPr>
          <w:rFonts w:hint="eastAsia" w:eastAsia="宋体"/>
        </w:rPr>
        <w:t>2.5-6</w:t>
      </w:r>
      <w:bookmarkEnd w:id="33"/>
      <w:r>
        <w:rPr>
          <w:rFonts w:eastAsia="宋体"/>
        </w:rPr>
        <w:t xml:space="preserve">  地下水环境敏感程度分级表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7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8" w:type="pct"/>
            <w:tcBorders>
              <w:tl2br w:val="nil"/>
              <w:tr2bl w:val="nil"/>
            </w:tcBorders>
          </w:tcPr>
          <w:p>
            <w:pPr>
              <w:pStyle w:val="34"/>
            </w:pPr>
            <w:r>
              <w:t>敏感程度</w:t>
            </w:r>
          </w:p>
        </w:tc>
        <w:tc>
          <w:tcPr>
            <w:tcW w:w="4342" w:type="pct"/>
            <w:tcBorders>
              <w:tl2br w:val="nil"/>
              <w:tr2bl w:val="nil"/>
            </w:tcBorders>
          </w:tcPr>
          <w:p>
            <w:pPr>
              <w:pStyle w:val="34"/>
            </w:pPr>
            <w: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8" w:type="pct"/>
            <w:tcBorders>
              <w:tl2br w:val="nil"/>
              <w:tr2bl w:val="nil"/>
            </w:tcBorders>
          </w:tcPr>
          <w:p>
            <w:pPr>
              <w:pStyle w:val="34"/>
            </w:pPr>
            <w:r>
              <w:t>敏感</w:t>
            </w:r>
          </w:p>
        </w:tc>
        <w:tc>
          <w:tcPr>
            <w:tcW w:w="4342" w:type="pct"/>
            <w:tcBorders>
              <w:tl2br w:val="nil"/>
              <w:tr2bl w:val="nil"/>
            </w:tcBorders>
          </w:tcPr>
          <w:p>
            <w:pPr>
              <w:pStyle w:val="34"/>
            </w:pPr>
            <w: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8" w:type="pct"/>
            <w:tcBorders>
              <w:tl2br w:val="nil"/>
              <w:tr2bl w:val="nil"/>
            </w:tcBorders>
          </w:tcPr>
          <w:p>
            <w:pPr>
              <w:pStyle w:val="34"/>
            </w:pPr>
            <w:r>
              <w:t>较敏感</w:t>
            </w:r>
          </w:p>
        </w:tc>
        <w:tc>
          <w:tcPr>
            <w:tcW w:w="4342" w:type="pct"/>
            <w:tcBorders>
              <w:tl2br w:val="nil"/>
              <w:tr2bl w:val="nil"/>
            </w:tcBorders>
          </w:tcPr>
          <w:p>
            <w:pPr>
              <w:pStyle w:val="34"/>
            </w:pPr>
            <w:r>
              <w:t>集中式饮用水水源（包括已建成的在用、备用、应急水源，在建和规划的饮用水水源）准保护区以外的补给径流区；为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8" w:type="pct"/>
            <w:tcBorders>
              <w:tl2br w:val="nil"/>
              <w:tr2bl w:val="nil"/>
            </w:tcBorders>
          </w:tcPr>
          <w:p>
            <w:pPr>
              <w:pStyle w:val="34"/>
            </w:pPr>
            <w:r>
              <w:t>不敏感</w:t>
            </w:r>
          </w:p>
        </w:tc>
        <w:tc>
          <w:tcPr>
            <w:tcW w:w="4342" w:type="pct"/>
            <w:tcBorders>
              <w:tl2br w:val="nil"/>
              <w:tr2bl w:val="nil"/>
            </w:tcBorders>
          </w:tcPr>
          <w:p>
            <w:pPr>
              <w:pStyle w:val="34"/>
            </w:pPr>
            <w:r>
              <w:t>上述地区之外的其他地区。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tcBorders>
              <w:tl2br w:val="nil"/>
              <w:tr2bl w:val="nil"/>
            </w:tcBorders>
          </w:tcPr>
          <w:p>
            <w:pPr>
              <w:pStyle w:val="34"/>
            </w:pPr>
            <w:r>
              <w:t>注：“环境敏感区”是指《建设项目环境影响评价分类管理名录》中所界定的涉及地下水的环境敏感区。</w:t>
            </w:r>
          </w:p>
        </w:tc>
      </w:tr>
    </w:tbl>
    <w:p>
      <w:pPr>
        <w:pStyle w:val="7"/>
        <w:ind w:firstLine="480"/>
        <w:rPr>
          <w:rFonts w:cs="Times New Roman"/>
        </w:rPr>
      </w:pPr>
      <w:r>
        <w:rPr>
          <w:rFonts w:cs="Times New Roman"/>
        </w:rPr>
        <w:t>根据现场调查，项目所在评价区域范围内无集中式饮用水水源准保护区，无分散式饮用水水源地，无特殊地下水资源（如矿泉水、温泉等）保护区，判定项目所在区域地下水环境为不敏感。</w:t>
      </w:r>
    </w:p>
    <w:p>
      <w:pPr>
        <w:pStyle w:val="7"/>
        <w:ind w:firstLine="480"/>
        <w:rPr>
          <w:rFonts w:cs="Times New Roman"/>
        </w:rPr>
      </w:pPr>
      <w:r>
        <w:rPr>
          <w:rFonts w:cs="Times New Roman"/>
        </w:rPr>
        <w:t>（2）等级判定</w:t>
      </w:r>
    </w:p>
    <w:p>
      <w:pPr>
        <w:pStyle w:val="7"/>
        <w:ind w:firstLine="480"/>
        <w:rPr>
          <w:rFonts w:cs="Times New Roman"/>
        </w:rPr>
      </w:pPr>
      <w:bookmarkStart w:id="34" w:name="_Hlk60081391"/>
      <w:r>
        <w:rPr>
          <w:rFonts w:cs="Times New Roman"/>
        </w:rPr>
        <w:t>根据《环境影响评价技术导则 地下水环境》（HJ610-2016），本建设项目属Ⅲ类项目，地下水环境敏感程度分级为不敏感，地下水环境影响评价等级为三级。</w:t>
      </w:r>
      <w:bookmarkEnd w:id="34"/>
      <w:r>
        <w:rPr>
          <w:rFonts w:cs="Times New Roman"/>
        </w:rPr>
        <w:t>地下水评价工作等级划分依据见</w:t>
      </w:r>
      <w:r>
        <w:rPr>
          <w:rFonts w:hint="eastAsia" w:cs="Times New Roman"/>
        </w:rPr>
        <w:t>表2.5-7</w:t>
      </w:r>
      <w:r>
        <w:rPr>
          <w:rFonts w:cs="Times New Roman"/>
        </w:rPr>
        <w:t>。</w:t>
      </w:r>
    </w:p>
    <w:p>
      <w:pPr>
        <w:pStyle w:val="36"/>
        <w:spacing w:before="156"/>
        <w:rPr>
          <w:rFonts w:eastAsia="宋体"/>
        </w:rPr>
      </w:pPr>
      <w:bookmarkStart w:id="35" w:name="_Ref604597"/>
      <w:bookmarkStart w:id="36" w:name="_Ref23156087"/>
      <w:r>
        <w:rPr>
          <w:rFonts w:eastAsia="宋体"/>
        </w:rPr>
        <w:t>表</w:t>
      </w:r>
      <w:r>
        <w:rPr>
          <w:rFonts w:hint="eastAsia" w:eastAsia="宋体"/>
        </w:rPr>
        <w:t>2.5-7</w:t>
      </w:r>
      <w:bookmarkEnd w:id="35"/>
      <w:bookmarkEnd w:id="36"/>
      <w:r>
        <w:rPr>
          <w:rFonts w:eastAsia="宋体"/>
        </w:rPr>
        <w:t xml:space="preserve">  地下水评价工作等级分级表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9"/>
        <w:gridCol w:w="1815"/>
        <w:gridCol w:w="1813"/>
        <w:gridCol w:w="1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 w:hRule="atLeast"/>
        </w:trPr>
        <w:tc>
          <w:tcPr>
            <w:tcW w:w="1811" w:type="pct"/>
            <w:tcBorders>
              <w:tl2br w:val="single" w:color="auto" w:sz="4" w:space="0"/>
            </w:tcBorders>
            <w:vAlign w:val="center"/>
          </w:tcPr>
          <w:p>
            <w:pPr>
              <w:pStyle w:val="34"/>
            </w:pPr>
            <w:r>
              <w:t xml:space="preserve">                  项目类别</w:t>
            </w:r>
          </w:p>
          <w:p>
            <w:pPr>
              <w:pStyle w:val="34"/>
              <w:jc w:val="both"/>
            </w:pPr>
            <w:r>
              <w:t>环境敏感程度</w:t>
            </w:r>
          </w:p>
        </w:tc>
        <w:tc>
          <w:tcPr>
            <w:tcW w:w="1064" w:type="pct"/>
            <w:tcBorders>
              <w:tl2br w:val="nil"/>
              <w:tr2bl w:val="nil"/>
            </w:tcBorders>
            <w:vAlign w:val="center"/>
          </w:tcPr>
          <w:p>
            <w:pPr>
              <w:pStyle w:val="34"/>
            </w:pPr>
            <w:r>
              <w:t>Ⅰ类项目</w:t>
            </w:r>
          </w:p>
        </w:tc>
        <w:tc>
          <w:tcPr>
            <w:tcW w:w="1063" w:type="pct"/>
            <w:tcBorders>
              <w:tl2br w:val="nil"/>
              <w:tr2bl w:val="nil"/>
            </w:tcBorders>
            <w:vAlign w:val="center"/>
          </w:tcPr>
          <w:p>
            <w:pPr>
              <w:pStyle w:val="34"/>
            </w:pPr>
            <w:r>
              <w:t>Ⅱ类项目</w:t>
            </w:r>
          </w:p>
        </w:tc>
        <w:tc>
          <w:tcPr>
            <w:tcW w:w="1063" w:type="pct"/>
            <w:tcBorders>
              <w:tl2br w:val="nil"/>
              <w:tr2bl w:val="nil"/>
            </w:tcBorders>
            <w:vAlign w:val="center"/>
          </w:tcPr>
          <w:p>
            <w:pPr>
              <w:pStyle w:val="34"/>
            </w:pPr>
            <w:r>
              <w:t>Ⅲ类项目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1" w:type="pct"/>
            <w:vAlign w:val="center"/>
          </w:tcPr>
          <w:p>
            <w:pPr>
              <w:pStyle w:val="34"/>
            </w:pPr>
            <w:r>
              <w:t>敏感</w:t>
            </w:r>
          </w:p>
        </w:tc>
        <w:tc>
          <w:tcPr>
            <w:tcW w:w="1064" w:type="pct"/>
            <w:vAlign w:val="center"/>
          </w:tcPr>
          <w:p>
            <w:pPr>
              <w:pStyle w:val="34"/>
            </w:pPr>
            <w:r>
              <w:t>一</w:t>
            </w:r>
          </w:p>
        </w:tc>
        <w:tc>
          <w:tcPr>
            <w:tcW w:w="1063" w:type="pct"/>
            <w:tcBorders>
              <w:tl2br w:val="nil"/>
              <w:tr2bl w:val="nil"/>
            </w:tcBorders>
            <w:vAlign w:val="center"/>
          </w:tcPr>
          <w:p>
            <w:pPr>
              <w:pStyle w:val="34"/>
            </w:pPr>
            <w:r>
              <w:t>一</w:t>
            </w:r>
          </w:p>
        </w:tc>
        <w:tc>
          <w:tcPr>
            <w:tcW w:w="1063" w:type="pct"/>
            <w:tcBorders>
              <w:tl2br w:val="nil"/>
              <w:tr2bl w:val="nil"/>
            </w:tcBorders>
            <w:vAlign w:val="center"/>
          </w:tcPr>
          <w:p>
            <w:pPr>
              <w:pStyle w:val="34"/>
            </w:pPr>
            <w: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1" w:type="pct"/>
            <w:vAlign w:val="center"/>
          </w:tcPr>
          <w:p>
            <w:pPr>
              <w:pStyle w:val="34"/>
            </w:pPr>
            <w:r>
              <w:t>较敏感</w:t>
            </w:r>
          </w:p>
        </w:tc>
        <w:tc>
          <w:tcPr>
            <w:tcW w:w="1064" w:type="pct"/>
            <w:vAlign w:val="center"/>
          </w:tcPr>
          <w:p>
            <w:pPr>
              <w:pStyle w:val="34"/>
            </w:pPr>
            <w:r>
              <w:t>一</w:t>
            </w:r>
          </w:p>
        </w:tc>
        <w:tc>
          <w:tcPr>
            <w:tcW w:w="1063" w:type="pct"/>
            <w:tcBorders>
              <w:tl2br w:val="nil"/>
              <w:tr2bl w:val="nil"/>
            </w:tcBorders>
            <w:vAlign w:val="center"/>
          </w:tcPr>
          <w:p>
            <w:pPr>
              <w:pStyle w:val="34"/>
            </w:pPr>
            <w:r>
              <w:t>二</w:t>
            </w:r>
          </w:p>
        </w:tc>
        <w:tc>
          <w:tcPr>
            <w:tcW w:w="1063" w:type="pct"/>
            <w:tcBorders>
              <w:tl2br w:val="nil"/>
              <w:tr2bl w:val="nil"/>
            </w:tcBorders>
            <w:vAlign w:val="center"/>
          </w:tcPr>
          <w:p>
            <w:pPr>
              <w:pStyle w:val="34"/>
            </w:pPr>
            <w: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1" w:type="pct"/>
            <w:vAlign w:val="center"/>
          </w:tcPr>
          <w:p>
            <w:pPr>
              <w:pStyle w:val="34"/>
            </w:pPr>
            <w:r>
              <w:t>不敏感</w:t>
            </w:r>
          </w:p>
        </w:tc>
        <w:tc>
          <w:tcPr>
            <w:tcW w:w="1064" w:type="pct"/>
            <w:vAlign w:val="center"/>
          </w:tcPr>
          <w:p>
            <w:pPr>
              <w:pStyle w:val="34"/>
            </w:pPr>
            <w:r>
              <w:t>二</w:t>
            </w:r>
          </w:p>
        </w:tc>
        <w:tc>
          <w:tcPr>
            <w:tcW w:w="1063" w:type="pct"/>
            <w:tcBorders>
              <w:tl2br w:val="nil"/>
              <w:tr2bl w:val="nil"/>
            </w:tcBorders>
            <w:vAlign w:val="center"/>
          </w:tcPr>
          <w:p>
            <w:pPr>
              <w:pStyle w:val="34"/>
            </w:pPr>
            <w:r>
              <w:t>三</w:t>
            </w:r>
          </w:p>
        </w:tc>
        <w:tc>
          <w:tcPr>
            <w:tcW w:w="1063" w:type="pct"/>
            <w:tcBorders>
              <w:tl2br w:val="nil"/>
              <w:tr2bl w:val="nil"/>
            </w:tcBorders>
            <w:vAlign w:val="center"/>
          </w:tcPr>
          <w:p>
            <w:pPr>
              <w:pStyle w:val="34"/>
            </w:pPr>
            <w:r>
              <w:t>三</w:t>
            </w:r>
          </w:p>
        </w:tc>
      </w:tr>
    </w:tbl>
    <w:p>
      <w:pPr>
        <w:pStyle w:val="6"/>
        <w:spacing w:after="0" w:afterLines="0"/>
      </w:pPr>
      <w:r>
        <w:t>声环境评价工作等级</w:t>
      </w:r>
    </w:p>
    <w:p>
      <w:pPr>
        <w:pStyle w:val="7"/>
        <w:ind w:firstLine="480"/>
        <w:rPr>
          <w:rFonts w:cs="Times New Roman"/>
          <w:lang w:val="zh-CN"/>
        </w:rPr>
      </w:pPr>
      <w:r>
        <w:rPr>
          <w:rFonts w:cs="Times New Roman"/>
          <w:lang w:val="zh-CN"/>
        </w:rPr>
        <w:t>根据《环境影响评价技术导则 声环境》（HJ2.4-2021），本项目声环境功能区为2类，建成前后评价范围内无声环境保护目标，且受影响人口数量变化不大，据此确定本项目噪声环境影响评价工作等级为二级。声环境影响评价工作等级判据详见</w:t>
      </w:r>
      <w:r>
        <w:rPr>
          <w:rFonts w:hint="eastAsia" w:cs="Times New Roman"/>
        </w:rPr>
        <w:t>表2.5-8</w:t>
      </w:r>
      <w:r>
        <w:rPr>
          <w:rFonts w:cs="Times New Roman"/>
          <w:lang w:val="zh-CN"/>
        </w:rPr>
        <w:t>。</w:t>
      </w:r>
    </w:p>
    <w:p>
      <w:pPr>
        <w:pStyle w:val="36"/>
        <w:spacing w:before="156"/>
        <w:rPr>
          <w:rFonts w:eastAsia="宋体"/>
        </w:rPr>
      </w:pPr>
      <w:bookmarkStart w:id="37" w:name="_Ref48129105"/>
      <w:r>
        <w:rPr>
          <w:rFonts w:eastAsia="宋体"/>
        </w:rPr>
        <w:t>表</w:t>
      </w:r>
      <w:r>
        <w:rPr>
          <w:rFonts w:hint="eastAsia" w:eastAsia="宋体"/>
        </w:rPr>
        <w:t>2.5-8</w:t>
      </w:r>
      <w:bookmarkEnd w:id="37"/>
      <w:r>
        <w:rPr>
          <w:rFonts w:eastAsia="宋体"/>
        </w:rPr>
        <w:t xml:space="preserve">  声环境影响评价工作等级判据表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607"/>
        <w:gridCol w:w="3657"/>
        <w:gridCol w:w="2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pct"/>
            <w:tcBorders>
              <w:tl2br w:val="nil"/>
              <w:tr2bl w:val="nil"/>
            </w:tcBorders>
            <w:shd w:val="clear" w:color="auto" w:fill="auto"/>
            <w:vAlign w:val="center"/>
          </w:tcPr>
          <w:p>
            <w:pPr>
              <w:pStyle w:val="34"/>
            </w:pPr>
            <w:r>
              <w:t>评价等级</w:t>
            </w:r>
          </w:p>
        </w:tc>
        <w:tc>
          <w:tcPr>
            <w:tcW w:w="942" w:type="pct"/>
            <w:tcBorders>
              <w:tl2br w:val="nil"/>
              <w:tr2bl w:val="nil"/>
            </w:tcBorders>
            <w:vAlign w:val="center"/>
          </w:tcPr>
          <w:p>
            <w:pPr>
              <w:pStyle w:val="34"/>
            </w:pPr>
            <w:r>
              <w:t>声环境功能区</w:t>
            </w:r>
          </w:p>
        </w:tc>
        <w:tc>
          <w:tcPr>
            <w:tcW w:w="2144" w:type="pct"/>
            <w:tcBorders>
              <w:tl2br w:val="nil"/>
              <w:tr2bl w:val="nil"/>
            </w:tcBorders>
            <w:vAlign w:val="center"/>
          </w:tcPr>
          <w:p>
            <w:pPr>
              <w:pStyle w:val="34"/>
            </w:pPr>
            <w:r>
              <w:t>建设项目建设前后评价范围内声环境保护目标噪声级增量</w:t>
            </w:r>
          </w:p>
        </w:tc>
        <w:tc>
          <w:tcPr>
            <w:tcW w:w="1239" w:type="pct"/>
            <w:tcBorders>
              <w:tl2br w:val="nil"/>
              <w:tr2bl w:val="nil"/>
            </w:tcBorders>
            <w:shd w:val="clear" w:color="auto" w:fill="auto"/>
            <w:vAlign w:val="center"/>
          </w:tcPr>
          <w:p>
            <w:pPr>
              <w:pStyle w:val="34"/>
            </w:pPr>
            <w:r>
              <w:t>受影响人口数量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pct"/>
            <w:tcBorders>
              <w:tl2br w:val="nil"/>
              <w:tr2bl w:val="nil"/>
            </w:tcBorders>
            <w:shd w:val="clear" w:color="auto" w:fill="auto"/>
            <w:vAlign w:val="center"/>
          </w:tcPr>
          <w:p>
            <w:pPr>
              <w:pStyle w:val="34"/>
            </w:pPr>
            <w:r>
              <w:t>一级</w:t>
            </w:r>
          </w:p>
        </w:tc>
        <w:tc>
          <w:tcPr>
            <w:tcW w:w="942" w:type="pct"/>
            <w:tcBorders>
              <w:tl2br w:val="nil"/>
              <w:tr2bl w:val="nil"/>
            </w:tcBorders>
            <w:vAlign w:val="center"/>
          </w:tcPr>
          <w:p>
            <w:pPr>
              <w:pStyle w:val="34"/>
            </w:pPr>
            <w:r>
              <w:t>0类</w:t>
            </w:r>
          </w:p>
        </w:tc>
        <w:tc>
          <w:tcPr>
            <w:tcW w:w="2144" w:type="pct"/>
            <w:tcBorders>
              <w:tl2br w:val="nil"/>
              <w:tr2bl w:val="nil"/>
            </w:tcBorders>
            <w:vAlign w:val="center"/>
          </w:tcPr>
          <w:p>
            <w:pPr>
              <w:pStyle w:val="34"/>
            </w:pPr>
            <w:r>
              <w:t>（或）5 dB(A)以上（不含5dB(A)）</w:t>
            </w:r>
          </w:p>
        </w:tc>
        <w:tc>
          <w:tcPr>
            <w:tcW w:w="1239" w:type="pct"/>
            <w:tcBorders>
              <w:tl2br w:val="nil"/>
              <w:tr2bl w:val="nil"/>
            </w:tcBorders>
            <w:shd w:val="clear" w:color="auto" w:fill="auto"/>
            <w:vAlign w:val="center"/>
          </w:tcPr>
          <w:p>
            <w:pPr>
              <w:pStyle w:val="34"/>
            </w:pPr>
            <w:r>
              <w:t>（或）显著增加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pct"/>
            <w:tcBorders>
              <w:tl2br w:val="nil"/>
              <w:tr2bl w:val="nil"/>
            </w:tcBorders>
            <w:shd w:val="clear" w:color="auto" w:fill="auto"/>
            <w:vAlign w:val="center"/>
          </w:tcPr>
          <w:p>
            <w:pPr>
              <w:pStyle w:val="34"/>
            </w:pPr>
            <w:r>
              <w:t>二级</w:t>
            </w:r>
          </w:p>
        </w:tc>
        <w:tc>
          <w:tcPr>
            <w:tcW w:w="942" w:type="pct"/>
            <w:tcBorders>
              <w:tl2br w:val="nil"/>
              <w:tr2bl w:val="nil"/>
            </w:tcBorders>
            <w:vAlign w:val="center"/>
          </w:tcPr>
          <w:p>
            <w:pPr>
              <w:pStyle w:val="34"/>
            </w:pPr>
            <w:r>
              <w:t>1、2类</w:t>
            </w:r>
          </w:p>
        </w:tc>
        <w:tc>
          <w:tcPr>
            <w:tcW w:w="2144" w:type="pct"/>
            <w:tcBorders>
              <w:tl2br w:val="nil"/>
              <w:tr2bl w:val="nil"/>
            </w:tcBorders>
            <w:vAlign w:val="center"/>
          </w:tcPr>
          <w:p>
            <w:pPr>
              <w:pStyle w:val="34"/>
            </w:pPr>
            <w:r>
              <w:t>（或）3 dB(A)～5 dB(A)</w:t>
            </w:r>
          </w:p>
        </w:tc>
        <w:tc>
          <w:tcPr>
            <w:tcW w:w="1239" w:type="pct"/>
            <w:tcBorders>
              <w:tl2br w:val="nil"/>
              <w:tr2bl w:val="nil"/>
            </w:tcBorders>
            <w:shd w:val="clear" w:color="auto" w:fill="auto"/>
            <w:vAlign w:val="center"/>
          </w:tcPr>
          <w:p>
            <w:pPr>
              <w:pStyle w:val="34"/>
            </w:pPr>
            <w:r>
              <w:t>（或）增加较多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pct"/>
            <w:tcBorders>
              <w:tl2br w:val="nil"/>
              <w:tr2bl w:val="nil"/>
            </w:tcBorders>
            <w:shd w:val="clear" w:color="auto" w:fill="auto"/>
            <w:vAlign w:val="center"/>
          </w:tcPr>
          <w:p>
            <w:pPr>
              <w:pStyle w:val="34"/>
            </w:pPr>
            <w:r>
              <w:t>三级</w:t>
            </w:r>
          </w:p>
        </w:tc>
        <w:tc>
          <w:tcPr>
            <w:tcW w:w="942" w:type="pct"/>
            <w:tcBorders>
              <w:tl2br w:val="nil"/>
              <w:tr2bl w:val="nil"/>
            </w:tcBorders>
            <w:vAlign w:val="center"/>
          </w:tcPr>
          <w:p>
            <w:pPr>
              <w:pStyle w:val="34"/>
            </w:pPr>
            <w:r>
              <w:t>3、4类</w:t>
            </w:r>
          </w:p>
        </w:tc>
        <w:tc>
          <w:tcPr>
            <w:tcW w:w="2144" w:type="pct"/>
            <w:tcBorders>
              <w:tl2br w:val="nil"/>
              <w:tr2bl w:val="nil"/>
            </w:tcBorders>
            <w:vAlign w:val="center"/>
          </w:tcPr>
          <w:p>
            <w:pPr>
              <w:pStyle w:val="34"/>
            </w:pPr>
            <w:r>
              <w:t>（或）3 dB(A)以下（不含3 dB(A)）</w:t>
            </w:r>
          </w:p>
        </w:tc>
        <w:tc>
          <w:tcPr>
            <w:tcW w:w="1239" w:type="pct"/>
            <w:tcBorders>
              <w:tl2br w:val="nil"/>
              <w:tr2bl w:val="nil"/>
            </w:tcBorders>
            <w:shd w:val="clear" w:color="auto" w:fill="auto"/>
            <w:vAlign w:val="center"/>
          </w:tcPr>
          <w:p>
            <w:pPr>
              <w:pStyle w:val="34"/>
            </w:pPr>
            <w:r>
              <w:t>（且）变化不大</w:t>
            </w:r>
          </w:p>
        </w:tc>
      </w:tr>
    </w:tbl>
    <w:p>
      <w:pPr>
        <w:pStyle w:val="6"/>
        <w:spacing w:after="0" w:afterLines="0"/>
      </w:pPr>
      <w:r>
        <w:t>土壤环境评价工作等级</w:t>
      </w:r>
    </w:p>
    <w:p>
      <w:pPr>
        <w:pStyle w:val="7"/>
        <w:ind w:firstLine="480"/>
        <w:rPr>
          <w:rFonts w:cs="Times New Roman"/>
          <w:lang w:val="zh-CN"/>
        </w:rPr>
      </w:pPr>
      <w:r>
        <w:rPr>
          <w:rFonts w:cs="Times New Roman"/>
          <w:lang w:val="zh-CN"/>
        </w:rPr>
        <w:t>（1）土壤环境影响评价项目类别</w:t>
      </w:r>
    </w:p>
    <w:p>
      <w:pPr>
        <w:pStyle w:val="7"/>
        <w:ind w:firstLine="480"/>
        <w:rPr>
          <w:rFonts w:cs="Times New Roman"/>
          <w:lang w:val="zh-CN"/>
        </w:rPr>
      </w:pPr>
      <w:r>
        <w:rPr>
          <w:rFonts w:cs="Times New Roman"/>
          <w:lang w:val="zh-CN"/>
        </w:rPr>
        <w:t>根据《环境影响评价技术导则 土壤环境（试行）》（HJ964-2018），本项目土壤环境影响评价行业类别为环境和公共设施管理业</w:t>
      </w:r>
      <w:r>
        <w:rPr>
          <w:rFonts w:hint="eastAsia" w:cs="Times New Roman"/>
          <w:lang w:val="zh-CN"/>
        </w:rPr>
        <w:t>中废旧资源加工、再生利用</w:t>
      </w:r>
      <w:r>
        <w:rPr>
          <w:rFonts w:cs="Times New Roman"/>
          <w:lang w:val="zh-CN"/>
        </w:rPr>
        <w:t>，项目类别为Ⅲ类。</w:t>
      </w:r>
    </w:p>
    <w:p>
      <w:pPr>
        <w:pStyle w:val="7"/>
        <w:ind w:firstLine="480"/>
        <w:rPr>
          <w:rFonts w:cs="Times New Roman"/>
          <w:lang w:val="zh-CN"/>
        </w:rPr>
      </w:pPr>
      <w:r>
        <w:rPr>
          <w:rFonts w:cs="Times New Roman"/>
          <w:lang w:val="zh-CN"/>
        </w:rPr>
        <w:t>（2）项目占地规模</w:t>
      </w:r>
    </w:p>
    <w:p>
      <w:pPr>
        <w:pStyle w:val="7"/>
        <w:ind w:firstLine="480"/>
        <w:rPr>
          <w:rFonts w:cs="Times New Roman"/>
          <w:lang w:val="zh-CN"/>
        </w:rPr>
      </w:pPr>
      <w:r>
        <w:rPr>
          <w:rFonts w:cs="Times New Roman"/>
          <w:lang w:val="zh-CN"/>
        </w:rPr>
        <w:t>根据《环境影响评价技术导则 土壤环境（试行）》（HJ 964-2018），污染影响型项目工程永久占地面积分为大型（≥50hm</w:t>
      </w:r>
      <w:r>
        <w:rPr>
          <w:rFonts w:cs="Times New Roman"/>
          <w:vertAlign w:val="superscript"/>
          <w:lang w:val="zh-CN"/>
        </w:rPr>
        <w:t>2</w:t>
      </w:r>
      <w:r>
        <w:rPr>
          <w:rFonts w:cs="Times New Roman"/>
          <w:lang w:val="zh-CN"/>
        </w:rPr>
        <w:t>）、中型（5~50hm</w:t>
      </w:r>
      <w:r>
        <w:rPr>
          <w:rFonts w:cs="Times New Roman"/>
          <w:vertAlign w:val="superscript"/>
          <w:lang w:val="zh-CN"/>
        </w:rPr>
        <w:t>2</w:t>
      </w:r>
      <w:r>
        <w:rPr>
          <w:rFonts w:cs="Times New Roman"/>
          <w:lang w:val="zh-CN"/>
        </w:rPr>
        <w:t>）、小型（≤5hm</w:t>
      </w:r>
      <w:r>
        <w:rPr>
          <w:rFonts w:cs="Times New Roman"/>
          <w:vertAlign w:val="superscript"/>
          <w:lang w:val="zh-CN"/>
        </w:rPr>
        <w:t>2</w:t>
      </w:r>
      <w:r>
        <w:rPr>
          <w:rFonts w:cs="Times New Roman"/>
          <w:lang w:val="zh-CN"/>
        </w:rPr>
        <w:t>）三类。本项目占地面积为</w:t>
      </w:r>
      <w:r>
        <w:rPr>
          <w:rFonts w:hint="eastAsia" w:cs="Times New Roman"/>
        </w:rPr>
        <w:t>0.99744</w:t>
      </w:r>
      <w:r>
        <w:rPr>
          <w:rFonts w:cs="Times New Roman"/>
          <w:lang w:val="zh-CN"/>
        </w:rPr>
        <w:t>hm</w:t>
      </w:r>
      <w:r>
        <w:rPr>
          <w:rFonts w:cs="Times New Roman"/>
          <w:vertAlign w:val="superscript"/>
          <w:lang w:val="zh-CN"/>
        </w:rPr>
        <w:t>2</w:t>
      </w:r>
      <w:r>
        <w:rPr>
          <w:rFonts w:cs="Times New Roman"/>
          <w:lang w:val="zh-CN"/>
        </w:rPr>
        <w:t>＜5hm</w:t>
      </w:r>
      <w:r>
        <w:rPr>
          <w:rFonts w:cs="Times New Roman"/>
          <w:vertAlign w:val="superscript"/>
          <w:lang w:val="zh-CN"/>
        </w:rPr>
        <w:t>2</w:t>
      </w:r>
      <w:r>
        <w:rPr>
          <w:rFonts w:cs="Times New Roman"/>
          <w:lang w:val="zh-CN"/>
        </w:rPr>
        <w:t>，属于小型项目。</w:t>
      </w:r>
    </w:p>
    <w:p>
      <w:pPr>
        <w:pStyle w:val="7"/>
        <w:ind w:firstLine="480"/>
        <w:rPr>
          <w:rFonts w:cs="Times New Roman"/>
          <w:lang w:val="zh-CN"/>
        </w:rPr>
      </w:pPr>
      <w:r>
        <w:rPr>
          <w:rFonts w:cs="Times New Roman"/>
          <w:lang w:val="zh-CN"/>
        </w:rPr>
        <w:t>（3）土壤环境敏感程度</w:t>
      </w:r>
    </w:p>
    <w:p>
      <w:pPr>
        <w:pStyle w:val="7"/>
        <w:ind w:firstLine="480"/>
        <w:rPr>
          <w:rFonts w:cs="Times New Roman"/>
          <w:lang w:val="zh-CN"/>
        </w:rPr>
      </w:pPr>
      <w:r>
        <w:rPr>
          <w:rFonts w:cs="Times New Roman"/>
          <w:lang w:val="zh-CN"/>
        </w:rPr>
        <w:t>项目区北侧</w:t>
      </w:r>
      <w:r>
        <w:rPr>
          <w:rFonts w:cs="Times New Roman"/>
        </w:rPr>
        <w:t>100</w:t>
      </w:r>
      <w:r>
        <w:rPr>
          <w:rFonts w:cs="Times New Roman"/>
          <w:lang w:val="zh-CN"/>
        </w:rPr>
        <w:t>m以外现状为耕地，根据土壤导则判定项目周边土壤环境敏感程度为敏感。</w:t>
      </w:r>
    </w:p>
    <w:p>
      <w:pPr>
        <w:pStyle w:val="7"/>
        <w:ind w:firstLine="480"/>
        <w:rPr>
          <w:rFonts w:cs="Times New Roman"/>
          <w:lang w:val="zh-CN"/>
        </w:rPr>
      </w:pPr>
      <w:r>
        <w:rPr>
          <w:rFonts w:cs="Times New Roman"/>
          <w:lang w:val="zh-CN"/>
        </w:rPr>
        <w:t>（4）评价工作等级判定</w:t>
      </w:r>
    </w:p>
    <w:p>
      <w:pPr>
        <w:pStyle w:val="7"/>
        <w:ind w:firstLine="480"/>
        <w:rPr>
          <w:rFonts w:cs="Times New Roman"/>
          <w:lang w:val="zh-CN"/>
        </w:rPr>
      </w:pPr>
      <w:r>
        <w:rPr>
          <w:rFonts w:cs="Times New Roman"/>
          <w:lang w:val="zh-CN"/>
        </w:rPr>
        <w:t>根据《环境影响评价技术导则  土壤环境（试行）》（HJ964-2018）污染影响型评价工作等级划分</w:t>
      </w:r>
      <w:r>
        <w:rPr>
          <w:rFonts w:hint="eastAsia" w:cs="Times New Roman"/>
          <w:lang w:val="zh-CN"/>
        </w:rPr>
        <w:t>表</w:t>
      </w:r>
      <w:r>
        <w:rPr>
          <w:rFonts w:hint="eastAsia" w:cs="Times New Roman"/>
        </w:rPr>
        <w:t>表2.5-9</w:t>
      </w:r>
      <w:r>
        <w:rPr>
          <w:rFonts w:cs="Times New Roman"/>
          <w:lang w:val="zh-CN"/>
        </w:rPr>
        <w:t>，本项目土壤环境评价工作等级为三级。</w:t>
      </w:r>
    </w:p>
    <w:p>
      <w:pPr>
        <w:pStyle w:val="36"/>
        <w:spacing w:before="156"/>
        <w:rPr>
          <w:rFonts w:eastAsia="宋体"/>
        </w:rPr>
      </w:pPr>
      <w:bookmarkStart w:id="38" w:name="_Ref16154419"/>
      <w:r>
        <w:rPr>
          <w:rFonts w:eastAsia="宋体"/>
        </w:rPr>
        <w:t>表</w:t>
      </w:r>
      <w:r>
        <w:rPr>
          <w:rFonts w:hint="eastAsia" w:eastAsia="宋体"/>
        </w:rPr>
        <w:t>2.5-9</w:t>
      </w:r>
      <w:bookmarkEnd w:id="38"/>
      <w:r>
        <w:rPr>
          <w:rFonts w:eastAsia="宋体"/>
        </w:rPr>
        <w:t xml:space="preserve">  污染影响型评价工作等级划分表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709"/>
        <w:gridCol w:w="706"/>
        <w:gridCol w:w="710"/>
        <w:gridCol w:w="710"/>
        <w:gridCol w:w="710"/>
        <w:gridCol w:w="716"/>
        <w:gridCol w:w="708"/>
        <w:gridCol w:w="710"/>
        <w:gridCol w:w="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7" w:type="pct"/>
            <w:vMerge w:val="restart"/>
            <w:tcBorders>
              <w:tl2br w:val="nil"/>
              <w:tr2bl w:val="nil"/>
            </w:tcBorders>
            <w:shd w:val="clear" w:color="auto" w:fill="auto"/>
            <w:vAlign w:val="center"/>
          </w:tcPr>
          <w:p>
            <w:pPr>
              <w:pStyle w:val="34"/>
            </w:pPr>
            <w:r>
              <mc:AlternateContent>
                <mc:Choice Requires="wps">
                  <w:drawing>
                    <wp:anchor distT="0" distB="0" distL="114300" distR="114300" simplePos="0" relativeHeight="251659264" behindDoc="0" locked="0" layoutInCell="1" allowOverlap="1">
                      <wp:simplePos x="0" y="0"/>
                      <wp:positionH relativeFrom="column">
                        <wp:posOffset>555625</wp:posOffset>
                      </wp:positionH>
                      <wp:positionV relativeFrom="paragraph">
                        <wp:posOffset>5080</wp:posOffset>
                      </wp:positionV>
                      <wp:extent cx="694690" cy="666750"/>
                      <wp:effectExtent l="0" t="0" r="29210" b="19050"/>
                      <wp:wrapNone/>
                      <wp:docPr id="41" name="直接连接符 41"/>
                      <wp:cNvGraphicFramePr/>
                      <a:graphic xmlns:a="http://schemas.openxmlformats.org/drawingml/2006/main">
                        <a:graphicData uri="http://schemas.microsoft.com/office/word/2010/wordprocessingShape">
                          <wps:wsp>
                            <wps:cNvCnPr/>
                            <wps:spPr>
                              <a:xfrm flipH="1" flipV="1">
                                <a:off x="0" y="0"/>
                                <a:ext cx="694690" cy="6667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3.75pt;margin-top:0.4pt;height:52.5pt;width:54.7pt;z-index:251659264;mso-width-relative:page;mso-height-relative:page;" filled="f" stroked="t" coordsize="21600,21600" o:gfxdata="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ZjPI&#10;1gAAAAcBAAAPAAAAAAAAAAEAIAAAACIAAABkcnMvZG93bnJldi54bWxQSwECFAAUAAAACACHTuJA&#10;fbio0OoBAAC0AwAADgAAAAAAAAABACAAAAAlAQAAZHJzL2Uyb0RvYy54bWxQSwUGAAAAAAYABgBZ&#10;AQAAgQUAAAAA&#10;">
                      <v:fill on="f" focussize="0,0"/>
                      <v:stroke weight="0.5pt" color="#000000 [3213]" joinstyle="round"/>
                      <v:imagedata o:title=""/>
                      <o:lock v:ext="edit" aspectratio="f"/>
                    </v:line>
                  </w:pict>
                </mc:Fallback>
              </mc:AlternateContent>
            </w:r>
            <w:r>
              <w:t xml:space="preserve">         占地规模</w:t>
            </w:r>
          </w:p>
          <w:p>
            <w:pPr>
              <w:pStyle w:val="34"/>
            </w:pPr>
            <w: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95250</wp:posOffset>
                      </wp:positionV>
                      <wp:extent cx="1314450" cy="400050"/>
                      <wp:effectExtent l="0" t="0" r="19050" b="19050"/>
                      <wp:wrapNone/>
                      <wp:docPr id="42" name="直接连接符 42"/>
                      <wp:cNvGraphicFramePr/>
                      <a:graphic xmlns:a="http://schemas.openxmlformats.org/drawingml/2006/main">
                        <a:graphicData uri="http://schemas.microsoft.com/office/word/2010/wordprocessingShape">
                          <wps:wsp>
                            <wps:cNvCnPr/>
                            <wps:spPr>
                              <a:xfrm>
                                <a:off x="0" y="0"/>
                                <a:ext cx="1314450" cy="400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pt;margin-top:7.5pt;height:31.5pt;width:103.5pt;z-index:251660288;mso-width-relative:page;mso-height-relative:page;" filled="f" stroked="t" coordsize="21600,21600" o:gfxdata="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tFO93VAAAACQEAAA8AAAAAAAAA&#10;AQAgAAAAIgAAAGRycy9kb3ducmV2LnhtbFBLAQIUABQAAAAIAIdO4kBA/C7f2wEAAKEDAAAOAAAA&#10;AAAAAAEAIAAAACQBAABkcnMvZTJvRG9jLnhtbFBLBQYAAAAABgAGAFkBAABxBQAAAAA=&#10;">
                      <v:fill on="f" focussize="0,0"/>
                      <v:stroke weight="0.5pt" color="#000000 [3213]" joinstyle="round"/>
                      <v:imagedata o:title=""/>
                      <o:lock v:ext="edit" aspectratio="f"/>
                    </v:line>
                  </w:pict>
                </mc:Fallback>
              </mc:AlternateContent>
            </w:r>
            <w:r>
              <w:t>评价工作等级</w:t>
            </w:r>
          </w:p>
          <w:p>
            <w:pPr>
              <w:pStyle w:val="34"/>
            </w:pPr>
          </w:p>
          <w:p>
            <w:pPr>
              <w:pStyle w:val="34"/>
            </w:pPr>
            <w:r>
              <w:t>敏感程度</w:t>
            </w:r>
          </w:p>
        </w:tc>
        <w:tc>
          <w:tcPr>
            <w:tcW w:w="1246" w:type="pct"/>
            <w:gridSpan w:val="3"/>
            <w:tcBorders>
              <w:tl2br w:val="nil"/>
              <w:tr2bl w:val="nil"/>
            </w:tcBorders>
            <w:shd w:val="clear" w:color="auto" w:fill="auto"/>
            <w:vAlign w:val="center"/>
          </w:tcPr>
          <w:p>
            <w:pPr>
              <w:pStyle w:val="34"/>
            </w:pPr>
            <w:r>
              <w:t>Ⅰ类项目</w:t>
            </w:r>
          </w:p>
        </w:tc>
        <w:tc>
          <w:tcPr>
            <w:tcW w:w="1252" w:type="pct"/>
            <w:gridSpan w:val="3"/>
            <w:tcBorders>
              <w:tl2br w:val="nil"/>
              <w:tr2bl w:val="nil"/>
            </w:tcBorders>
            <w:shd w:val="clear" w:color="auto" w:fill="auto"/>
            <w:vAlign w:val="center"/>
          </w:tcPr>
          <w:p>
            <w:pPr>
              <w:pStyle w:val="34"/>
            </w:pPr>
            <w:r>
              <w:t>Ⅱ类项目</w:t>
            </w:r>
          </w:p>
        </w:tc>
        <w:tc>
          <w:tcPr>
            <w:tcW w:w="1275" w:type="pct"/>
            <w:gridSpan w:val="3"/>
            <w:tcBorders>
              <w:tl2br w:val="nil"/>
              <w:tr2bl w:val="nil"/>
            </w:tcBorders>
            <w:shd w:val="clear" w:color="auto" w:fill="auto"/>
            <w:vAlign w:val="center"/>
          </w:tcPr>
          <w:p>
            <w:pPr>
              <w:pStyle w:val="34"/>
            </w:pPr>
            <w:r>
              <w:t>Ⅲ类项目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7" w:type="pct"/>
            <w:vMerge w:val="continue"/>
            <w:tcBorders>
              <w:tl2br w:val="nil"/>
              <w:tr2bl w:val="nil"/>
            </w:tcBorders>
            <w:shd w:val="clear" w:color="auto" w:fill="auto"/>
            <w:vAlign w:val="center"/>
          </w:tcPr>
          <w:p>
            <w:pPr>
              <w:pStyle w:val="34"/>
            </w:pPr>
          </w:p>
        </w:tc>
        <w:tc>
          <w:tcPr>
            <w:tcW w:w="416" w:type="pct"/>
            <w:tcBorders>
              <w:tl2br w:val="nil"/>
              <w:tr2bl w:val="nil"/>
            </w:tcBorders>
            <w:shd w:val="clear" w:color="auto" w:fill="auto"/>
            <w:vAlign w:val="center"/>
          </w:tcPr>
          <w:p>
            <w:pPr>
              <w:pStyle w:val="34"/>
            </w:pPr>
            <w:r>
              <w:t>大</w:t>
            </w:r>
          </w:p>
        </w:tc>
        <w:tc>
          <w:tcPr>
            <w:tcW w:w="414" w:type="pct"/>
            <w:tcBorders>
              <w:tl2br w:val="nil"/>
              <w:tr2bl w:val="nil"/>
            </w:tcBorders>
            <w:shd w:val="clear" w:color="auto" w:fill="auto"/>
            <w:vAlign w:val="center"/>
          </w:tcPr>
          <w:p>
            <w:pPr>
              <w:pStyle w:val="34"/>
            </w:pPr>
            <w:r>
              <w:t>中</w:t>
            </w:r>
          </w:p>
        </w:tc>
        <w:tc>
          <w:tcPr>
            <w:tcW w:w="416" w:type="pct"/>
            <w:tcBorders>
              <w:tl2br w:val="nil"/>
              <w:tr2bl w:val="nil"/>
            </w:tcBorders>
            <w:shd w:val="clear" w:color="auto" w:fill="auto"/>
            <w:vAlign w:val="center"/>
          </w:tcPr>
          <w:p>
            <w:pPr>
              <w:pStyle w:val="34"/>
            </w:pPr>
            <w:r>
              <w:t>小</w:t>
            </w:r>
          </w:p>
        </w:tc>
        <w:tc>
          <w:tcPr>
            <w:tcW w:w="416" w:type="pct"/>
            <w:tcBorders>
              <w:tl2br w:val="nil"/>
              <w:tr2bl w:val="nil"/>
            </w:tcBorders>
            <w:shd w:val="clear" w:color="auto" w:fill="auto"/>
            <w:vAlign w:val="center"/>
          </w:tcPr>
          <w:p>
            <w:pPr>
              <w:pStyle w:val="34"/>
            </w:pPr>
            <w:r>
              <w:t>大</w:t>
            </w:r>
          </w:p>
        </w:tc>
        <w:tc>
          <w:tcPr>
            <w:tcW w:w="416" w:type="pct"/>
            <w:tcBorders>
              <w:tl2br w:val="nil"/>
              <w:tr2bl w:val="nil"/>
            </w:tcBorders>
            <w:shd w:val="clear" w:color="auto" w:fill="auto"/>
            <w:vAlign w:val="center"/>
          </w:tcPr>
          <w:p>
            <w:pPr>
              <w:pStyle w:val="34"/>
            </w:pPr>
            <w:r>
              <w:t>中</w:t>
            </w:r>
          </w:p>
        </w:tc>
        <w:tc>
          <w:tcPr>
            <w:tcW w:w="420" w:type="pct"/>
            <w:tcBorders>
              <w:tl2br w:val="nil"/>
              <w:tr2bl w:val="nil"/>
            </w:tcBorders>
            <w:shd w:val="clear" w:color="auto" w:fill="auto"/>
            <w:vAlign w:val="center"/>
          </w:tcPr>
          <w:p>
            <w:pPr>
              <w:pStyle w:val="34"/>
            </w:pPr>
            <w:r>
              <w:t>小</w:t>
            </w:r>
          </w:p>
        </w:tc>
        <w:tc>
          <w:tcPr>
            <w:tcW w:w="415" w:type="pct"/>
            <w:tcBorders>
              <w:tl2br w:val="nil"/>
              <w:tr2bl w:val="nil"/>
            </w:tcBorders>
            <w:shd w:val="clear" w:color="auto" w:fill="auto"/>
            <w:vAlign w:val="center"/>
          </w:tcPr>
          <w:p>
            <w:pPr>
              <w:pStyle w:val="34"/>
            </w:pPr>
            <w:r>
              <w:t>大</w:t>
            </w:r>
          </w:p>
        </w:tc>
        <w:tc>
          <w:tcPr>
            <w:tcW w:w="416" w:type="pct"/>
            <w:tcBorders>
              <w:tl2br w:val="nil"/>
              <w:tr2bl w:val="nil"/>
            </w:tcBorders>
            <w:shd w:val="clear" w:color="auto" w:fill="auto"/>
            <w:vAlign w:val="center"/>
          </w:tcPr>
          <w:p>
            <w:pPr>
              <w:pStyle w:val="34"/>
            </w:pPr>
            <w:r>
              <w:t>中</w:t>
            </w:r>
          </w:p>
        </w:tc>
        <w:tc>
          <w:tcPr>
            <w:tcW w:w="444" w:type="pct"/>
            <w:tcBorders>
              <w:tl2br w:val="nil"/>
              <w:tr2bl w:val="nil"/>
            </w:tcBorders>
            <w:shd w:val="clear" w:color="auto" w:fill="auto"/>
            <w:vAlign w:val="center"/>
          </w:tcPr>
          <w:p>
            <w:pPr>
              <w:pStyle w:val="34"/>
            </w:pPr>
            <w: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7" w:type="pct"/>
            <w:tcBorders>
              <w:tl2br w:val="nil"/>
              <w:tr2bl w:val="nil"/>
            </w:tcBorders>
            <w:shd w:val="clear" w:color="auto" w:fill="auto"/>
            <w:vAlign w:val="center"/>
          </w:tcPr>
          <w:p>
            <w:pPr>
              <w:pStyle w:val="34"/>
            </w:pPr>
            <w:r>
              <w:t>敏感</w:t>
            </w:r>
          </w:p>
        </w:tc>
        <w:tc>
          <w:tcPr>
            <w:tcW w:w="416" w:type="pct"/>
            <w:tcBorders>
              <w:tl2br w:val="nil"/>
              <w:tr2bl w:val="nil"/>
            </w:tcBorders>
            <w:shd w:val="clear" w:color="auto" w:fill="auto"/>
            <w:vAlign w:val="center"/>
          </w:tcPr>
          <w:p>
            <w:pPr>
              <w:pStyle w:val="34"/>
            </w:pPr>
            <w:r>
              <w:t>一级</w:t>
            </w:r>
          </w:p>
        </w:tc>
        <w:tc>
          <w:tcPr>
            <w:tcW w:w="414" w:type="pct"/>
            <w:tcBorders>
              <w:tl2br w:val="nil"/>
              <w:tr2bl w:val="nil"/>
            </w:tcBorders>
            <w:shd w:val="clear" w:color="auto" w:fill="auto"/>
            <w:vAlign w:val="center"/>
          </w:tcPr>
          <w:p>
            <w:pPr>
              <w:pStyle w:val="34"/>
            </w:pPr>
            <w:r>
              <w:t>一级</w:t>
            </w:r>
          </w:p>
        </w:tc>
        <w:tc>
          <w:tcPr>
            <w:tcW w:w="416" w:type="pct"/>
            <w:tcBorders>
              <w:tl2br w:val="nil"/>
              <w:tr2bl w:val="nil"/>
            </w:tcBorders>
            <w:shd w:val="clear" w:color="auto" w:fill="auto"/>
            <w:vAlign w:val="center"/>
          </w:tcPr>
          <w:p>
            <w:pPr>
              <w:pStyle w:val="34"/>
            </w:pPr>
            <w:r>
              <w:t>一级</w:t>
            </w:r>
          </w:p>
        </w:tc>
        <w:tc>
          <w:tcPr>
            <w:tcW w:w="416" w:type="pct"/>
            <w:tcBorders>
              <w:tl2br w:val="nil"/>
              <w:tr2bl w:val="nil"/>
            </w:tcBorders>
            <w:shd w:val="clear" w:color="auto" w:fill="auto"/>
            <w:vAlign w:val="center"/>
          </w:tcPr>
          <w:p>
            <w:pPr>
              <w:pStyle w:val="34"/>
            </w:pPr>
            <w:r>
              <w:t>二级</w:t>
            </w:r>
          </w:p>
        </w:tc>
        <w:tc>
          <w:tcPr>
            <w:tcW w:w="416" w:type="pct"/>
            <w:tcBorders>
              <w:tl2br w:val="nil"/>
              <w:tr2bl w:val="nil"/>
            </w:tcBorders>
            <w:shd w:val="clear" w:color="auto" w:fill="auto"/>
            <w:vAlign w:val="center"/>
          </w:tcPr>
          <w:p>
            <w:pPr>
              <w:pStyle w:val="34"/>
            </w:pPr>
            <w:r>
              <w:t>二级</w:t>
            </w:r>
          </w:p>
        </w:tc>
        <w:tc>
          <w:tcPr>
            <w:tcW w:w="420" w:type="pct"/>
            <w:tcBorders>
              <w:tl2br w:val="nil"/>
              <w:tr2bl w:val="nil"/>
            </w:tcBorders>
            <w:shd w:val="clear" w:color="auto" w:fill="auto"/>
            <w:vAlign w:val="center"/>
          </w:tcPr>
          <w:p>
            <w:pPr>
              <w:pStyle w:val="34"/>
            </w:pPr>
            <w:r>
              <w:t>二级</w:t>
            </w:r>
          </w:p>
        </w:tc>
        <w:tc>
          <w:tcPr>
            <w:tcW w:w="415" w:type="pct"/>
            <w:tcBorders>
              <w:tl2br w:val="nil"/>
              <w:tr2bl w:val="nil"/>
            </w:tcBorders>
            <w:shd w:val="clear" w:color="auto" w:fill="auto"/>
            <w:vAlign w:val="center"/>
          </w:tcPr>
          <w:p>
            <w:pPr>
              <w:pStyle w:val="34"/>
            </w:pPr>
            <w:r>
              <w:t>三级</w:t>
            </w:r>
          </w:p>
        </w:tc>
        <w:tc>
          <w:tcPr>
            <w:tcW w:w="416" w:type="pct"/>
            <w:tcBorders>
              <w:tl2br w:val="nil"/>
              <w:tr2bl w:val="nil"/>
            </w:tcBorders>
            <w:shd w:val="clear" w:color="auto" w:fill="auto"/>
            <w:vAlign w:val="center"/>
          </w:tcPr>
          <w:p>
            <w:pPr>
              <w:pStyle w:val="34"/>
            </w:pPr>
            <w:r>
              <w:t>三级</w:t>
            </w:r>
          </w:p>
        </w:tc>
        <w:tc>
          <w:tcPr>
            <w:tcW w:w="444" w:type="pct"/>
            <w:tcBorders>
              <w:tl2br w:val="nil"/>
              <w:tr2bl w:val="nil"/>
            </w:tcBorders>
            <w:shd w:val="clear" w:color="auto" w:fill="auto"/>
            <w:vAlign w:val="center"/>
          </w:tcPr>
          <w:p>
            <w:pPr>
              <w:pStyle w:val="34"/>
            </w:pPr>
            <w: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7" w:type="pct"/>
            <w:tcBorders>
              <w:tl2br w:val="nil"/>
              <w:tr2bl w:val="nil"/>
            </w:tcBorders>
            <w:shd w:val="clear" w:color="auto" w:fill="auto"/>
            <w:vAlign w:val="center"/>
          </w:tcPr>
          <w:p>
            <w:pPr>
              <w:pStyle w:val="34"/>
            </w:pPr>
            <w:r>
              <w:t>较敏感</w:t>
            </w:r>
          </w:p>
        </w:tc>
        <w:tc>
          <w:tcPr>
            <w:tcW w:w="416" w:type="pct"/>
            <w:tcBorders>
              <w:tl2br w:val="nil"/>
              <w:tr2bl w:val="nil"/>
            </w:tcBorders>
            <w:shd w:val="clear" w:color="auto" w:fill="auto"/>
            <w:vAlign w:val="center"/>
          </w:tcPr>
          <w:p>
            <w:pPr>
              <w:pStyle w:val="34"/>
            </w:pPr>
            <w:r>
              <w:t>一级</w:t>
            </w:r>
          </w:p>
        </w:tc>
        <w:tc>
          <w:tcPr>
            <w:tcW w:w="414" w:type="pct"/>
            <w:tcBorders>
              <w:tl2br w:val="nil"/>
              <w:tr2bl w:val="nil"/>
            </w:tcBorders>
            <w:shd w:val="clear" w:color="auto" w:fill="auto"/>
            <w:vAlign w:val="center"/>
          </w:tcPr>
          <w:p>
            <w:pPr>
              <w:pStyle w:val="34"/>
            </w:pPr>
            <w:r>
              <w:t>一级</w:t>
            </w:r>
          </w:p>
        </w:tc>
        <w:tc>
          <w:tcPr>
            <w:tcW w:w="416" w:type="pct"/>
            <w:tcBorders>
              <w:tl2br w:val="nil"/>
              <w:tr2bl w:val="nil"/>
            </w:tcBorders>
            <w:shd w:val="clear" w:color="auto" w:fill="auto"/>
            <w:vAlign w:val="center"/>
          </w:tcPr>
          <w:p>
            <w:pPr>
              <w:pStyle w:val="34"/>
            </w:pPr>
            <w:r>
              <w:t>二级</w:t>
            </w:r>
          </w:p>
        </w:tc>
        <w:tc>
          <w:tcPr>
            <w:tcW w:w="416" w:type="pct"/>
            <w:tcBorders>
              <w:tl2br w:val="nil"/>
              <w:tr2bl w:val="nil"/>
            </w:tcBorders>
            <w:shd w:val="clear" w:color="auto" w:fill="auto"/>
            <w:vAlign w:val="center"/>
          </w:tcPr>
          <w:p>
            <w:pPr>
              <w:pStyle w:val="34"/>
            </w:pPr>
            <w:r>
              <w:t>二级</w:t>
            </w:r>
          </w:p>
        </w:tc>
        <w:tc>
          <w:tcPr>
            <w:tcW w:w="416" w:type="pct"/>
            <w:tcBorders>
              <w:tl2br w:val="nil"/>
              <w:tr2bl w:val="nil"/>
            </w:tcBorders>
            <w:shd w:val="clear" w:color="auto" w:fill="auto"/>
            <w:vAlign w:val="center"/>
          </w:tcPr>
          <w:p>
            <w:pPr>
              <w:pStyle w:val="34"/>
            </w:pPr>
            <w:r>
              <w:t>二级</w:t>
            </w:r>
          </w:p>
        </w:tc>
        <w:tc>
          <w:tcPr>
            <w:tcW w:w="420" w:type="pct"/>
            <w:tcBorders>
              <w:tl2br w:val="nil"/>
              <w:tr2bl w:val="nil"/>
            </w:tcBorders>
            <w:shd w:val="clear" w:color="auto" w:fill="auto"/>
            <w:vAlign w:val="center"/>
          </w:tcPr>
          <w:p>
            <w:pPr>
              <w:pStyle w:val="34"/>
            </w:pPr>
            <w:r>
              <w:t>三级</w:t>
            </w:r>
          </w:p>
        </w:tc>
        <w:tc>
          <w:tcPr>
            <w:tcW w:w="415" w:type="pct"/>
            <w:tcBorders>
              <w:tl2br w:val="nil"/>
              <w:tr2bl w:val="nil"/>
            </w:tcBorders>
            <w:shd w:val="clear" w:color="auto" w:fill="auto"/>
            <w:vAlign w:val="center"/>
          </w:tcPr>
          <w:p>
            <w:pPr>
              <w:pStyle w:val="34"/>
            </w:pPr>
            <w:r>
              <w:t>三级</w:t>
            </w:r>
          </w:p>
        </w:tc>
        <w:tc>
          <w:tcPr>
            <w:tcW w:w="416" w:type="pct"/>
            <w:tcBorders>
              <w:tl2br w:val="nil"/>
              <w:tr2bl w:val="nil"/>
            </w:tcBorders>
            <w:shd w:val="clear" w:color="auto" w:fill="auto"/>
            <w:vAlign w:val="center"/>
          </w:tcPr>
          <w:p>
            <w:pPr>
              <w:pStyle w:val="34"/>
            </w:pPr>
            <w:r>
              <w:t>三级</w:t>
            </w:r>
          </w:p>
        </w:tc>
        <w:tc>
          <w:tcPr>
            <w:tcW w:w="444" w:type="pct"/>
            <w:tcBorders>
              <w:tl2br w:val="nil"/>
              <w:tr2bl w:val="nil"/>
            </w:tcBorders>
            <w:shd w:val="clear" w:color="auto" w:fill="auto"/>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7" w:type="pct"/>
            <w:tcBorders>
              <w:tl2br w:val="nil"/>
              <w:tr2bl w:val="nil"/>
            </w:tcBorders>
            <w:shd w:val="clear" w:color="auto" w:fill="auto"/>
            <w:vAlign w:val="center"/>
          </w:tcPr>
          <w:p>
            <w:pPr>
              <w:pStyle w:val="34"/>
            </w:pPr>
            <w:r>
              <w:t>不敏感</w:t>
            </w:r>
          </w:p>
        </w:tc>
        <w:tc>
          <w:tcPr>
            <w:tcW w:w="416" w:type="pct"/>
            <w:tcBorders>
              <w:tl2br w:val="nil"/>
              <w:tr2bl w:val="nil"/>
            </w:tcBorders>
            <w:shd w:val="clear" w:color="auto" w:fill="auto"/>
            <w:vAlign w:val="center"/>
          </w:tcPr>
          <w:p>
            <w:pPr>
              <w:pStyle w:val="34"/>
            </w:pPr>
            <w:r>
              <w:t>一级</w:t>
            </w:r>
          </w:p>
        </w:tc>
        <w:tc>
          <w:tcPr>
            <w:tcW w:w="414" w:type="pct"/>
            <w:tcBorders>
              <w:tl2br w:val="nil"/>
              <w:tr2bl w:val="nil"/>
            </w:tcBorders>
            <w:shd w:val="clear" w:color="auto" w:fill="auto"/>
            <w:vAlign w:val="center"/>
          </w:tcPr>
          <w:p>
            <w:pPr>
              <w:pStyle w:val="34"/>
            </w:pPr>
            <w:r>
              <w:t>二级</w:t>
            </w:r>
          </w:p>
        </w:tc>
        <w:tc>
          <w:tcPr>
            <w:tcW w:w="416" w:type="pct"/>
            <w:tcBorders>
              <w:tl2br w:val="nil"/>
              <w:tr2bl w:val="nil"/>
            </w:tcBorders>
            <w:shd w:val="clear" w:color="auto" w:fill="auto"/>
            <w:vAlign w:val="center"/>
          </w:tcPr>
          <w:p>
            <w:pPr>
              <w:pStyle w:val="34"/>
            </w:pPr>
            <w:r>
              <w:t>二级</w:t>
            </w:r>
          </w:p>
        </w:tc>
        <w:tc>
          <w:tcPr>
            <w:tcW w:w="416" w:type="pct"/>
            <w:tcBorders>
              <w:tl2br w:val="nil"/>
              <w:tr2bl w:val="nil"/>
            </w:tcBorders>
            <w:shd w:val="clear" w:color="auto" w:fill="auto"/>
            <w:vAlign w:val="center"/>
          </w:tcPr>
          <w:p>
            <w:pPr>
              <w:pStyle w:val="34"/>
            </w:pPr>
            <w:r>
              <w:t>二级</w:t>
            </w:r>
          </w:p>
        </w:tc>
        <w:tc>
          <w:tcPr>
            <w:tcW w:w="416" w:type="pct"/>
            <w:tcBorders>
              <w:tl2br w:val="nil"/>
              <w:tr2bl w:val="nil"/>
            </w:tcBorders>
            <w:shd w:val="clear" w:color="auto" w:fill="auto"/>
            <w:vAlign w:val="center"/>
          </w:tcPr>
          <w:p>
            <w:pPr>
              <w:pStyle w:val="34"/>
            </w:pPr>
            <w:r>
              <w:t>三级</w:t>
            </w:r>
          </w:p>
        </w:tc>
        <w:tc>
          <w:tcPr>
            <w:tcW w:w="420" w:type="pct"/>
            <w:tcBorders>
              <w:tl2br w:val="nil"/>
              <w:tr2bl w:val="nil"/>
            </w:tcBorders>
            <w:shd w:val="clear" w:color="auto" w:fill="auto"/>
            <w:vAlign w:val="center"/>
          </w:tcPr>
          <w:p>
            <w:pPr>
              <w:pStyle w:val="34"/>
            </w:pPr>
            <w:r>
              <w:t>三级</w:t>
            </w:r>
          </w:p>
        </w:tc>
        <w:tc>
          <w:tcPr>
            <w:tcW w:w="415" w:type="pct"/>
            <w:tcBorders>
              <w:tl2br w:val="nil"/>
              <w:tr2bl w:val="nil"/>
            </w:tcBorders>
            <w:shd w:val="clear" w:color="auto" w:fill="auto"/>
            <w:vAlign w:val="center"/>
          </w:tcPr>
          <w:p>
            <w:pPr>
              <w:pStyle w:val="34"/>
            </w:pPr>
            <w:r>
              <w:t>三级</w:t>
            </w:r>
          </w:p>
        </w:tc>
        <w:tc>
          <w:tcPr>
            <w:tcW w:w="416" w:type="pct"/>
            <w:tcBorders>
              <w:tl2br w:val="nil"/>
              <w:tr2bl w:val="nil"/>
            </w:tcBorders>
            <w:shd w:val="clear" w:color="auto" w:fill="auto"/>
            <w:vAlign w:val="center"/>
          </w:tcPr>
          <w:p>
            <w:pPr>
              <w:pStyle w:val="34"/>
            </w:pPr>
            <w:r>
              <w:t>—</w:t>
            </w:r>
          </w:p>
        </w:tc>
        <w:tc>
          <w:tcPr>
            <w:tcW w:w="444" w:type="pct"/>
            <w:tcBorders>
              <w:tl2br w:val="nil"/>
              <w:tr2bl w:val="nil"/>
            </w:tcBorders>
            <w:shd w:val="clear" w:color="auto" w:fill="auto"/>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0"/>
            <w:tcBorders>
              <w:tl2br w:val="nil"/>
              <w:tr2bl w:val="nil"/>
            </w:tcBorders>
            <w:shd w:val="clear" w:color="auto" w:fill="auto"/>
            <w:vAlign w:val="center"/>
          </w:tcPr>
          <w:p>
            <w:pPr>
              <w:pStyle w:val="34"/>
            </w:pPr>
            <w:r>
              <w:t>注：“—”表示可不开展土壤环境影响评价</w:t>
            </w:r>
          </w:p>
        </w:tc>
      </w:tr>
    </w:tbl>
    <w:p>
      <w:pPr>
        <w:pStyle w:val="6"/>
        <w:spacing w:after="0" w:afterLines="0"/>
      </w:pPr>
      <w:r>
        <w:t>生态影响评价等级</w:t>
      </w:r>
    </w:p>
    <w:p>
      <w:pPr>
        <w:pStyle w:val="7"/>
        <w:ind w:firstLine="480"/>
        <w:rPr>
          <w:rFonts w:cs="Times New Roman"/>
        </w:rPr>
      </w:pPr>
      <w:r>
        <w:rPr>
          <w:rFonts w:cs="Times New Roman"/>
        </w:rPr>
        <w:t>根据《环境影响评价技术导则 生态影响》（HJ19-2022）评价等级判定原则，本项目不涉及国家公园、自然保护区、世界自然遗产、重要生境、生态保护红线；项目地表水评价等级为三级B；项目生态影响范围内无天然林、公益林、湿地等生态保护目标；项目总占地面积为0.0099744km</w:t>
      </w:r>
      <w:r>
        <w:rPr>
          <w:rFonts w:cs="Times New Roman"/>
          <w:vertAlign w:val="superscript"/>
        </w:rPr>
        <w:t>2</w:t>
      </w:r>
      <w:r>
        <w:rPr>
          <w:rFonts w:cs="Times New Roman"/>
        </w:rPr>
        <w:t>，占地范围小于20km</w:t>
      </w:r>
      <w:r>
        <w:rPr>
          <w:rFonts w:cs="Times New Roman"/>
          <w:vertAlign w:val="superscript"/>
        </w:rPr>
        <w:t>2</w:t>
      </w:r>
      <w:r>
        <w:rPr>
          <w:rFonts w:cs="Times New Roman"/>
        </w:rPr>
        <w:t>。根据导则确定本项目生态影响评价等级为三级。</w:t>
      </w:r>
    </w:p>
    <w:p>
      <w:pPr>
        <w:pStyle w:val="6"/>
        <w:spacing w:after="0" w:afterLines="0"/>
      </w:pPr>
      <w:r>
        <w:t>环境风险评价工作等级</w:t>
      </w:r>
    </w:p>
    <w:p>
      <w:pPr>
        <w:pStyle w:val="7"/>
        <w:ind w:firstLine="480"/>
        <w:rPr>
          <w:rFonts w:cs="Times New Roman"/>
        </w:rPr>
      </w:pPr>
      <w:r>
        <w:rPr>
          <w:rFonts w:cs="Times New Roman"/>
        </w:rPr>
        <w:t>依据《建设项目环境风险评价技术导则》（HJ169-2018）中评价工作等级划分要求，本项目Q&lt;1，环境风险潜势为Ⅰ，环境风险评价工作等级为简单分析。</w:t>
      </w:r>
    </w:p>
    <w:p>
      <w:pPr>
        <w:pStyle w:val="7"/>
        <w:ind w:firstLine="480"/>
        <w:rPr>
          <w:rFonts w:cs="Times New Roman"/>
        </w:rPr>
      </w:pPr>
      <w:r>
        <w:rPr>
          <w:rFonts w:cs="Times New Roman"/>
        </w:rPr>
        <w:t>环境风险评价工作等级划分依据见</w:t>
      </w:r>
      <w:r>
        <w:rPr>
          <w:rFonts w:hint="eastAsia" w:cs="Times New Roman"/>
        </w:rPr>
        <w:t>表2.5-10</w:t>
      </w:r>
      <w:r>
        <w:rPr>
          <w:rFonts w:cs="Times New Roman"/>
        </w:rPr>
        <w:t>。</w:t>
      </w:r>
    </w:p>
    <w:p>
      <w:pPr>
        <w:pStyle w:val="36"/>
        <w:spacing w:before="156"/>
        <w:rPr>
          <w:rFonts w:eastAsia="宋体"/>
        </w:rPr>
      </w:pPr>
      <w:bookmarkStart w:id="39" w:name="_Ref16157468"/>
      <w:r>
        <w:rPr>
          <w:rFonts w:eastAsia="宋体"/>
        </w:rPr>
        <w:t>表</w:t>
      </w:r>
      <w:r>
        <w:rPr>
          <w:rFonts w:hint="eastAsia" w:eastAsia="宋体"/>
        </w:rPr>
        <w:t>2.5-10</w:t>
      </w:r>
      <w:bookmarkEnd w:id="39"/>
      <w:r>
        <w:rPr>
          <w:rFonts w:eastAsia="宋体"/>
        </w:rPr>
        <w:t xml:space="preserve">  风险评价工作级别划分一览表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2"/>
        <w:gridCol w:w="1648"/>
        <w:gridCol w:w="1733"/>
        <w:gridCol w:w="1892"/>
        <w:gridCol w:w="14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tcBorders>
              <w:tl2br w:val="nil"/>
              <w:tr2bl w:val="nil"/>
            </w:tcBorders>
            <w:vAlign w:val="center"/>
          </w:tcPr>
          <w:p>
            <w:pPr>
              <w:pStyle w:val="34"/>
            </w:pPr>
            <w:r>
              <w:t>环境风险潜势</w:t>
            </w:r>
          </w:p>
        </w:tc>
        <w:tc>
          <w:tcPr>
            <w:tcW w:w="966" w:type="pct"/>
            <w:tcBorders>
              <w:tl2br w:val="nil"/>
              <w:tr2bl w:val="nil"/>
            </w:tcBorders>
            <w:vAlign w:val="center"/>
          </w:tcPr>
          <w:p>
            <w:pPr>
              <w:pStyle w:val="34"/>
            </w:pPr>
            <w:r>
              <w:t>Ⅳ、Ⅳ</w:t>
            </w:r>
            <w:r>
              <w:rPr>
                <w:vertAlign w:val="superscript"/>
              </w:rPr>
              <w:t>+</w:t>
            </w:r>
          </w:p>
        </w:tc>
        <w:tc>
          <w:tcPr>
            <w:tcW w:w="1016" w:type="pct"/>
            <w:tcBorders>
              <w:tl2br w:val="nil"/>
              <w:tr2bl w:val="nil"/>
            </w:tcBorders>
            <w:vAlign w:val="center"/>
          </w:tcPr>
          <w:p>
            <w:pPr>
              <w:pStyle w:val="34"/>
            </w:pPr>
            <w:r>
              <w:t>Ⅲ</w:t>
            </w:r>
          </w:p>
        </w:tc>
        <w:tc>
          <w:tcPr>
            <w:tcW w:w="1109" w:type="pct"/>
            <w:tcBorders>
              <w:tl2br w:val="nil"/>
              <w:tr2bl w:val="nil"/>
            </w:tcBorders>
            <w:vAlign w:val="center"/>
          </w:tcPr>
          <w:p>
            <w:pPr>
              <w:pStyle w:val="34"/>
            </w:pPr>
            <w:r>
              <w:t>Ⅱ</w:t>
            </w:r>
          </w:p>
        </w:tc>
        <w:tc>
          <w:tcPr>
            <w:tcW w:w="858" w:type="pct"/>
            <w:tcBorders>
              <w:tl2br w:val="nil"/>
              <w:tr2bl w:val="nil"/>
            </w:tcBorders>
            <w:vAlign w:val="center"/>
          </w:tcPr>
          <w:p>
            <w:pPr>
              <w:pStyle w:val="34"/>
            </w:pPr>
            <w: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tcBorders>
              <w:tl2br w:val="nil"/>
              <w:tr2bl w:val="nil"/>
            </w:tcBorders>
            <w:vAlign w:val="center"/>
          </w:tcPr>
          <w:p>
            <w:pPr>
              <w:pStyle w:val="34"/>
            </w:pPr>
            <w:r>
              <w:t>评价工作等级</w:t>
            </w:r>
          </w:p>
        </w:tc>
        <w:tc>
          <w:tcPr>
            <w:tcW w:w="966" w:type="pct"/>
            <w:tcBorders>
              <w:tl2br w:val="nil"/>
              <w:tr2bl w:val="nil"/>
            </w:tcBorders>
            <w:vAlign w:val="center"/>
          </w:tcPr>
          <w:p>
            <w:pPr>
              <w:pStyle w:val="34"/>
            </w:pPr>
            <w:r>
              <w:t>一</w:t>
            </w:r>
          </w:p>
        </w:tc>
        <w:tc>
          <w:tcPr>
            <w:tcW w:w="1016" w:type="pct"/>
            <w:tcBorders>
              <w:tl2br w:val="nil"/>
              <w:tr2bl w:val="nil"/>
            </w:tcBorders>
            <w:vAlign w:val="center"/>
          </w:tcPr>
          <w:p>
            <w:pPr>
              <w:pStyle w:val="34"/>
            </w:pPr>
            <w:r>
              <w:t>二</w:t>
            </w:r>
          </w:p>
        </w:tc>
        <w:tc>
          <w:tcPr>
            <w:tcW w:w="1109" w:type="pct"/>
            <w:tcBorders>
              <w:tl2br w:val="nil"/>
              <w:tr2bl w:val="nil"/>
            </w:tcBorders>
            <w:vAlign w:val="center"/>
          </w:tcPr>
          <w:p>
            <w:pPr>
              <w:pStyle w:val="34"/>
            </w:pPr>
            <w:r>
              <w:t>三</w:t>
            </w:r>
          </w:p>
        </w:tc>
        <w:tc>
          <w:tcPr>
            <w:tcW w:w="858" w:type="pct"/>
            <w:tcBorders>
              <w:tl2br w:val="nil"/>
              <w:tr2bl w:val="nil"/>
            </w:tcBorders>
            <w:vAlign w:val="center"/>
          </w:tcPr>
          <w:p>
            <w:pPr>
              <w:pStyle w:val="34"/>
            </w:pPr>
            <w: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pPr>
              <w:pStyle w:val="34"/>
              <w:jc w:val="left"/>
            </w:pPr>
            <w:r>
              <w:t>a 是相对于详细评价工作内容而言，在描述危险物质、环境影响途径、环境危害后果、风险防范措施等方面给出定性的说明。</w:t>
            </w:r>
          </w:p>
        </w:tc>
      </w:tr>
    </w:tbl>
    <w:p>
      <w:pPr>
        <w:pStyle w:val="5"/>
        <w:spacing w:after="0" w:afterLines="0"/>
        <w:rPr>
          <w:rFonts w:cs="Times New Roman"/>
        </w:rPr>
      </w:pPr>
      <w:r>
        <w:rPr>
          <w:rFonts w:cs="Times New Roman"/>
        </w:rPr>
        <w:t>评价范围</w:t>
      </w:r>
    </w:p>
    <w:p>
      <w:pPr>
        <w:pStyle w:val="6"/>
        <w:spacing w:before="0" w:beforeLines="0" w:after="0" w:afterLines="0"/>
      </w:pPr>
      <w:r>
        <w:t>大气环境评价范围</w:t>
      </w:r>
    </w:p>
    <w:p>
      <w:pPr>
        <w:pStyle w:val="7"/>
        <w:ind w:firstLine="480"/>
        <w:rPr>
          <w:rFonts w:cs="Times New Roman"/>
        </w:rPr>
      </w:pPr>
      <w:r>
        <w:rPr>
          <w:rFonts w:cs="Times New Roman"/>
        </w:rPr>
        <w:t>本项目大气评价工作等级为二级，D</w:t>
      </w:r>
      <w:r>
        <w:rPr>
          <w:rFonts w:cs="Times New Roman"/>
          <w:vertAlign w:val="subscript"/>
        </w:rPr>
        <w:t>10%</w:t>
      </w:r>
      <w:r>
        <w:rPr>
          <w:rFonts w:cs="Times New Roman"/>
        </w:rPr>
        <w:t>为0，根据《环境影响评价技术导则  大气环境》（HJ2.2-2018），大气评价范围以项目为中心5km×5km的矩形区域。</w:t>
      </w:r>
    </w:p>
    <w:p>
      <w:pPr>
        <w:pStyle w:val="6"/>
        <w:spacing w:after="0" w:afterLines="0"/>
      </w:pPr>
      <w:r>
        <w:t>地下水评价范围</w:t>
      </w:r>
    </w:p>
    <w:p>
      <w:pPr>
        <w:pStyle w:val="7"/>
        <w:ind w:firstLine="456"/>
        <w:rPr>
          <w:rFonts w:cs="Times New Roman"/>
          <w:spacing w:val="-6"/>
        </w:rPr>
      </w:pPr>
      <w:r>
        <w:rPr>
          <w:rFonts w:cs="Times New Roman"/>
          <w:spacing w:val="-6"/>
        </w:rPr>
        <w:t>本项目地下水环境影响评价等级为三级，项目所在区域地下水由北向南径流，根据《环境影响评价技术导则 地下水环境》（HJ610-2016），用查表法确定本项目的地下水评价范围为：以厂址为中心，向北</w:t>
      </w:r>
      <w:r>
        <w:rPr>
          <w:rFonts w:hint="eastAsia" w:cs="Times New Roman"/>
          <w:spacing w:val="-6"/>
        </w:rPr>
        <w:t>10</w:t>
      </w:r>
      <w:r>
        <w:rPr>
          <w:rFonts w:cs="Times New Roman"/>
          <w:spacing w:val="-6"/>
        </w:rPr>
        <w:t>00m、向南2</w:t>
      </w:r>
      <w:r>
        <w:rPr>
          <w:rFonts w:hint="eastAsia" w:cs="Times New Roman"/>
          <w:spacing w:val="-6"/>
        </w:rPr>
        <w:t>0</w:t>
      </w:r>
      <w:r>
        <w:rPr>
          <w:rFonts w:cs="Times New Roman"/>
          <w:spacing w:val="-6"/>
        </w:rPr>
        <w:t>00m，东西向各1000m、面积6km</w:t>
      </w:r>
      <w:r>
        <w:rPr>
          <w:rFonts w:cs="Times New Roman"/>
          <w:spacing w:val="-6"/>
          <w:vertAlign w:val="superscript"/>
        </w:rPr>
        <w:t>2</w:t>
      </w:r>
      <w:r>
        <w:rPr>
          <w:rFonts w:cs="Times New Roman"/>
          <w:spacing w:val="-6"/>
        </w:rPr>
        <w:t>的矩形区域。地下水环境现状调查评价范围参照表见</w:t>
      </w:r>
      <w:r>
        <w:rPr>
          <w:rFonts w:hint="eastAsia" w:cs="Times New Roman"/>
        </w:rPr>
        <w:t>表2.5-11</w:t>
      </w:r>
      <w:r>
        <w:rPr>
          <w:rFonts w:cs="Times New Roman"/>
          <w:spacing w:val="-6"/>
        </w:rPr>
        <w:t>。</w:t>
      </w:r>
    </w:p>
    <w:p>
      <w:pPr>
        <w:pStyle w:val="36"/>
        <w:spacing w:before="156"/>
        <w:rPr>
          <w:rFonts w:eastAsia="宋体"/>
        </w:rPr>
      </w:pPr>
      <w:bookmarkStart w:id="40" w:name="_Ref104372557"/>
      <w:r>
        <w:rPr>
          <w:rFonts w:eastAsia="宋体"/>
        </w:rPr>
        <w:t>表</w:t>
      </w:r>
      <w:r>
        <w:rPr>
          <w:rFonts w:hint="eastAsia" w:eastAsia="宋体"/>
        </w:rPr>
        <w:t>2.5-11</w:t>
      </w:r>
      <w:bookmarkEnd w:id="40"/>
      <w:r>
        <w:rPr>
          <w:rFonts w:eastAsia="宋体"/>
        </w:rPr>
        <w:t xml:space="preserve">  地下水环境现状调查评价范围参照表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697"/>
        <w:gridCol w:w="3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pct"/>
            <w:tcBorders>
              <w:tl2br w:val="nil"/>
              <w:tr2bl w:val="nil"/>
            </w:tcBorders>
          </w:tcPr>
          <w:p>
            <w:pPr>
              <w:pStyle w:val="34"/>
            </w:pPr>
            <w:r>
              <w:t>评价等级</w:t>
            </w:r>
          </w:p>
        </w:tc>
        <w:tc>
          <w:tcPr>
            <w:tcW w:w="2167" w:type="pct"/>
            <w:tcBorders>
              <w:tl2br w:val="nil"/>
              <w:tr2bl w:val="nil"/>
            </w:tcBorders>
          </w:tcPr>
          <w:p>
            <w:pPr>
              <w:pStyle w:val="34"/>
            </w:pPr>
            <w:r>
              <w:t>调查评价面积（km</w:t>
            </w:r>
            <w:r>
              <w:rPr>
                <w:vertAlign w:val="superscript"/>
              </w:rPr>
              <w:t>2</w:t>
            </w:r>
            <w:r>
              <w:t>）</w:t>
            </w:r>
          </w:p>
        </w:tc>
        <w:tc>
          <w:tcPr>
            <w:tcW w:w="1820" w:type="pct"/>
            <w:tcBorders>
              <w:tl2br w:val="nil"/>
              <w:tr2bl w:val="nil"/>
            </w:tcBorders>
          </w:tcPr>
          <w:p>
            <w:pPr>
              <w:pStyle w:val="34"/>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pct"/>
            <w:tcBorders>
              <w:tl2br w:val="nil"/>
              <w:tr2bl w:val="nil"/>
            </w:tcBorders>
          </w:tcPr>
          <w:p>
            <w:pPr>
              <w:pStyle w:val="34"/>
            </w:pPr>
            <w:r>
              <w:t>一级</w:t>
            </w:r>
          </w:p>
        </w:tc>
        <w:tc>
          <w:tcPr>
            <w:tcW w:w="2167" w:type="pct"/>
            <w:tcBorders>
              <w:tl2br w:val="nil"/>
              <w:tr2bl w:val="nil"/>
            </w:tcBorders>
          </w:tcPr>
          <w:p>
            <w:pPr>
              <w:pStyle w:val="34"/>
            </w:pPr>
            <w:r>
              <w:t>≥20</w:t>
            </w:r>
          </w:p>
        </w:tc>
        <w:tc>
          <w:tcPr>
            <w:tcW w:w="1820" w:type="pct"/>
            <w:vMerge w:val="restart"/>
            <w:tcBorders>
              <w:tl2br w:val="nil"/>
              <w:tr2bl w:val="nil"/>
            </w:tcBorders>
          </w:tcPr>
          <w:p>
            <w:pPr>
              <w:pStyle w:val="34"/>
            </w:pPr>
            <w:r>
              <w:t>应包括重要的地下水环境保护目标，必要时适当扩大范围。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pct"/>
            <w:tcBorders>
              <w:tl2br w:val="nil"/>
              <w:tr2bl w:val="nil"/>
            </w:tcBorders>
          </w:tcPr>
          <w:p>
            <w:pPr>
              <w:pStyle w:val="34"/>
            </w:pPr>
            <w:r>
              <w:t>二级</w:t>
            </w:r>
          </w:p>
        </w:tc>
        <w:tc>
          <w:tcPr>
            <w:tcW w:w="2167" w:type="pct"/>
            <w:tcBorders>
              <w:tl2br w:val="nil"/>
              <w:tr2bl w:val="nil"/>
            </w:tcBorders>
          </w:tcPr>
          <w:p>
            <w:pPr>
              <w:pStyle w:val="34"/>
            </w:pPr>
            <w:r>
              <w:t>6-20</w:t>
            </w:r>
          </w:p>
        </w:tc>
        <w:tc>
          <w:tcPr>
            <w:tcW w:w="1820" w:type="pct"/>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pct"/>
            <w:tcBorders>
              <w:tl2br w:val="nil"/>
              <w:tr2bl w:val="nil"/>
            </w:tcBorders>
          </w:tcPr>
          <w:p>
            <w:pPr>
              <w:pStyle w:val="34"/>
            </w:pPr>
            <w:r>
              <w:t>三级</w:t>
            </w:r>
          </w:p>
        </w:tc>
        <w:tc>
          <w:tcPr>
            <w:tcW w:w="2167" w:type="pct"/>
            <w:tcBorders>
              <w:tl2br w:val="nil"/>
              <w:tr2bl w:val="nil"/>
            </w:tcBorders>
          </w:tcPr>
          <w:p>
            <w:pPr>
              <w:pStyle w:val="34"/>
            </w:pPr>
            <w:r>
              <w:t>≤6</w:t>
            </w:r>
          </w:p>
        </w:tc>
        <w:tc>
          <w:tcPr>
            <w:tcW w:w="1820" w:type="pct"/>
            <w:vMerge w:val="continue"/>
            <w:tcBorders>
              <w:tl2br w:val="nil"/>
              <w:tr2bl w:val="nil"/>
            </w:tcBorders>
          </w:tcPr>
          <w:p>
            <w:pPr>
              <w:pStyle w:val="34"/>
            </w:pPr>
          </w:p>
        </w:tc>
      </w:tr>
    </w:tbl>
    <w:p>
      <w:pPr>
        <w:pStyle w:val="6"/>
        <w:spacing w:after="0" w:afterLines="0"/>
      </w:pPr>
      <w:r>
        <w:t>声环境评价范围</w:t>
      </w:r>
    </w:p>
    <w:p>
      <w:pPr>
        <w:pStyle w:val="7"/>
        <w:ind w:firstLine="480"/>
        <w:rPr>
          <w:rFonts w:cs="Times New Roman"/>
          <w:lang w:val="zh-CN"/>
        </w:rPr>
      </w:pPr>
      <w:r>
        <w:rPr>
          <w:rFonts w:cs="Times New Roman"/>
          <w:lang w:val="zh-CN"/>
        </w:rPr>
        <w:t>本项目噪声环境影响评价工作等级为二级，评价范围为厂界外200m范围内。</w:t>
      </w:r>
    </w:p>
    <w:p>
      <w:pPr>
        <w:pStyle w:val="6"/>
        <w:spacing w:after="0" w:afterLines="0"/>
      </w:pPr>
      <w:r>
        <w:t>土壤环境评价范围</w:t>
      </w:r>
    </w:p>
    <w:p>
      <w:pPr>
        <w:pStyle w:val="7"/>
        <w:ind w:firstLine="480"/>
        <w:rPr>
          <w:rFonts w:cs="Times New Roman"/>
          <w:lang w:val="zh-CN"/>
        </w:rPr>
      </w:pPr>
      <w:r>
        <w:rPr>
          <w:rFonts w:cs="Times New Roman"/>
          <w:lang w:val="zh-CN"/>
        </w:rPr>
        <w:t>本项目土壤环境影响评价工作等级为土壤污染影响</w:t>
      </w:r>
      <w:r>
        <w:rPr>
          <w:rFonts w:cs="Times New Roman"/>
        </w:rPr>
        <w:t>型三级，根据</w:t>
      </w:r>
      <w:r>
        <w:rPr>
          <w:rFonts w:cs="Times New Roman"/>
          <w:lang w:val="zh-CN"/>
        </w:rPr>
        <w:t>《环境影响评价技术导则 土壤环境（试行）》（HJ964-2018），</w:t>
      </w:r>
      <w:r>
        <w:rPr>
          <w:rFonts w:cs="Times New Roman"/>
        </w:rPr>
        <w:t>土壤环境影响现状调查评价范围为占地范围内全部及占地范围外0.05km范围内。</w:t>
      </w:r>
    </w:p>
    <w:p>
      <w:pPr>
        <w:pStyle w:val="6"/>
        <w:spacing w:after="0" w:afterLines="0"/>
      </w:pPr>
      <w:r>
        <w:t>生态影响评价范围</w:t>
      </w:r>
    </w:p>
    <w:p>
      <w:pPr>
        <w:pStyle w:val="7"/>
        <w:ind w:firstLine="456"/>
        <w:rPr>
          <w:rFonts w:cs="Times New Roman"/>
          <w:spacing w:val="-6"/>
          <w:lang w:val="zh-CN"/>
        </w:rPr>
      </w:pPr>
      <w:r>
        <w:rPr>
          <w:rFonts w:cs="Times New Roman"/>
          <w:spacing w:val="-6"/>
          <w:lang w:val="zh-CN"/>
        </w:rPr>
        <w:t>本项目属于污染影响类建设项目且不存在污染物排放产生的间接生态影响，根据《环境影响评价技术导则 生态影响》（HJ19-2022），确定本项目生态影响评价范围与土壤环境评价范围相同，</w:t>
      </w:r>
      <w:r>
        <w:rPr>
          <w:rFonts w:cs="Times New Roman"/>
          <w:spacing w:val="-6"/>
        </w:rPr>
        <w:t>为占地范围内全部及占地范围外0.05km范围内</w:t>
      </w:r>
      <w:r>
        <w:rPr>
          <w:rFonts w:cs="Times New Roman"/>
          <w:spacing w:val="-6"/>
          <w:lang w:val="zh-CN"/>
        </w:rPr>
        <w:t>。</w:t>
      </w:r>
    </w:p>
    <w:p>
      <w:pPr>
        <w:pStyle w:val="6"/>
        <w:spacing w:after="0" w:afterLines="0"/>
      </w:pPr>
      <w:r>
        <w:t>环境风险评价范围</w:t>
      </w:r>
    </w:p>
    <w:p>
      <w:pPr>
        <w:pStyle w:val="7"/>
        <w:ind w:firstLine="480"/>
        <w:rPr>
          <w:rFonts w:cs="Times New Roman"/>
        </w:rPr>
      </w:pPr>
      <w:r>
        <w:rPr>
          <w:rFonts w:cs="Times New Roman"/>
          <w:lang w:val="zh-CN"/>
        </w:rPr>
        <w:t>本项目环境风险评价等级为简单分析</w:t>
      </w:r>
      <w:r>
        <w:rPr>
          <w:rFonts w:cs="Times New Roman"/>
        </w:rPr>
        <w:t>，</w:t>
      </w:r>
      <w:r>
        <w:rPr>
          <w:rFonts w:cs="Times New Roman"/>
          <w:lang w:val="zh-CN"/>
        </w:rPr>
        <w:t>根据《建设项目环境风险评价技术导则》(HJ169-2018)</w:t>
      </w:r>
      <w:r>
        <w:rPr>
          <w:rFonts w:cs="Times New Roman"/>
        </w:rPr>
        <w:t>，可</w:t>
      </w:r>
      <w:r>
        <w:rPr>
          <w:rFonts w:cs="Times New Roman"/>
          <w:lang w:val="zh-CN"/>
        </w:rPr>
        <w:t>不设环境风险评价范围。</w:t>
      </w:r>
    </w:p>
    <w:p>
      <w:pPr>
        <w:pStyle w:val="5"/>
        <w:spacing w:after="0" w:afterLines="0"/>
        <w:rPr>
          <w:rFonts w:cs="Times New Roman"/>
        </w:rPr>
      </w:pPr>
      <w:r>
        <w:rPr>
          <w:rFonts w:cs="Times New Roman"/>
        </w:rPr>
        <w:t>评价工作等级和评价范围汇总</w:t>
      </w:r>
    </w:p>
    <w:p>
      <w:pPr>
        <w:pStyle w:val="7"/>
        <w:ind w:firstLine="480"/>
        <w:rPr>
          <w:rFonts w:cs="Times New Roman"/>
        </w:rPr>
      </w:pPr>
      <w:r>
        <w:rPr>
          <w:rFonts w:cs="Times New Roman"/>
        </w:rPr>
        <w:t>本项目各环境要素评价工作等级及评价范围汇总见</w:t>
      </w:r>
      <w:r>
        <w:rPr>
          <w:rFonts w:hint="eastAsia" w:cs="Times New Roman"/>
        </w:rPr>
        <w:t>表2.5-12</w:t>
      </w:r>
      <w:r>
        <w:rPr>
          <w:rFonts w:cs="Times New Roman"/>
        </w:rPr>
        <w:t>。</w:t>
      </w:r>
    </w:p>
    <w:p>
      <w:pPr>
        <w:pStyle w:val="36"/>
        <w:spacing w:before="156"/>
        <w:rPr>
          <w:rFonts w:eastAsia="宋体"/>
        </w:rPr>
      </w:pPr>
      <w:bookmarkStart w:id="41" w:name="_Ref79050896"/>
      <w:r>
        <w:rPr>
          <w:rFonts w:eastAsia="宋体"/>
        </w:rPr>
        <w:t>表</w:t>
      </w:r>
      <w:r>
        <w:rPr>
          <w:rFonts w:hint="eastAsia" w:eastAsia="宋体"/>
        </w:rPr>
        <w:t>2.5-12</w:t>
      </w:r>
      <w:bookmarkEnd w:id="41"/>
      <w:r>
        <w:rPr>
          <w:rFonts w:eastAsia="宋体"/>
        </w:rPr>
        <w:t xml:space="preserve">  评价等级及评价范围汇总表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0"/>
        <w:gridCol w:w="5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评价内容</w:t>
            </w:r>
          </w:p>
        </w:tc>
        <w:tc>
          <w:tcPr>
            <w:tcW w:w="967" w:type="pct"/>
            <w:tcBorders>
              <w:tl2br w:val="nil"/>
              <w:tr2bl w:val="nil"/>
            </w:tcBorders>
          </w:tcPr>
          <w:p>
            <w:pPr>
              <w:pStyle w:val="34"/>
            </w:pPr>
            <w:r>
              <w:t>评价工作等级</w:t>
            </w:r>
          </w:p>
        </w:tc>
        <w:tc>
          <w:tcPr>
            <w:tcW w:w="3059" w:type="pct"/>
            <w:tcBorders>
              <w:tl2br w:val="nil"/>
              <w:tr2bl w:val="nil"/>
            </w:tcBorders>
          </w:tcPr>
          <w:p>
            <w:pPr>
              <w:pStyle w:val="34"/>
            </w:pPr>
            <w: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大气环境</w:t>
            </w:r>
          </w:p>
        </w:tc>
        <w:tc>
          <w:tcPr>
            <w:tcW w:w="967" w:type="pct"/>
            <w:tcBorders>
              <w:tl2br w:val="nil"/>
              <w:tr2bl w:val="nil"/>
            </w:tcBorders>
          </w:tcPr>
          <w:p>
            <w:pPr>
              <w:pStyle w:val="34"/>
            </w:pPr>
            <w:r>
              <w:t>二级</w:t>
            </w:r>
          </w:p>
        </w:tc>
        <w:tc>
          <w:tcPr>
            <w:tcW w:w="3059" w:type="pct"/>
            <w:tcBorders>
              <w:tl2br w:val="nil"/>
              <w:tr2bl w:val="nil"/>
            </w:tcBorders>
          </w:tcPr>
          <w:p>
            <w:pPr>
              <w:pStyle w:val="34"/>
            </w:pPr>
            <w:r>
              <w:t>以项目厂区为中心，边长5km的矩形区域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地表水环境</w:t>
            </w:r>
          </w:p>
        </w:tc>
        <w:tc>
          <w:tcPr>
            <w:tcW w:w="967" w:type="pct"/>
            <w:tcBorders>
              <w:tl2br w:val="nil"/>
              <w:tr2bl w:val="nil"/>
            </w:tcBorders>
          </w:tcPr>
          <w:p>
            <w:pPr>
              <w:pStyle w:val="34"/>
            </w:pPr>
            <w:r>
              <w:t>三级B</w:t>
            </w:r>
          </w:p>
        </w:tc>
        <w:tc>
          <w:tcPr>
            <w:tcW w:w="3059" w:type="pct"/>
            <w:tcBorders>
              <w:tl2br w:val="nil"/>
              <w:tr2bl w:val="nil"/>
            </w:tcBorders>
          </w:tcPr>
          <w:p>
            <w:pPr>
              <w:pStyle w:val="34"/>
            </w:pPr>
            <w: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地下水环境</w:t>
            </w:r>
          </w:p>
        </w:tc>
        <w:tc>
          <w:tcPr>
            <w:tcW w:w="967" w:type="pct"/>
            <w:tcBorders>
              <w:tl2br w:val="nil"/>
              <w:tr2bl w:val="nil"/>
            </w:tcBorders>
          </w:tcPr>
          <w:p>
            <w:pPr>
              <w:pStyle w:val="34"/>
            </w:pPr>
            <w:r>
              <w:t>三级</w:t>
            </w:r>
          </w:p>
        </w:tc>
        <w:tc>
          <w:tcPr>
            <w:tcW w:w="3059" w:type="pct"/>
            <w:tcBorders>
              <w:tl2br w:val="nil"/>
              <w:tr2bl w:val="nil"/>
            </w:tcBorders>
          </w:tcPr>
          <w:p>
            <w:pPr>
              <w:pStyle w:val="34"/>
            </w:pPr>
            <w:r>
              <w:t>以项目厂区为中心，上游向北</w:t>
            </w:r>
            <w:r>
              <w:rPr>
                <w:rFonts w:hint="eastAsia"/>
              </w:rPr>
              <w:t>1</w:t>
            </w:r>
            <w:r>
              <w:t>km、下游向南</w:t>
            </w:r>
            <w:r>
              <w:rPr>
                <w:rFonts w:hint="eastAsia"/>
              </w:rPr>
              <w:t>2</w:t>
            </w:r>
            <w:r>
              <w:t>km、东西两侧各1km，总面积6km</w:t>
            </w:r>
            <w:r>
              <w:rPr>
                <w:vertAlign w:val="superscript"/>
              </w:rPr>
              <w:t>2</w:t>
            </w:r>
            <w:r>
              <w:t>的区域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声环境</w:t>
            </w:r>
          </w:p>
        </w:tc>
        <w:tc>
          <w:tcPr>
            <w:tcW w:w="967" w:type="pct"/>
            <w:tcBorders>
              <w:tl2br w:val="nil"/>
              <w:tr2bl w:val="nil"/>
            </w:tcBorders>
          </w:tcPr>
          <w:p>
            <w:pPr>
              <w:pStyle w:val="34"/>
            </w:pPr>
            <w:r>
              <w:t>二级</w:t>
            </w:r>
          </w:p>
        </w:tc>
        <w:tc>
          <w:tcPr>
            <w:tcW w:w="3059" w:type="pct"/>
            <w:tcBorders>
              <w:tl2br w:val="nil"/>
              <w:tr2bl w:val="nil"/>
            </w:tcBorders>
          </w:tcPr>
          <w:p>
            <w:pPr>
              <w:pStyle w:val="34"/>
            </w:pPr>
            <w:r>
              <w:t>厂界外200m范围内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土壤环境</w:t>
            </w:r>
          </w:p>
        </w:tc>
        <w:tc>
          <w:tcPr>
            <w:tcW w:w="967" w:type="pct"/>
            <w:tcBorders>
              <w:tl2br w:val="nil"/>
              <w:tr2bl w:val="nil"/>
            </w:tcBorders>
          </w:tcPr>
          <w:p>
            <w:pPr>
              <w:pStyle w:val="34"/>
            </w:pPr>
            <w:r>
              <w:t>三级</w:t>
            </w:r>
          </w:p>
        </w:tc>
        <w:tc>
          <w:tcPr>
            <w:tcW w:w="3059" w:type="pct"/>
            <w:tcBorders>
              <w:tl2br w:val="nil"/>
              <w:tr2bl w:val="nil"/>
            </w:tcBorders>
          </w:tcPr>
          <w:p>
            <w:pPr>
              <w:pStyle w:val="34"/>
            </w:pPr>
            <w:r>
              <w:t>占地范围内全部及占地范围外0.05km范围内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生态影响</w:t>
            </w:r>
          </w:p>
        </w:tc>
        <w:tc>
          <w:tcPr>
            <w:tcW w:w="967" w:type="pct"/>
            <w:tcBorders>
              <w:tl2br w:val="nil"/>
              <w:tr2bl w:val="nil"/>
            </w:tcBorders>
          </w:tcPr>
          <w:p>
            <w:pPr>
              <w:pStyle w:val="34"/>
            </w:pPr>
            <w:r>
              <w:t>三级</w:t>
            </w:r>
          </w:p>
        </w:tc>
        <w:tc>
          <w:tcPr>
            <w:tcW w:w="3059" w:type="pct"/>
            <w:tcBorders>
              <w:tl2br w:val="nil"/>
              <w:tr2bl w:val="nil"/>
            </w:tcBorders>
          </w:tcPr>
          <w:p>
            <w:pPr>
              <w:pStyle w:val="34"/>
            </w:pPr>
            <w:r>
              <w:t>占地范围内全部及占地范围外0.05km范围内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tcBorders>
              <w:tl2br w:val="nil"/>
              <w:tr2bl w:val="nil"/>
            </w:tcBorders>
          </w:tcPr>
          <w:p>
            <w:pPr>
              <w:pStyle w:val="34"/>
            </w:pPr>
            <w:r>
              <w:t>环境风险</w:t>
            </w:r>
          </w:p>
        </w:tc>
        <w:tc>
          <w:tcPr>
            <w:tcW w:w="967" w:type="pct"/>
            <w:tcBorders>
              <w:tl2br w:val="nil"/>
              <w:tr2bl w:val="nil"/>
            </w:tcBorders>
          </w:tcPr>
          <w:p>
            <w:pPr>
              <w:pStyle w:val="34"/>
            </w:pPr>
            <w:r>
              <w:t>简单分析</w:t>
            </w:r>
          </w:p>
        </w:tc>
        <w:tc>
          <w:tcPr>
            <w:tcW w:w="3059" w:type="pct"/>
            <w:tcBorders>
              <w:tl2br w:val="nil"/>
              <w:tr2bl w:val="nil"/>
            </w:tcBorders>
          </w:tcPr>
          <w:p>
            <w:pPr>
              <w:pStyle w:val="34"/>
            </w:pPr>
            <w:r>
              <w:t>无</w:t>
            </w:r>
          </w:p>
        </w:tc>
      </w:tr>
    </w:tbl>
    <w:p>
      <w:pPr>
        <w:jc w:val="center"/>
        <w:rPr>
          <w:rFonts w:ascii="Times New Roman" w:hAnsi="Times New Roman"/>
        </w:rPr>
      </w:pPr>
      <w:r>
        <w:rPr>
          <w:rFonts w:ascii="Times New Roman" w:hAnsi="Times New Roman"/>
        </w:rPr>
        <w:t xml:space="preserve"> </w:t>
      </w:r>
    </w:p>
    <w:p>
      <w:pPr>
        <w:pStyle w:val="4"/>
        <w:spacing w:before="156" w:after="156"/>
        <w:rPr>
          <w:rFonts w:eastAsia="宋体"/>
        </w:rPr>
      </w:pPr>
      <w:bookmarkStart w:id="42" w:name="_Toc12314"/>
      <w:r>
        <w:rPr>
          <w:rFonts w:eastAsia="宋体"/>
        </w:rPr>
        <w:t>主要环境保护目标</w:t>
      </w:r>
      <w:bookmarkEnd w:id="42"/>
    </w:p>
    <w:p>
      <w:pPr>
        <w:pStyle w:val="7"/>
        <w:ind w:firstLine="480"/>
        <w:rPr>
          <w:rFonts w:cs="Times New Roman"/>
        </w:rPr>
      </w:pPr>
      <w:r>
        <w:rPr>
          <w:rFonts w:cs="Times New Roman"/>
        </w:rPr>
        <w:t>据现场调查，本项目场址周边2.5km范围内无自然保护区、风景名胜区及饮用水水源保护区等环境敏感点。本次评价范围内的环境保护目标按环境要素划分，详见</w:t>
      </w:r>
      <w:r>
        <w:rPr>
          <w:rFonts w:hint="eastAsia" w:cs="Times New Roman"/>
        </w:rPr>
        <w:t>表2.6-1</w:t>
      </w:r>
      <w:r>
        <w:rPr>
          <w:rFonts w:cs="Times New Roman"/>
        </w:rPr>
        <w:t>和</w:t>
      </w:r>
      <w:r>
        <w:rPr>
          <w:rFonts w:hint="eastAsia" w:cs="Times New Roman"/>
        </w:rPr>
        <w:t>图2.5-2</w:t>
      </w:r>
      <w:r>
        <w:rPr>
          <w:rFonts w:cs="Times New Roman"/>
        </w:rPr>
        <w:t>。</w:t>
      </w:r>
    </w:p>
    <w:p>
      <w:pPr>
        <w:pStyle w:val="36"/>
        <w:spacing w:before="156"/>
        <w:rPr>
          <w:rFonts w:eastAsia="宋体"/>
        </w:rPr>
      </w:pPr>
      <w:bookmarkStart w:id="43" w:name="_Ref111297375"/>
      <w:r>
        <w:rPr>
          <w:rFonts w:eastAsia="宋体"/>
        </w:rPr>
        <w:t>表</w:t>
      </w:r>
      <w:r>
        <w:rPr>
          <w:rFonts w:hint="eastAsia" w:eastAsia="宋体"/>
        </w:rPr>
        <w:t>2.6-1</w:t>
      </w:r>
      <w:bookmarkEnd w:id="43"/>
      <w:r>
        <w:rPr>
          <w:rFonts w:eastAsia="宋体"/>
        </w:rPr>
        <w:t xml:space="preserve">  环境保护目标一览表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088"/>
        <w:gridCol w:w="683"/>
        <w:gridCol w:w="822"/>
        <w:gridCol w:w="1650"/>
        <w:gridCol w:w="727"/>
        <w:gridCol w:w="1037"/>
        <w:gridCol w:w="713"/>
        <w:gridCol w:w="747"/>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283" w:hRule="atLeast"/>
          <w:jc w:val="center"/>
        </w:trPr>
        <w:tc>
          <w:tcPr>
            <w:tcW w:w="653" w:type="pct"/>
            <w:tcBorders>
              <w:tl2br w:val="nil"/>
              <w:tr2bl w:val="nil"/>
            </w:tcBorders>
            <w:vAlign w:val="center"/>
          </w:tcPr>
          <w:p>
            <w:pPr>
              <w:pStyle w:val="34"/>
            </w:pPr>
            <w:r>
              <w:t>环境</w:t>
            </w:r>
          </w:p>
          <w:p>
            <w:pPr>
              <w:pStyle w:val="34"/>
            </w:pPr>
            <w:r>
              <w:t>要素</w:t>
            </w:r>
          </w:p>
        </w:tc>
        <w:tc>
          <w:tcPr>
            <w:tcW w:w="902" w:type="pct"/>
            <w:gridSpan w:val="2"/>
            <w:tcBorders>
              <w:tl2br w:val="nil"/>
              <w:tr2bl w:val="nil"/>
            </w:tcBorders>
            <w:vAlign w:val="center"/>
          </w:tcPr>
          <w:p>
            <w:pPr>
              <w:pStyle w:val="34"/>
            </w:pPr>
            <w:r>
              <w:t>坐标/m</w:t>
            </w:r>
          </w:p>
        </w:tc>
        <w:tc>
          <w:tcPr>
            <w:tcW w:w="1426" w:type="pct"/>
            <w:gridSpan w:val="2"/>
            <w:vMerge w:val="restart"/>
            <w:tcBorders>
              <w:tl2br w:val="nil"/>
              <w:tr2bl w:val="nil"/>
            </w:tcBorders>
            <w:vAlign w:val="center"/>
          </w:tcPr>
          <w:p>
            <w:pPr>
              <w:pStyle w:val="34"/>
            </w:pPr>
            <w:r>
              <w:t>保护对象</w:t>
            </w:r>
          </w:p>
        </w:tc>
        <w:tc>
          <w:tcPr>
            <w:tcW w:w="622" w:type="pct"/>
            <w:vMerge w:val="restart"/>
            <w:tcBorders>
              <w:tl2br w:val="nil"/>
              <w:tr2bl w:val="nil"/>
            </w:tcBorders>
            <w:vAlign w:val="center"/>
          </w:tcPr>
          <w:p>
            <w:pPr>
              <w:pStyle w:val="34"/>
            </w:pPr>
            <w:r>
              <w:t>保护内容</w:t>
            </w:r>
          </w:p>
        </w:tc>
        <w:tc>
          <w:tcPr>
            <w:tcW w:w="428" w:type="pct"/>
            <w:vMerge w:val="restart"/>
            <w:tcBorders>
              <w:tl2br w:val="nil"/>
              <w:tr2bl w:val="nil"/>
            </w:tcBorders>
            <w:vAlign w:val="center"/>
          </w:tcPr>
          <w:p>
            <w:pPr>
              <w:pStyle w:val="34"/>
            </w:pPr>
            <w:r>
              <w:t>环境功能区</w:t>
            </w:r>
          </w:p>
        </w:tc>
        <w:tc>
          <w:tcPr>
            <w:tcW w:w="448" w:type="pct"/>
            <w:vMerge w:val="restart"/>
            <w:tcBorders>
              <w:tl2br w:val="nil"/>
              <w:tr2bl w:val="nil"/>
            </w:tcBorders>
            <w:vAlign w:val="center"/>
          </w:tcPr>
          <w:p>
            <w:pPr>
              <w:pStyle w:val="34"/>
            </w:pPr>
            <w:r>
              <w:t>相对厂址方位</w:t>
            </w:r>
          </w:p>
        </w:tc>
        <w:tc>
          <w:tcPr>
            <w:tcW w:w="520" w:type="pct"/>
            <w:vMerge w:val="restart"/>
            <w:tcBorders>
              <w:tl2br w:val="nil"/>
              <w:tr2bl w:val="nil"/>
            </w:tcBorders>
            <w:vAlign w:val="center"/>
          </w:tcPr>
          <w:p>
            <w:pPr>
              <w:pStyle w:val="34"/>
            </w:pPr>
            <w: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258" w:hRule="atLeast"/>
          <w:jc w:val="center"/>
        </w:trPr>
        <w:tc>
          <w:tcPr>
            <w:tcW w:w="653" w:type="pct"/>
            <w:vMerge w:val="restart"/>
            <w:tcBorders>
              <w:tl2br w:val="nil"/>
              <w:tr2bl w:val="nil"/>
            </w:tcBorders>
            <w:vAlign w:val="center"/>
          </w:tcPr>
          <w:p>
            <w:pPr>
              <w:pStyle w:val="34"/>
            </w:pPr>
            <w:r>
              <w:t>环境</w:t>
            </w:r>
          </w:p>
          <w:p>
            <w:pPr>
              <w:pStyle w:val="34"/>
            </w:pPr>
            <w:r>
              <w:t>空气</w:t>
            </w:r>
          </w:p>
        </w:tc>
        <w:tc>
          <w:tcPr>
            <w:tcW w:w="410" w:type="pct"/>
            <w:tcBorders>
              <w:tl2br w:val="nil"/>
              <w:tr2bl w:val="nil"/>
            </w:tcBorders>
            <w:vAlign w:val="center"/>
          </w:tcPr>
          <w:p>
            <w:pPr>
              <w:pStyle w:val="34"/>
            </w:pPr>
            <w:r>
              <w:t>X</w:t>
            </w:r>
          </w:p>
        </w:tc>
        <w:tc>
          <w:tcPr>
            <w:tcW w:w="493" w:type="pct"/>
            <w:tcBorders>
              <w:tl2br w:val="nil"/>
              <w:tr2bl w:val="nil"/>
            </w:tcBorders>
            <w:vAlign w:val="center"/>
          </w:tcPr>
          <w:p>
            <w:pPr>
              <w:pStyle w:val="34"/>
            </w:pPr>
            <w:r>
              <w:t>Y</w:t>
            </w:r>
          </w:p>
        </w:tc>
        <w:tc>
          <w:tcPr>
            <w:tcW w:w="1426" w:type="pct"/>
            <w:gridSpan w:val="2"/>
            <w:vMerge w:val="continue"/>
            <w:tcBorders>
              <w:tl2br w:val="nil"/>
              <w:tr2bl w:val="nil"/>
            </w:tcBorders>
            <w:vAlign w:val="center"/>
          </w:tcPr>
          <w:p>
            <w:pPr>
              <w:pStyle w:val="34"/>
            </w:pPr>
          </w:p>
        </w:tc>
        <w:tc>
          <w:tcPr>
            <w:tcW w:w="622" w:type="pct"/>
            <w:vMerge w:val="continue"/>
            <w:tcBorders>
              <w:tl2br w:val="nil"/>
              <w:tr2bl w:val="nil"/>
            </w:tcBorders>
            <w:vAlign w:val="center"/>
          </w:tcPr>
          <w:p>
            <w:pPr>
              <w:pStyle w:val="34"/>
            </w:pPr>
          </w:p>
        </w:tc>
        <w:tc>
          <w:tcPr>
            <w:tcW w:w="428" w:type="pct"/>
            <w:vMerge w:val="continue"/>
            <w:tcBorders>
              <w:tl2br w:val="nil"/>
              <w:tr2bl w:val="nil"/>
            </w:tcBorders>
            <w:vAlign w:val="center"/>
          </w:tcPr>
          <w:p>
            <w:pPr>
              <w:pStyle w:val="34"/>
            </w:pPr>
          </w:p>
        </w:tc>
        <w:tc>
          <w:tcPr>
            <w:tcW w:w="448" w:type="pct"/>
            <w:vMerge w:val="continue"/>
            <w:tcBorders>
              <w:tl2br w:val="nil"/>
              <w:tr2bl w:val="nil"/>
            </w:tcBorders>
            <w:vAlign w:val="center"/>
          </w:tcPr>
          <w:p>
            <w:pPr>
              <w:pStyle w:val="34"/>
            </w:pPr>
          </w:p>
        </w:tc>
        <w:tc>
          <w:tcPr>
            <w:tcW w:w="520"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653" w:type="pct"/>
            <w:vMerge w:val="continue"/>
            <w:tcBorders>
              <w:tl2br w:val="nil"/>
              <w:tr2bl w:val="nil"/>
            </w:tcBorders>
            <w:vAlign w:val="center"/>
          </w:tcPr>
          <w:p>
            <w:pPr>
              <w:pStyle w:val="34"/>
            </w:pPr>
          </w:p>
        </w:tc>
        <w:tc>
          <w:tcPr>
            <w:tcW w:w="410" w:type="pct"/>
            <w:tcBorders>
              <w:tl2br w:val="nil"/>
              <w:tr2bl w:val="nil"/>
            </w:tcBorders>
            <w:vAlign w:val="center"/>
          </w:tcPr>
          <w:p>
            <w:pPr>
              <w:pStyle w:val="34"/>
            </w:pPr>
            <w:r>
              <w:rPr>
                <w:rFonts w:hint="eastAsia"/>
              </w:rPr>
              <w:t>0</w:t>
            </w:r>
          </w:p>
        </w:tc>
        <w:tc>
          <w:tcPr>
            <w:tcW w:w="493" w:type="pct"/>
            <w:tcBorders>
              <w:tl2br w:val="nil"/>
              <w:tr2bl w:val="nil"/>
            </w:tcBorders>
            <w:vAlign w:val="center"/>
          </w:tcPr>
          <w:p>
            <w:pPr>
              <w:pStyle w:val="34"/>
            </w:pPr>
            <w:r>
              <w:rPr>
                <w:rFonts w:hint="eastAsia"/>
              </w:rPr>
              <w:t>360</w:t>
            </w:r>
          </w:p>
        </w:tc>
        <w:tc>
          <w:tcPr>
            <w:tcW w:w="990" w:type="pct"/>
            <w:tcBorders>
              <w:tl2br w:val="nil"/>
              <w:tr2bl w:val="nil"/>
            </w:tcBorders>
            <w:vAlign w:val="center"/>
          </w:tcPr>
          <w:p>
            <w:pPr>
              <w:pStyle w:val="34"/>
            </w:pPr>
            <w:r>
              <w:t>珠茹社日村</w:t>
            </w:r>
          </w:p>
          <w:p>
            <w:pPr>
              <w:pStyle w:val="34"/>
            </w:pPr>
            <w:r>
              <w:rPr>
                <w:rFonts w:hint="eastAsia"/>
              </w:rPr>
              <w:t>（双泉村）</w:t>
            </w:r>
          </w:p>
        </w:tc>
        <w:tc>
          <w:tcPr>
            <w:tcW w:w="436" w:type="pct"/>
            <w:tcBorders>
              <w:tl2br w:val="nil"/>
              <w:tr2bl w:val="nil"/>
            </w:tcBorders>
            <w:vAlign w:val="center"/>
          </w:tcPr>
          <w:p>
            <w:pPr>
              <w:pStyle w:val="34"/>
            </w:pPr>
            <w:r>
              <w:rPr>
                <w:rFonts w:hint="eastAsia"/>
              </w:rPr>
              <w:t>480人</w:t>
            </w:r>
          </w:p>
        </w:tc>
        <w:tc>
          <w:tcPr>
            <w:tcW w:w="622" w:type="pct"/>
            <w:tcBorders>
              <w:tl2br w:val="nil"/>
              <w:tr2bl w:val="nil"/>
            </w:tcBorders>
            <w:vAlign w:val="center"/>
          </w:tcPr>
          <w:p>
            <w:pPr>
              <w:pStyle w:val="34"/>
            </w:pPr>
            <w:r>
              <w:t>人群健康</w:t>
            </w:r>
          </w:p>
        </w:tc>
        <w:tc>
          <w:tcPr>
            <w:tcW w:w="428" w:type="pct"/>
            <w:tcBorders>
              <w:tl2br w:val="nil"/>
              <w:tr2bl w:val="nil"/>
            </w:tcBorders>
            <w:vAlign w:val="center"/>
          </w:tcPr>
          <w:p>
            <w:pPr>
              <w:pStyle w:val="34"/>
            </w:pPr>
            <w:r>
              <w:t>二类区</w:t>
            </w:r>
          </w:p>
        </w:tc>
        <w:tc>
          <w:tcPr>
            <w:tcW w:w="448" w:type="pct"/>
            <w:tcBorders>
              <w:tl2br w:val="nil"/>
              <w:tr2bl w:val="nil"/>
            </w:tcBorders>
            <w:vAlign w:val="center"/>
          </w:tcPr>
          <w:p>
            <w:pPr>
              <w:pStyle w:val="34"/>
            </w:pPr>
            <w:r>
              <w:rPr>
                <w:rFonts w:hint="eastAsia"/>
              </w:rPr>
              <w:t>东北</w:t>
            </w:r>
          </w:p>
        </w:tc>
        <w:tc>
          <w:tcPr>
            <w:tcW w:w="520" w:type="pct"/>
            <w:tcBorders>
              <w:tl2br w:val="nil"/>
              <w:tr2bl w:val="nil"/>
            </w:tcBorders>
            <w:vAlign w:val="center"/>
          </w:tcPr>
          <w:p>
            <w:pPr>
              <w:pStyle w:val="34"/>
            </w:pPr>
            <w:r>
              <w:rPr>
                <w:rFonts w:hint="eastAsia"/>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653" w:type="pct"/>
            <w:vMerge w:val="continue"/>
            <w:tcBorders>
              <w:tl2br w:val="nil"/>
              <w:tr2bl w:val="nil"/>
            </w:tcBorders>
            <w:vAlign w:val="center"/>
          </w:tcPr>
          <w:p>
            <w:pPr>
              <w:pStyle w:val="34"/>
            </w:pPr>
          </w:p>
        </w:tc>
        <w:tc>
          <w:tcPr>
            <w:tcW w:w="410" w:type="pct"/>
            <w:tcBorders>
              <w:tl2br w:val="nil"/>
              <w:tr2bl w:val="nil"/>
            </w:tcBorders>
            <w:vAlign w:val="center"/>
          </w:tcPr>
          <w:p>
            <w:pPr>
              <w:pStyle w:val="34"/>
            </w:pPr>
            <w:r>
              <w:rPr>
                <w:rFonts w:hint="eastAsia"/>
              </w:rPr>
              <w:t>-1450</w:t>
            </w:r>
          </w:p>
        </w:tc>
        <w:tc>
          <w:tcPr>
            <w:tcW w:w="493" w:type="pct"/>
            <w:tcBorders>
              <w:tl2br w:val="nil"/>
              <w:tr2bl w:val="nil"/>
            </w:tcBorders>
            <w:vAlign w:val="center"/>
          </w:tcPr>
          <w:p>
            <w:pPr>
              <w:pStyle w:val="34"/>
            </w:pPr>
            <w:r>
              <w:rPr>
                <w:rFonts w:hint="eastAsia"/>
              </w:rPr>
              <w:t>1250</w:t>
            </w:r>
          </w:p>
        </w:tc>
        <w:tc>
          <w:tcPr>
            <w:tcW w:w="990" w:type="pct"/>
            <w:tcBorders>
              <w:tl2br w:val="nil"/>
              <w:tr2bl w:val="nil"/>
            </w:tcBorders>
            <w:vAlign w:val="center"/>
          </w:tcPr>
          <w:p>
            <w:pPr>
              <w:pStyle w:val="34"/>
            </w:pPr>
            <w:r>
              <w:rPr>
                <w:rFonts w:hint="eastAsia"/>
              </w:rPr>
              <w:t>恰夏镇</w:t>
            </w:r>
          </w:p>
        </w:tc>
        <w:tc>
          <w:tcPr>
            <w:tcW w:w="436" w:type="pct"/>
            <w:tcBorders>
              <w:tl2br w:val="nil"/>
              <w:tr2bl w:val="nil"/>
            </w:tcBorders>
            <w:vAlign w:val="center"/>
          </w:tcPr>
          <w:p>
            <w:pPr>
              <w:pStyle w:val="34"/>
            </w:pPr>
            <w:r>
              <w:rPr>
                <w:rFonts w:hint="eastAsia"/>
              </w:rPr>
              <w:t>1</w:t>
            </w:r>
            <w:r>
              <w:t>5</w:t>
            </w:r>
            <w:r>
              <w:rPr>
                <w:rFonts w:hint="eastAsia"/>
              </w:rPr>
              <w:t>00人</w:t>
            </w:r>
          </w:p>
        </w:tc>
        <w:tc>
          <w:tcPr>
            <w:tcW w:w="622" w:type="pct"/>
            <w:tcBorders>
              <w:tl2br w:val="nil"/>
              <w:tr2bl w:val="nil"/>
            </w:tcBorders>
            <w:vAlign w:val="center"/>
          </w:tcPr>
          <w:p>
            <w:pPr>
              <w:pStyle w:val="34"/>
            </w:pPr>
            <w:r>
              <w:t>人群健康</w:t>
            </w:r>
          </w:p>
        </w:tc>
        <w:tc>
          <w:tcPr>
            <w:tcW w:w="428" w:type="pct"/>
            <w:tcBorders>
              <w:tl2br w:val="nil"/>
              <w:tr2bl w:val="nil"/>
            </w:tcBorders>
            <w:vAlign w:val="center"/>
          </w:tcPr>
          <w:p>
            <w:pPr>
              <w:pStyle w:val="34"/>
            </w:pPr>
            <w:r>
              <w:t>二类区</w:t>
            </w:r>
          </w:p>
        </w:tc>
        <w:tc>
          <w:tcPr>
            <w:tcW w:w="448" w:type="pct"/>
            <w:tcBorders>
              <w:tl2br w:val="nil"/>
              <w:tr2bl w:val="nil"/>
            </w:tcBorders>
            <w:vAlign w:val="center"/>
          </w:tcPr>
          <w:p>
            <w:pPr>
              <w:pStyle w:val="34"/>
            </w:pPr>
            <w:r>
              <w:rPr>
                <w:rFonts w:hint="eastAsia"/>
              </w:rPr>
              <w:t>西北</w:t>
            </w:r>
          </w:p>
        </w:tc>
        <w:tc>
          <w:tcPr>
            <w:tcW w:w="520" w:type="pct"/>
            <w:tcBorders>
              <w:tl2br w:val="nil"/>
              <w:tr2bl w:val="nil"/>
            </w:tcBorders>
            <w:vAlign w:val="center"/>
          </w:tcPr>
          <w:p>
            <w:pPr>
              <w:pStyle w:val="34"/>
            </w:pPr>
            <w:r>
              <w:rPr>
                <w:rFonts w:hint="eastAsia"/>
              </w:rPr>
              <w:t>1914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653" w:type="pct"/>
            <w:vMerge w:val="continue"/>
            <w:tcBorders>
              <w:tl2br w:val="nil"/>
              <w:tr2bl w:val="nil"/>
            </w:tcBorders>
            <w:vAlign w:val="center"/>
          </w:tcPr>
          <w:p>
            <w:pPr>
              <w:pStyle w:val="34"/>
            </w:pPr>
          </w:p>
        </w:tc>
        <w:tc>
          <w:tcPr>
            <w:tcW w:w="410" w:type="pct"/>
            <w:tcBorders>
              <w:tl2br w:val="nil"/>
              <w:tr2bl w:val="nil"/>
            </w:tcBorders>
            <w:vAlign w:val="center"/>
          </w:tcPr>
          <w:p>
            <w:pPr>
              <w:pStyle w:val="34"/>
            </w:pPr>
            <w:r>
              <w:rPr>
                <w:rFonts w:hint="eastAsia"/>
              </w:rPr>
              <w:t>1880</w:t>
            </w:r>
          </w:p>
        </w:tc>
        <w:tc>
          <w:tcPr>
            <w:tcW w:w="493" w:type="pct"/>
            <w:tcBorders>
              <w:tl2br w:val="nil"/>
              <w:tr2bl w:val="nil"/>
            </w:tcBorders>
            <w:vAlign w:val="center"/>
          </w:tcPr>
          <w:p>
            <w:pPr>
              <w:pStyle w:val="34"/>
            </w:pPr>
            <w:r>
              <w:rPr>
                <w:rFonts w:hint="eastAsia"/>
              </w:rPr>
              <w:t>-625</w:t>
            </w:r>
          </w:p>
        </w:tc>
        <w:tc>
          <w:tcPr>
            <w:tcW w:w="990" w:type="pct"/>
            <w:tcBorders>
              <w:tl2br w:val="nil"/>
              <w:tr2bl w:val="nil"/>
            </w:tcBorders>
            <w:vAlign w:val="center"/>
          </w:tcPr>
          <w:p>
            <w:pPr>
              <w:pStyle w:val="34"/>
            </w:pPr>
            <w:r>
              <w:rPr>
                <w:rFonts w:hint="eastAsia"/>
              </w:rPr>
              <w:t>哈巴克村</w:t>
            </w:r>
          </w:p>
        </w:tc>
        <w:tc>
          <w:tcPr>
            <w:tcW w:w="436" w:type="pct"/>
            <w:tcBorders>
              <w:tl2br w:val="nil"/>
              <w:tr2bl w:val="nil"/>
            </w:tcBorders>
            <w:vAlign w:val="center"/>
          </w:tcPr>
          <w:p>
            <w:pPr>
              <w:pStyle w:val="34"/>
            </w:pPr>
            <w:r>
              <w:rPr>
                <w:rFonts w:hint="eastAsia"/>
              </w:rPr>
              <w:t>380人</w:t>
            </w:r>
          </w:p>
        </w:tc>
        <w:tc>
          <w:tcPr>
            <w:tcW w:w="622" w:type="pct"/>
            <w:tcBorders>
              <w:tl2br w:val="nil"/>
              <w:tr2bl w:val="nil"/>
            </w:tcBorders>
            <w:vAlign w:val="center"/>
          </w:tcPr>
          <w:p>
            <w:pPr>
              <w:pStyle w:val="34"/>
            </w:pPr>
            <w:r>
              <w:t>人群健康</w:t>
            </w:r>
          </w:p>
        </w:tc>
        <w:tc>
          <w:tcPr>
            <w:tcW w:w="428" w:type="pct"/>
            <w:tcBorders>
              <w:tl2br w:val="nil"/>
              <w:tr2bl w:val="nil"/>
            </w:tcBorders>
            <w:vAlign w:val="center"/>
          </w:tcPr>
          <w:p>
            <w:pPr>
              <w:pStyle w:val="34"/>
            </w:pPr>
            <w:r>
              <w:t>二类区</w:t>
            </w:r>
          </w:p>
        </w:tc>
        <w:tc>
          <w:tcPr>
            <w:tcW w:w="448" w:type="pct"/>
            <w:tcBorders>
              <w:tl2br w:val="nil"/>
              <w:tr2bl w:val="nil"/>
            </w:tcBorders>
            <w:vAlign w:val="center"/>
          </w:tcPr>
          <w:p>
            <w:pPr>
              <w:pStyle w:val="34"/>
            </w:pPr>
            <w:r>
              <w:rPr>
                <w:rFonts w:hint="eastAsia"/>
              </w:rPr>
              <w:t>东南</w:t>
            </w:r>
          </w:p>
        </w:tc>
        <w:tc>
          <w:tcPr>
            <w:tcW w:w="520" w:type="pct"/>
            <w:tcBorders>
              <w:tl2br w:val="nil"/>
              <w:tr2bl w:val="nil"/>
            </w:tcBorders>
            <w:vAlign w:val="center"/>
          </w:tcPr>
          <w:p>
            <w:pPr>
              <w:pStyle w:val="34"/>
            </w:pPr>
            <w:r>
              <w:rPr>
                <w:rFonts w:hint="eastAsia"/>
              </w:rPr>
              <w:t>1981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653" w:type="pct"/>
            <w:vMerge w:val="continue"/>
            <w:tcBorders>
              <w:tl2br w:val="nil"/>
              <w:tr2bl w:val="nil"/>
            </w:tcBorders>
            <w:vAlign w:val="center"/>
          </w:tcPr>
          <w:p>
            <w:pPr>
              <w:pStyle w:val="34"/>
            </w:pPr>
          </w:p>
        </w:tc>
        <w:tc>
          <w:tcPr>
            <w:tcW w:w="410" w:type="pct"/>
            <w:tcBorders>
              <w:tl2br w:val="nil"/>
              <w:tr2bl w:val="nil"/>
            </w:tcBorders>
            <w:vAlign w:val="center"/>
          </w:tcPr>
          <w:p>
            <w:pPr>
              <w:pStyle w:val="34"/>
            </w:pPr>
            <w:r>
              <w:rPr>
                <w:rFonts w:hint="eastAsia"/>
              </w:rPr>
              <w:t>-1730</w:t>
            </w:r>
          </w:p>
        </w:tc>
        <w:tc>
          <w:tcPr>
            <w:tcW w:w="493" w:type="pct"/>
            <w:tcBorders>
              <w:tl2br w:val="nil"/>
              <w:tr2bl w:val="nil"/>
            </w:tcBorders>
            <w:vAlign w:val="center"/>
          </w:tcPr>
          <w:p>
            <w:pPr>
              <w:pStyle w:val="34"/>
            </w:pPr>
            <w:r>
              <w:rPr>
                <w:rFonts w:hint="eastAsia"/>
              </w:rPr>
              <w:t>2615</w:t>
            </w:r>
          </w:p>
        </w:tc>
        <w:tc>
          <w:tcPr>
            <w:tcW w:w="990" w:type="pct"/>
            <w:tcBorders>
              <w:tl2br w:val="nil"/>
              <w:tr2bl w:val="nil"/>
            </w:tcBorders>
            <w:vAlign w:val="center"/>
          </w:tcPr>
          <w:p>
            <w:pPr>
              <w:pStyle w:val="34"/>
            </w:pPr>
            <w:r>
              <w:rPr>
                <w:rFonts w:hint="eastAsia"/>
              </w:rPr>
              <w:t>恩喀德克村</w:t>
            </w:r>
          </w:p>
        </w:tc>
        <w:tc>
          <w:tcPr>
            <w:tcW w:w="436" w:type="pct"/>
            <w:tcBorders>
              <w:tl2br w:val="nil"/>
              <w:tr2bl w:val="nil"/>
            </w:tcBorders>
            <w:vAlign w:val="center"/>
          </w:tcPr>
          <w:p>
            <w:pPr>
              <w:pStyle w:val="34"/>
            </w:pPr>
            <w:r>
              <w:rPr>
                <w:rFonts w:hint="eastAsia"/>
              </w:rPr>
              <w:t>300人</w:t>
            </w:r>
          </w:p>
        </w:tc>
        <w:tc>
          <w:tcPr>
            <w:tcW w:w="622" w:type="pct"/>
            <w:tcBorders>
              <w:tl2br w:val="nil"/>
              <w:tr2bl w:val="nil"/>
            </w:tcBorders>
            <w:vAlign w:val="center"/>
          </w:tcPr>
          <w:p>
            <w:pPr>
              <w:pStyle w:val="34"/>
            </w:pPr>
            <w:r>
              <w:t>人群健康</w:t>
            </w:r>
          </w:p>
        </w:tc>
        <w:tc>
          <w:tcPr>
            <w:tcW w:w="428" w:type="pct"/>
            <w:tcBorders>
              <w:tl2br w:val="nil"/>
              <w:tr2bl w:val="nil"/>
            </w:tcBorders>
            <w:vAlign w:val="center"/>
          </w:tcPr>
          <w:p>
            <w:pPr>
              <w:pStyle w:val="34"/>
            </w:pPr>
            <w:r>
              <w:t>二类区</w:t>
            </w:r>
          </w:p>
        </w:tc>
        <w:tc>
          <w:tcPr>
            <w:tcW w:w="448" w:type="pct"/>
            <w:tcBorders>
              <w:tl2br w:val="nil"/>
              <w:tr2bl w:val="nil"/>
            </w:tcBorders>
            <w:vAlign w:val="center"/>
          </w:tcPr>
          <w:p>
            <w:pPr>
              <w:pStyle w:val="34"/>
            </w:pPr>
            <w:r>
              <w:rPr>
                <w:rFonts w:hint="eastAsia"/>
              </w:rPr>
              <w:t>西北</w:t>
            </w:r>
          </w:p>
        </w:tc>
        <w:tc>
          <w:tcPr>
            <w:tcW w:w="520" w:type="pct"/>
            <w:tcBorders>
              <w:tl2br w:val="nil"/>
              <w:tr2bl w:val="nil"/>
            </w:tcBorders>
            <w:vAlign w:val="center"/>
          </w:tcPr>
          <w:p>
            <w:pPr>
              <w:pStyle w:val="34"/>
            </w:pPr>
            <w:r>
              <w:rPr>
                <w:rFonts w:hint="eastAsia"/>
              </w:rPr>
              <w:t>3135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653" w:type="pct"/>
            <w:vMerge w:val="continue"/>
            <w:tcBorders>
              <w:tl2br w:val="nil"/>
              <w:tr2bl w:val="nil"/>
            </w:tcBorders>
            <w:vAlign w:val="center"/>
          </w:tcPr>
          <w:p>
            <w:pPr>
              <w:pStyle w:val="34"/>
            </w:pPr>
          </w:p>
        </w:tc>
        <w:tc>
          <w:tcPr>
            <w:tcW w:w="410" w:type="pct"/>
            <w:tcBorders>
              <w:tl2br w:val="nil"/>
              <w:tr2bl w:val="nil"/>
            </w:tcBorders>
            <w:vAlign w:val="center"/>
          </w:tcPr>
          <w:p>
            <w:pPr>
              <w:pStyle w:val="34"/>
            </w:pPr>
            <w:r>
              <w:rPr>
                <w:rFonts w:hint="eastAsia"/>
              </w:rPr>
              <w:t>-2300</w:t>
            </w:r>
          </w:p>
        </w:tc>
        <w:tc>
          <w:tcPr>
            <w:tcW w:w="493" w:type="pct"/>
            <w:tcBorders>
              <w:tl2br w:val="nil"/>
              <w:tr2bl w:val="nil"/>
            </w:tcBorders>
            <w:vAlign w:val="center"/>
          </w:tcPr>
          <w:p>
            <w:pPr>
              <w:pStyle w:val="34"/>
            </w:pPr>
            <w:r>
              <w:rPr>
                <w:rFonts w:hint="eastAsia"/>
              </w:rPr>
              <w:t>-610</w:t>
            </w:r>
          </w:p>
        </w:tc>
        <w:tc>
          <w:tcPr>
            <w:tcW w:w="990" w:type="pct"/>
            <w:tcBorders>
              <w:tl2br w:val="nil"/>
              <w:tr2bl w:val="nil"/>
            </w:tcBorders>
            <w:vAlign w:val="center"/>
          </w:tcPr>
          <w:p>
            <w:pPr>
              <w:pStyle w:val="34"/>
            </w:pPr>
            <w:r>
              <w:rPr>
                <w:rFonts w:hint="eastAsia"/>
              </w:rPr>
              <w:t>喀依克巴斯村</w:t>
            </w:r>
          </w:p>
        </w:tc>
        <w:tc>
          <w:tcPr>
            <w:tcW w:w="436" w:type="pct"/>
            <w:tcBorders>
              <w:tl2br w:val="nil"/>
              <w:tr2bl w:val="nil"/>
            </w:tcBorders>
            <w:vAlign w:val="center"/>
          </w:tcPr>
          <w:p>
            <w:pPr>
              <w:pStyle w:val="34"/>
            </w:pPr>
            <w:r>
              <w:rPr>
                <w:rFonts w:hint="eastAsia"/>
              </w:rPr>
              <w:t>180人</w:t>
            </w:r>
          </w:p>
        </w:tc>
        <w:tc>
          <w:tcPr>
            <w:tcW w:w="622" w:type="pct"/>
            <w:tcBorders>
              <w:tl2br w:val="nil"/>
              <w:tr2bl w:val="nil"/>
            </w:tcBorders>
            <w:vAlign w:val="center"/>
          </w:tcPr>
          <w:p>
            <w:pPr>
              <w:pStyle w:val="34"/>
            </w:pPr>
            <w:r>
              <w:t>人群健康</w:t>
            </w:r>
          </w:p>
        </w:tc>
        <w:tc>
          <w:tcPr>
            <w:tcW w:w="428" w:type="pct"/>
            <w:tcBorders>
              <w:tl2br w:val="nil"/>
              <w:tr2bl w:val="nil"/>
            </w:tcBorders>
            <w:vAlign w:val="center"/>
          </w:tcPr>
          <w:p>
            <w:pPr>
              <w:pStyle w:val="34"/>
            </w:pPr>
            <w:r>
              <w:t>二类区</w:t>
            </w:r>
          </w:p>
        </w:tc>
        <w:tc>
          <w:tcPr>
            <w:tcW w:w="448" w:type="pct"/>
            <w:tcBorders>
              <w:tl2br w:val="nil"/>
              <w:tr2bl w:val="nil"/>
            </w:tcBorders>
            <w:vAlign w:val="center"/>
          </w:tcPr>
          <w:p>
            <w:pPr>
              <w:pStyle w:val="34"/>
            </w:pPr>
            <w:r>
              <w:rPr>
                <w:rFonts w:hint="eastAsia"/>
              </w:rPr>
              <w:t>西南</w:t>
            </w:r>
          </w:p>
        </w:tc>
        <w:tc>
          <w:tcPr>
            <w:tcW w:w="520" w:type="pct"/>
            <w:tcBorders>
              <w:tl2br w:val="nil"/>
              <w:tr2bl w:val="nil"/>
            </w:tcBorders>
            <w:vAlign w:val="center"/>
          </w:tcPr>
          <w:p>
            <w:pPr>
              <w:pStyle w:val="34"/>
            </w:pPr>
            <w:r>
              <w:rPr>
                <w:rFonts w:hint="eastAsia"/>
              </w:rPr>
              <w:t>2380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283" w:hRule="atLeast"/>
          <w:jc w:val="center"/>
        </w:trPr>
        <w:tc>
          <w:tcPr>
            <w:tcW w:w="653" w:type="pct"/>
            <w:tcBorders>
              <w:tl2br w:val="nil"/>
              <w:tr2bl w:val="nil"/>
            </w:tcBorders>
            <w:vAlign w:val="center"/>
          </w:tcPr>
          <w:p>
            <w:pPr>
              <w:pStyle w:val="34"/>
            </w:pPr>
            <w:r>
              <w:t>声环境</w:t>
            </w:r>
          </w:p>
        </w:tc>
        <w:tc>
          <w:tcPr>
            <w:tcW w:w="2328" w:type="pct"/>
            <w:gridSpan w:val="4"/>
            <w:tcBorders>
              <w:tl2br w:val="nil"/>
              <w:tr2bl w:val="nil"/>
            </w:tcBorders>
            <w:vAlign w:val="center"/>
          </w:tcPr>
          <w:p>
            <w:pPr>
              <w:pStyle w:val="34"/>
            </w:pPr>
            <w:r>
              <w:t>厂界噪声</w:t>
            </w:r>
          </w:p>
        </w:tc>
        <w:tc>
          <w:tcPr>
            <w:tcW w:w="2018" w:type="pct"/>
            <w:gridSpan w:val="4"/>
            <w:tcBorders>
              <w:tl2br w:val="nil"/>
              <w:tr2bl w:val="nil"/>
            </w:tcBorders>
            <w:vAlign w:val="center"/>
          </w:tcPr>
          <w:p>
            <w:pPr>
              <w:pStyle w:val="34"/>
            </w:pPr>
            <w:r>
              <w:t>《声环境质量标准》（GB3096-2008）2类声环境功能区环境噪声限值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283" w:hRule="atLeast"/>
          <w:jc w:val="center"/>
        </w:trPr>
        <w:tc>
          <w:tcPr>
            <w:tcW w:w="653" w:type="pct"/>
            <w:tcBorders>
              <w:tl2br w:val="nil"/>
              <w:tr2bl w:val="nil"/>
            </w:tcBorders>
            <w:vAlign w:val="center"/>
          </w:tcPr>
          <w:p>
            <w:pPr>
              <w:pStyle w:val="34"/>
            </w:pPr>
            <w:r>
              <w:t>地下水</w:t>
            </w:r>
          </w:p>
        </w:tc>
        <w:tc>
          <w:tcPr>
            <w:tcW w:w="2328" w:type="pct"/>
            <w:gridSpan w:val="4"/>
            <w:tcBorders>
              <w:tl2br w:val="nil"/>
              <w:tr2bl w:val="nil"/>
            </w:tcBorders>
            <w:vAlign w:val="center"/>
          </w:tcPr>
          <w:p>
            <w:pPr>
              <w:pStyle w:val="34"/>
            </w:pPr>
            <w:r>
              <w:t>厂址区域及附近地下水</w:t>
            </w:r>
          </w:p>
        </w:tc>
        <w:tc>
          <w:tcPr>
            <w:tcW w:w="2018" w:type="pct"/>
            <w:gridSpan w:val="4"/>
            <w:tcBorders>
              <w:tl2br w:val="nil"/>
              <w:tr2bl w:val="nil"/>
            </w:tcBorders>
            <w:vAlign w:val="center"/>
          </w:tcPr>
          <w:p>
            <w:pPr>
              <w:pStyle w:val="34"/>
            </w:pPr>
            <w:r>
              <w:t>《地下水质量标准》（GB/T14848-2017）Ⅲ类标准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283" w:hRule="atLeast"/>
          <w:jc w:val="center"/>
        </w:trPr>
        <w:tc>
          <w:tcPr>
            <w:tcW w:w="653" w:type="pct"/>
            <w:tcBorders>
              <w:tl2br w:val="nil"/>
              <w:tr2bl w:val="nil"/>
            </w:tcBorders>
            <w:vAlign w:val="center"/>
          </w:tcPr>
          <w:p>
            <w:pPr>
              <w:pStyle w:val="34"/>
            </w:pPr>
            <w:r>
              <w:t>土壤环境</w:t>
            </w:r>
          </w:p>
        </w:tc>
        <w:tc>
          <w:tcPr>
            <w:tcW w:w="2328" w:type="pct"/>
            <w:gridSpan w:val="4"/>
            <w:tcBorders>
              <w:tl2br w:val="nil"/>
              <w:tr2bl w:val="nil"/>
            </w:tcBorders>
            <w:vAlign w:val="center"/>
          </w:tcPr>
          <w:p>
            <w:pPr>
              <w:pStyle w:val="34"/>
            </w:pPr>
            <w:r>
              <w:t>厂址区域及附近土壤</w:t>
            </w:r>
          </w:p>
        </w:tc>
        <w:tc>
          <w:tcPr>
            <w:tcW w:w="2018" w:type="pct"/>
            <w:gridSpan w:val="4"/>
            <w:tcBorders>
              <w:tl2br w:val="nil"/>
              <w:tr2bl w:val="nil"/>
            </w:tcBorders>
            <w:vAlign w:val="center"/>
          </w:tcPr>
          <w:p>
            <w:pPr>
              <w:pStyle w:val="34"/>
            </w:pPr>
            <w:r>
              <w:rPr>
                <w:spacing w:val="-6"/>
              </w:rPr>
              <w:t>《土壤环境质量 建设用地土壤污染风险管控标准（试行）》（GB36600-2018）中第二类用地筛选值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283" w:hRule="atLeast"/>
          <w:jc w:val="center"/>
        </w:trPr>
        <w:tc>
          <w:tcPr>
            <w:tcW w:w="653" w:type="pct"/>
            <w:tcBorders>
              <w:tl2br w:val="nil"/>
              <w:tr2bl w:val="nil"/>
            </w:tcBorders>
            <w:vAlign w:val="center"/>
          </w:tcPr>
          <w:p>
            <w:pPr>
              <w:pStyle w:val="34"/>
            </w:pPr>
            <w:r>
              <w:t>生态</w:t>
            </w:r>
          </w:p>
        </w:tc>
        <w:tc>
          <w:tcPr>
            <w:tcW w:w="2328" w:type="pct"/>
            <w:gridSpan w:val="4"/>
            <w:tcBorders>
              <w:tl2br w:val="nil"/>
              <w:tr2bl w:val="nil"/>
            </w:tcBorders>
            <w:vAlign w:val="center"/>
          </w:tcPr>
          <w:p>
            <w:pPr>
              <w:pStyle w:val="34"/>
            </w:pPr>
            <w:r>
              <w:t>厂址区域及附近生态</w:t>
            </w:r>
          </w:p>
        </w:tc>
        <w:tc>
          <w:tcPr>
            <w:tcW w:w="2018" w:type="pct"/>
            <w:gridSpan w:val="4"/>
            <w:tcBorders>
              <w:tl2br w:val="nil"/>
              <w:tr2bl w:val="nil"/>
            </w:tcBorders>
            <w:vAlign w:val="center"/>
          </w:tcPr>
          <w:p>
            <w:pPr>
              <w:pStyle w:val="34"/>
            </w:pPr>
            <w:r>
              <w:t>厂区周边生态无明显变化</w:t>
            </w:r>
          </w:p>
        </w:tc>
      </w:tr>
    </w:tbl>
    <w:p>
      <w:pPr>
        <w:pStyle w:val="7"/>
        <w:ind w:firstLine="480"/>
        <w:rPr>
          <w:rFonts w:cs="Times New Roman"/>
        </w:rPr>
        <w:sectPr>
          <w:pgSz w:w="11906" w:h="16838"/>
          <w:pgMar w:top="1440" w:right="1797" w:bottom="1440" w:left="1797" w:header="851" w:footer="992" w:gutter="0"/>
          <w:pgNumType w:fmt="numberInDash"/>
          <w:cols w:space="720" w:num="1"/>
          <w:docGrid w:type="lines" w:linePitch="312" w:charSpace="0"/>
        </w:sectPr>
      </w:pPr>
    </w:p>
    <w:p>
      <w:pPr>
        <w:pStyle w:val="3"/>
        <w:spacing w:before="156" w:after="156"/>
        <w:jc w:val="center"/>
        <w:rPr>
          <w:rFonts w:eastAsia="宋体"/>
        </w:rPr>
      </w:pPr>
      <w:r>
        <w:rPr>
          <w:rFonts w:eastAsia="宋体"/>
        </w:rPr>
        <w:t xml:space="preserve">  </w:t>
      </w:r>
      <w:bookmarkStart w:id="44" w:name="_Toc2392"/>
      <w:r>
        <w:rPr>
          <w:rFonts w:eastAsia="宋体"/>
        </w:rPr>
        <w:t>建设项目工程分析</w:t>
      </w:r>
      <w:bookmarkEnd w:id="44"/>
    </w:p>
    <w:p>
      <w:pPr>
        <w:pStyle w:val="4"/>
        <w:spacing w:before="156" w:after="156"/>
        <w:rPr>
          <w:rFonts w:eastAsia="宋体"/>
        </w:rPr>
      </w:pPr>
      <w:bookmarkStart w:id="45" w:name="_Toc10537"/>
      <w:r>
        <w:rPr>
          <w:rFonts w:eastAsia="宋体"/>
        </w:rPr>
        <w:t>工程概况</w:t>
      </w:r>
      <w:bookmarkEnd w:id="45"/>
    </w:p>
    <w:p>
      <w:pPr>
        <w:pStyle w:val="5"/>
        <w:spacing w:before="0" w:beforeLines="0" w:after="0" w:afterLines="0"/>
        <w:rPr>
          <w:rFonts w:cs="Times New Roman"/>
        </w:rPr>
      </w:pPr>
      <w:r>
        <w:rPr>
          <w:rFonts w:cs="Times New Roman"/>
        </w:rPr>
        <w:t>项目基本情况</w:t>
      </w:r>
    </w:p>
    <w:p>
      <w:pPr>
        <w:pStyle w:val="7"/>
        <w:ind w:firstLine="480"/>
        <w:rPr>
          <w:rFonts w:cs="Times New Roman"/>
          <w:lang w:val="zh-CN"/>
        </w:rPr>
      </w:pPr>
      <w:r>
        <w:rPr>
          <w:rFonts w:cs="Times New Roman"/>
          <w:lang w:val="zh-CN"/>
        </w:rPr>
        <w:t>项目名称：</w:t>
      </w:r>
      <w:r>
        <w:rPr>
          <w:rFonts w:hint="eastAsia" w:cs="Times New Roman"/>
          <w:lang w:val="zh-CN"/>
        </w:rPr>
        <w:t>塔城市恰夏镇珠茹社日村股份经济合作社滴灌带生产加工厂建设项目</w:t>
      </w:r>
      <w:r>
        <w:rPr>
          <w:rFonts w:cs="Times New Roman"/>
          <w:lang w:val="zh-CN"/>
        </w:rPr>
        <w:t>；</w:t>
      </w:r>
    </w:p>
    <w:p>
      <w:pPr>
        <w:pStyle w:val="7"/>
        <w:ind w:firstLine="480"/>
        <w:rPr>
          <w:rFonts w:cs="Times New Roman"/>
          <w:lang w:val="zh-CN"/>
        </w:rPr>
      </w:pPr>
      <w:r>
        <w:rPr>
          <w:rFonts w:cs="Times New Roman"/>
          <w:lang w:val="zh-CN"/>
        </w:rPr>
        <w:t>建设单位：</w:t>
      </w:r>
      <w:r>
        <w:rPr>
          <w:rFonts w:hint="eastAsia" w:cs="Times New Roman"/>
          <w:lang w:val="zh-CN"/>
        </w:rPr>
        <w:t>塔城市恰夏镇珠茹社日村股份经济合作社</w:t>
      </w:r>
      <w:r>
        <w:rPr>
          <w:rFonts w:cs="Times New Roman"/>
          <w:lang w:val="zh-CN"/>
        </w:rPr>
        <w:t>；</w:t>
      </w:r>
    </w:p>
    <w:p>
      <w:pPr>
        <w:pStyle w:val="7"/>
        <w:ind w:firstLine="480"/>
        <w:rPr>
          <w:rFonts w:cs="Times New Roman"/>
          <w:lang w:val="zh-CN"/>
        </w:rPr>
      </w:pPr>
      <w:r>
        <w:rPr>
          <w:rFonts w:cs="Times New Roman"/>
          <w:lang w:val="zh-CN"/>
        </w:rPr>
        <w:t>建设性质：新建；</w:t>
      </w:r>
    </w:p>
    <w:p>
      <w:pPr>
        <w:pStyle w:val="7"/>
        <w:ind w:firstLine="480"/>
        <w:rPr>
          <w:rFonts w:cs="Times New Roman"/>
        </w:rPr>
      </w:pPr>
      <w:r>
        <w:rPr>
          <w:rFonts w:cs="Times New Roman"/>
          <w:lang w:val="zh-CN"/>
        </w:rPr>
        <w:t>建设规模：年回收</w:t>
      </w:r>
      <w:r>
        <w:rPr>
          <w:rFonts w:hint="eastAsia" w:cs="Times New Roman"/>
          <w:lang w:val="zh-CN"/>
        </w:rPr>
        <w:t>废旧滴灌带</w:t>
      </w:r>
      <w:r>
        <w:rPr>
          <w:rFonts w:cs="Times New Roman"/>
          <w:lang w:val="zh-CN"/>
        </w:rPr>
        <w:t>约</w:t>
      </w:r>
      <w:r>
        <w:rPr>
          <w:rFonts w:hint="eastAsia" w:cs="Times New Roman"/>
        </w:rPr>
        <w:t>5000</w:t>
      </w:r>
      <w:r>
        <w:rPr>
          <w:rFonts w:cs="Times New Roman"/>
          <w:lang w:val="zh-CN"/>
        </w:rPr>
        <w:t>t，年生产滴灌带约</w:t>
      </w:r>
      <w:r>
        <w:rPr>
          <w:rFonts w:cs="Times New Roman"/>
        </w:rPr>
        <w:t>3000</w:t>
      </w:r>
      <w:r>
        <w:rPr>
          <w:rFonts w:cs="Times New Roman"/>
          <w:lang w:val="zh-CN"/>
        </w:rPr>
        <w:t>t、水带约</w:t>
      </w:r>
      <w:r>
        <w:rPr>
          <w:rFonts w:cs="Times New Roman"/>
        </w:rPr>
        <w:t>2000</w:t>
      </w:r>
      <w:r>
        <w:rPr>
          <w:rFonts w:cs="Times New Roman"/>
          <w:lang w:val="zh-CN"/>
        </w:rPr>
        <w:t>t</w:t>
      </w:r>
      <w:r>
        <w:rPr>
          <w:rFonts w:cs="Times New Roman"/>
        </w:rPr>
        <w:t>；</w:t>
      </w:r>
    </w:p>
    <w:p>
      <w:pPr>
        <w:pStyle w:val="7"/>
        <w:ind w:firstLine="480"/>
        <w:rPr>
          <w:rFonts w:cs="Times New Roman"/>
          <w:lang w:val="zh-CN"/>
        </w:rPr>
      </w:pPr>
      <w:r>
        <w:rPr>
          <w:rFonts w:cs="Times New Roman"/>
          <w:lang w:val="zh-CN"/>
        </w:rPr>
        <w:t>项目投资：总投资</w:t>
      </w:r>
      <w:r>
        <w:rPr>
          <w:rFonts w:hint="eastAsia" w:cs="Times New Roman"/>
        </w:rPr>
        <w:t>500</w:t>
      </w:r>
      <w:r>
        <w:rPr>
          <w:rFonts w:cs="Times New Roman"/>
          <w:lang w:val="zh-CN"/>
        </w:rPr>
        <w:t>万元，全部由企业自筹解决；</w:t>
      </w:r>
    </w:p>
    <w:p>
      <w:pPr>
        <w:pStyle w:val="7"/>
        <w:ind w:firstLine="480"/>
        <w:rPr>
          <w:rFonts w:cs="Times New Roman"/>
          <w:lang w:val="zh-CN"/>
        </w:rPr>
      </w:pPr>
      <w:r>
        <w:rPr>
          <w:rFonts w:cs="Times New Roman"/>
          <w:lang w:val="zh-CN"/>
        </w:rPr>
        <w:t>建设地点：项目位于</w:t>
      </w:r>
      <w:r>
        <w:rPr>
          <w:rFonts w:hint="eastAsia" w:cs="Times New Roman"/>
        </w:rPr>
        <w:t>塔城市</w:t>
      </w:r>
      <w:r>
        <w:rPr>
          <w:rFonts w:hint="eastAsia" w:cs="Times New Roman"/>
          <w:lang w:val="zh-CN"/>
        </w:rPr>
        <w:t>恰夏镇珠茹社日村</w:t>
      </w:r>
      <w:r>
        <w:rPr>
          <w:rFonts w:hint="eastAsia" w:cs="Times New Roman"/>
        </w:rPr>
        <w:t>南</w:t>
      </w:r>
      <w:r>
        <w:rPr>
          <w:rFonts w:cs="Times New Roman"/>
          <w:lang w:val="zh-CN"/>
        </w:rPr>
        <w:t>侧</w:t>
      </w:r>
      <w:r>
        <w:rPr>
          <w:rFonts w:hint="eastAsia" w:cs="Times New Roman"/>
        </w:rPr>
        <w:t>约360m</w:t>
      </w:r>
      <w:r>
        <w:rPr>
          <w:rFonts w:cs="Times New Roman"/>
          <w:lang w:val="zh-CN"/>
        </w:rPr>
        <w:t>处。项目区</w:t>
      </w:r>
      <w:r>
        <w:rPr>
          <w:rFonts w:hint="eastAsia" w:cs="Times New Roman"/>
        </w:rPr>
        <w:t>东</w:t>
      </w:r>
      <w:r>
        <w:rPr>
          <w:rFonts w:cs="Times New Roman"/>
          <w:lang w:val="zh-CN"/>
        </w:rPr>
        <w:t>侧为</w:t>
      </w:r>
      <w:r>
        <w:rPr>
          <w:rFonts w:hint="eastAsia" w:cs="Times New Roman"/>
        </w:rPr>
        <w:t>烘干厂</w:t>
      </w:r>
      <w:r>
        <w:rPr>
          <w:rFonts w:cs="Times New Roman"/>
          <w:lang w:val="zh-CN"/>
        </w:rPr>
        <w:t>，</w:t>
      </w:r>
      <w:r>
        <w:rPr>
          <w:rFonts w:hint="eastAsia" w:cs="Times New Roman"/>
        </w:rPr>
        <w:t>西</w:t>
      </w:r>
      <w:r>
        <w:rPr>
          <w:rFonts w:cs="Times New Roman"/>
          <w:lang w:val="zh-CN"/>
        </w:rPr>
        <w:t>侧紧邻乡村道路，</w:t>
      </w:r>
      <w:r>
        <w:rPr>
          <w:rFonts w:hint="eastAsia" w:cs="Times New Roman"/>
        </w:rPr>
        <w:t>南</w:t>
      </w:r>
      <w:r>
        <w:rPr>
          <w:rFonts w:cs="Times New Roman"/>
          <w:lang w:val="zh-CN"/>
        </w:rPr>
        <w:t>、</w:t>
      </w:r>
      <w:r>
        <w:rPr>
          <w:rFonts w:hint="eastAsia" w:cs="Times New Roman"/>
        </w:rPr>
        <w:t>北</w:t>
      </w:r>
      <w:r>
        <w:rPr>
          <w:rFonts w:cs="Times New Roman"/>
          <w:lang w:val="zh-CN"/>
        </w:rPr>
        <w:t>侧均为空地。</w:t>
      </w:r>
    </w:p>
    <w:p>
      <w:pPr>
        <w:pStyle w:val="7"/>
        <w:ind w:firstLine="480"/>
        <w:rPr>
          <w:rFonts w:cs="Times New Roman"/>
          <w:lang w:val="zh-CN"/>
        </w:rPr>
      </w:pPr>
      <w:r>
        <w:rPr>
          <w:rFonts w:hint="eastAsia" w:cs="Times New Roman"/>
          <w:lang w:val="zh-CN"/>
        </w:rPr>
        <w:t>劳动定员及工作制度：本项目劳动定员30人。工作制度为全年工作180天，每天3班，每班8小时，年工作4320小时。</w:t>
      </w:r>
    </w:p>
    <w:p>
      <w:pPr>
        <w:pStyle w:val="5"/>
        <w:spacing w:before="0" w:beforeLines="0" w:after="0" w:afterLines="0"/>
        <w:rPr>
          <w:rFonts w:cs="Times New Roman"/>
        </w:rPr>
      </w:pPr>
      <w:r>
        <w:rPr>
          <w:rFonts w:cs="Times New Roman"/>
        </w:rPr>
        <w:t>项目组成与主要建设内容</w:t>
      </w:r>
    </w:p>
    <w:p>
      <w:pPr>
        <w:pStyle w:val="7"/>
        <w:ind w:firstLine="480"/>
        <w:rPr>
          <w:rFonts w:cs="Times New Roman"/>
          <w:lang w:val="zh-CN"/>
        </w:rPr>
      </w:pPr>
      <w:r>
        <w:rPr>
          <w:rFonts w:cs="Times New Roman"/>
          <w:lang w:val="zh-CN"/>
        </w:rPr>
        <w:t>项目总用地面积9974.4m</w:t>
      </w:r>
      <w:r>
        <w:rPr>
          <w:rFonts w:cs="Times New Roman"/>
          <w:vertAlign w:val="superscript"/>
          <w:lang w:val="zh-CN"/>
        </w:rPr>
        <w:t>2</w:t>
      </w:r>
      <w:r>
        <w:rPr>
          <w:rFonts w:cs="Times New Roman"/>
          <w:lang w:val="zh-CN"/>
        </w:rPr>
        <w:t>，总建筑面积</w:t>
      </w:r>
      <w:r>
        <w:rPr>
          <w:rFonts w:hint="eastAsia" w:cs="Times New Roman"/>
        </w:rPr>
        <w:t>90</w:t>
      </w:r>
      <w:r>
        <w:rPr>
          <w:rFonts w:cs="Times New Roman"/>
        </w:rPr>
        <w:t>00</w:t>
      </w:r>
      <w:r>
        <w:rPr>
          <w:rFonts w:cs="Times New Roman"/>
          <w:lang w:val="zh-CN"/>
        </w:rPr>
        <w:t>m</w:t>
      </w:r>
      <w:r>
        <w:rPr>
          <w:rFonts w:cs="Times New Roman"/>
          <w:vertAlign w:val="superscript"/>
          <w:lang w:val="zh-CN"/>
        </w:rPr>
        <w:t>2</w:t>
      </w:r>
      <w:r>
        <w:rPr>
          <w:rFonts w:cs="Times New Roman"/>
          <w:lang w:val="zh-CN"/>
        </w:rPr>
        <w:t>，由造粒间、成品生产车间、破碎车间、公用配套工程等组成。项目组成与建设内容见</w:t>
      </w:r>
      <w:r>
        <w:rPr>
          <w:rFonts w:hint="eastAsia" w:cs="Times New Roman"/>
        </w:rPr>
        <w:t>表3.1-1</w:t>
      </w:r>
      <w:r>
        <w:rPr>
          <w:rFonts w:cs="Times New Roman"/>
          <w:lang w:val="zh-CN"/>
        </w:rPr>
        <w:t>。</w:t>
      </w:r>
    </w:p>
    <w:p>
      <w:pPr>
        <w:pStyle w:val="36"/>
        <w:spacing w:before="156"/>
        <w:rPr>
          <w:rFonts w:eastAsia="宋体"/>
        </w:rPr>
      </w:pPr>
      <w:bookmarkStart w:id="46" w:name="_Ref111298589"/>
      <w:r>
        <w:rPr>
          <w:rFonts w:eastAsia="宋体"/>
        </w:rPr>
        <w:t>表</w:t>
      </w:r>
      <w:r>
        <w:rPr>
          <w:rFonts w:hint="eastAsia" w:eastAsia="宋体"/>
        </w:rPr>
        <w:t>3.1-1</w:t>
      </w:r>
      <w:bookmarkEnd w:id="46"/>
      <w:r>
        <w:rPr>
          <w:rFonts w:eastAsia="宋体"/>
        </w:rPr>
        <w:t xml:space="preserve">  项目组成及建设内容</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708"/>
        <w:gridCol w:w="1204"/>
        <w:gridCol w:w="5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Borders>
              <w:tl2br w:val="nil"/>
              <w:tr2bl w:val="nil"/>
            </w:tcBorders>
            <w:vAlign w:val="center"/>
          </w:tcPr>
          <w:p>
            <w:pPr>
              <w:pStyle w:val="34"/>
            </w:pPr>
            <w:r>
              <w:t>工程分类</w:t>
            </w:r>
          </w:p>
        </w:tc>
        <w:tc>
          <w:tcPr>
            <w:tcW w:w="4341" w:type="pct"/>
            <w:gridSpan w:val="3"/>
            <w:tcBorders>
              <w:tl2br w:val="nil"/>
              <w:tr2bl w:val="nil"/>
            </w:tcBorders>
            <w:vAlign w:val="center"/>
          </w:tcPr>
          <w:p>
            <w:pPr>
              <w:pStyle w:val="34"/>
            </w:pPr>
            <w:r>
              <w:t>具体内容及规模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9" w:type="pct"/>
            <w:vMerge w:val="restart"/>
            <w:tcBorders>
              <w:tl2br w:val="nil"/>
              <w:tr2bl w:val="nil"/>
            </w:tcBorders>
            <w:vAlign w:val="center"/>
          </w:tcPr>
          <w:p>
            <w:pPr>
              <w:pStyle w:val="34"/>
            </w:pPr>
            <w:r>
              <w:rPr>
                <w:rFonts w:hint="eastAsia"/>
              </w:rPr>
              <w:t>主体工程</w:t>
            </w:r>
          </w:p>
        </w:tc>
        <w:tc>
          <w:tcPr>
            <w:tcW w:w="1121" w:type="pct"/>
            <w:gridSpan w:val="2"/>
            <w:tcBorders>
              <w:tl2br w:val="nil"/>
              <w:tr2bl w:val="nil"/>
            </w:tcBorders>
            <w:vAlign w:val="center"/>
          </w:tcPr>
          <w:p>
            <w:pPr>
              <w:pStyle w:val="34"/>
            </w:pPr>
            <w:r>
              <w:rPr>
                <w:rFonts w:hint="eastAsia"/>
              </w:rPr>
              <w:t>粉碎造粒车间</w:t>
            </w:r>
          </w:p>
        </w:tc>
        <w:tc>
          <w:tcPr>
            <w:tcW w:w="3220" w:type="pct"/>
            <w:tcBorders>
              <w:tl2br w:val="nil"/>
              <w:tr2bl w:val="nil"/>
            </w:tcBorders>
            <w:vAlign w:val="center"/>
          </w:tcPr>
          <w:p>
            <w:pPr>
              <w:pStyle w:val="34"/>
            </w:pPr>
            <w:r>
              <w:t>设置破碎生产线1条</w:t>
            </w:r>
            <w:r>
              <w:rPr>
                <w:rFonts w:hint="eastAsia"/>
              </w:rPr>
              <w:t>，</w:t>
            </w:r>
            <w:r>
              <w:t>年处理废旧滴灌带约5000t</w:t>
            </w:r>
            <w:r>
              <w:rPr>
                <w:rFonts w:hint="eastAsia"/>
              </w:rPr>
              <w:t>，</w:t>
            </w:r>
            <w:r>
              <w:t>造粒生产线2条，建筑面积约</w:t>
            </w:r>
            <w:r>
              <w:rPr>
                <w:rFonts w:hint="eastAsia"/>
              </w:rPr>
              <w:t>800</w:t>
            </w:r>
            <w:r>
              <w:t>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t>成品生产车间</w:t>
            </w:r>
          </w:p>
        </w:tc>
        <w:tc>
          <w:tcPr>
            <w:tcW w:w="3220" w:type="pct"/>
            <w:tcBorders>
              <w:tl2br w:val="nil"/>
              <w:tr2bl w:val="nil"/>
            </w:tcBorders>
            <w:vAlign w:val="center"/>
          </w:tcPr>
          <w:p>
            <w:pPr>
              <w:pStyle w:val="34"/>
            </w:pPr>
            <w:r>
              <w:t>成品生产车间一座，建筑面积约</w:t>
            </w:r>
            <w:r>
              <w:rPr>
                <w:rFonts w:hint="eastAsia"/>
              </w:rPr>
              <w:t>1100</w:t>
            </w:r>
            <w:r>
              <w:t>m</w:t>
            </w:r>
            <w:r>
              <w:rPr>
                <w:vertAlign w:val="superscript"/>
              </w:rPr>
              <w:t>2</w:t>
            </w:r>
            <w:r>
              <w:t>，设置滴灌带生产线</w:t>
            </w:r>
            <w:r>
              <w:rPr>
                <w:rFonts w:hint="eastAsia"/>
              </w:rPr>
              <w:t>8</w:t>
            </w:r>
            <w:r>
              <w:t>条、水带生产线2条，年生产滴灌带约3000t、水带2000t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tcBorders>
              <w:tl2br w:val="nil"/>
              <w:tr2bl w:val="nil"/>
            </w:tcBorders>
            <w:vAlign w:val="center"/>
          </w:tcPr>
          <w:p>
            <w:pPr>
              <w:pStyle w:val="34"/>
            </w:pPr>
            <w:r>
              <w:t>辅助工程</w:t>
            </w:r>
          </w:p>
        </w:tc>
        <w:tc>
          <w:tcPr>
            <w:tcW w:w="1121" w:type="pct"/>
            <w:gridSpan w:val="2"/>
            <w:tcBorders>
              <w:tl2br w:val="nil"/>
              <w:tr2bl w:val="nil"/>
            </w:tcBorders>
            <w:vAlign w:val="center"/>
          </w:tcPr>
          <w:p>
            <w:pPr>
              <w:pStyle w:val="34"/>
            </w:pPr>
            <w:r>
              <w:t>清洗槽</w:t>
            </w:r>
          </w:p>
        </w:tc>
        <w:tc>
          <w:tcPr>
            <w:tcW w:w="3220" w:type="pct"/>
            <w:tcBorders>
              <w:tl2br w:val="nil"/>
              <w:tr2bl w:val="nil"/>
            </w:tcBorders>
            <w:vAlign w:val="center"/>
          </w:tcPr>
          <w:p>
            <w:pPr>
              <w:pStyle w:val="34"/>
            </w:pPr>
            <w:r>
              <w:t>清洗槽一座，位于造粒间，长15m，宽1.5m，深1.5m，容积33.75m³。用于清洗废旧滴灌带碎片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t>循环冷却水池</w:t>
            </w:r>
          </w:p>
        </w:tc>
        <w:tc>
          <w:tcPr>
            <w:tcW w:w="3220" w:type="pct"/>
            <w:tcBorders>
              <w:tl2br w:val="nil"/>
              <w:tr2bl w:val="nil"/>
            </w:tcBorders>
            <w:vAlign w:val="center"/>
          </w:tcPr>
          <w:p>
            <w:pPr>
              <w:pStyle w:val="34"/>
            </w:pPr>
            <w:r>
              <w:t>一座循环冷却水池，40m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rPr>
                <w:rFonts w:hint="eastAsia"/>
              </w:rPr>
              <w:t>循环沉淀池</w:t>
            </w:r>
          </w:p>
        </w:tc>
        <w:tc>
          <w:tcPr>
            <w:tcW w:w="3220" w:type="pct"/>
            <w:tcBorders>
              <w:tl2br w:val="nil"/>
              <w:tr2bl w:val="nil"/>
            </w:tcBorders>
            <w:vAlign w:val="center"/>
          </w:tcPr>
          <w:p>
            <w:pPr>
              <w:pStyle w:val="34"/>
              <w:rPr>
                <w:vertAlign w:val="superscript"/>
              </w:rPr>
            </w:pPr>
            <w:r>
              <w:t>厂区设置三级沉淀池一座，</w:t>
            </w:r>
            <w:r>
              <w:rPr>
                <w:rFonts w:hint="eastAsia"/>
              </w:rPr>
              <w:t>400</w:t>
            </w:r>
            <w:r>
              <w:t>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t>办公室</w:t>
            </w:r>
          </w:p>
        </w:tc>
        <w:tc>
          <w:tcPr>
            <w:tcW w:w="3220" w:type="pct"/>
            <w:tcBorders>
              <w:tl2br w:val="nil"/>
              <w:tr2bl w:val="nil"/>
            </w:tcBorders>
            <w:vAlign w:val="center"/>
          </w:tcPr>
          <w:p>
            <w:pPr>
              <w:pStyle w:val="34"/>
              <w:rPr>
                <w:vertAlign w:val="superscript"/>
              </w:rPr>
            </w:pPr>
            <w:r>
              <w:t>钢结构，建筑面积</w:t>
            </w:r>
            <w:r>
              <w:rPr>
                <w:rFonts w:hint="eastAsia"/>
              </w:rPr>
              <w:t>3</w:t>
            </w:r>
            <w:r>
              <w:t>00m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9" w:type="pct"/>
            <w:vMerge w:val="restart"/>
            <w:tcBorders>
              <w:tl2br w:val="nil"/>
              <w:tr2bl w:val="nil"/>
            </w:tcBorders>
            <w:vAlign w:val="center"/>
          </w:tcPr>
          <w:p>
            <w:pPr>
              <w:pStyle w:val="34"/>
            </w:pPr>
            <w:r>
              <w:t>储运工程</w:t>
            </w:r>
          </w:p>
        </w:tc>
        <w:tc>
          <w:tcPr>
            <w:tcW w:w="1121" w:type="pct"/>
            <w:gridSpan w:val="2"/>
            <w:tcBorders>
              <w:tl2br w:val="nil"/>
              <w:tr2bl w:val="nil"/>
            </w:tcBorders>
            <w:shd w:val="clear" w:color="auto" w:fill="auto"/>
            <w:vAlign w:val="center"/>
          </w:tcPr>
          <w:p>
            <w:pPr>
              <w:pStyle w:val="34"/>
            </w:pPr>
            <w:r>
              <w:rPr>
                <w:rFonts w:hint="eastAsia"/>
              </w:rPr>
              <w:t>原料库房</w:t>
            </w:r>
          </w:p>
        </w:tc>
        <w:tc>
          <w:tcPr>
            <w:tcW w:w="3220" w:type="pct"/>
            <w:tcBorders>
              <w:tl2br w:val="nil"/>
              <w:tr2bl w:val="nil"/>
            </w:tcBorders>
            <w:shd w:val="clear" w:color="auto" w:fill="auto"/>
            <w:vAlign w:val="center"/>
          </w:tcPr>
          <w:p>
            <w:pPr>
              <w:pStyle w:val="34"/>
            </w:pPr>
            <w:r>
              <w:rPr>
                <w:rFonts w:hint="eastAsia"/>
              </w:rPr>
              <w:t>半封闭</w:t>
            </w:r>
            <w:r>
              <w:t>彩钢棚一座，占地面积</w:t>
            </w:r>
            <w:r>
              <w:rPr>
                <w:rFonts w:hint="eastAsia"/>
              </w:rPr>
              <w:t>616</w:t>
            </w:r>
            <w:r>
              <w:t>m</w:t>
            </w:r>
            <w:r>
              <w:rPr>
                <w:vertAlign w:val="superscript"/>
              </w:rPr>
              <w:t>2</w:t>
            </w:r>
            <w:r>
              <w:t>，用于存放废旧滴灌带，储存能力约500t。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shd w:val="clear" w:color="auto" w:fill="auto"/>
            <w:vAlign w:val="center"/>
          </w:tcPr>
          <w:p>
            <w:pPr>
              <w:pStyle w:val="34"/>
            </w:pPr>
            <w:r>
              <w:t>成品库房</w:t>
            </w:r>
          </w:p>
        </w:tc>
        <w:tc>
          <w:tcPr>
            <w:tcW w:w="3220" w:type="pct"/>
            <w:tcBorders>
              <w:tl2br w:val="nil"/>
              <w:tr2bl w:val="nil"/>
            </w:tcBorders>
            <w:shd w:val="clear" w:color="auto" w:fill="auto"/>
            <w:vAlign w:val="center"/>
          </w:tcPr>
          <w:p>
            <w:pPr>
              <w:pStyle w:val="34"/>
            </w:pPr>
            <w:r>
              <w:t>建筑面积</w:t>
            </w:r>
            <w:r>
              <w:rPr>
                <w:rFonts w:hint="eastAsia"/>
              </w:rPr>
              <w:t>264</w:t>
            </w:r>
            <w:r>
              <w:t>m</w:t>
            </w:r>
            <w:r>
              <w:rPr>
                <w:vertAlign w:val="superscript"/>
              </w:rPr>
              <w:t>2</w:t>
            </w:r>
            <w:r>
              <w:t>，用于分区存放成品滴灌带及水带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tcBorders>
              <w:tl2br w:val="nil"/>
              <w:tr2bl w:val="nil"/>
            </w:tcBorders>
            <w:vAlign w:val="center"/>
          </w:tcPr>
          <w:p>
            <w:pPr>
              <w:pStyle w:val="34"/>
            </w:pPr>
            <w:r>
              <w:t>公用工程</w:t>
            </w:r>
          </w:p>
        </w:tc>
        <w:tc>
          <w:tcPr>
            <w:tcW w:w="1121" w:type="pct"/>
            <w:gridSpan w:val="2"/>
            <w:tcBorders>
              <w:tl2br w:val="nil"/>
              <w:tr2bl w:val="nil"/>
            </w:tcBorders>
            <w:vAlign w:val="center"/>
          </w:tcPr>
          <w:p>
            <w:pPr>
              <w:pStyle w:val="34"/>
            </w:pPr>
            <w:r>
              <w:t>给水</w:t>
            </w:r>
          </w:p>
        </w:tc>
        <w:tc>
          <w:tcPr>
            <w:tcW w:w="3220" w:type="pct"/>
            <w:tcBorders>
              <w:tl2br w:val="nil"/>
              <w:tr2bl w:val="nil"/>
            </w:tcBorders>
            <w:vAlign w:val="center"/>
          </w:tcPr>
          <w:p>
            <w:pPr>
              <w:pStyle w:val="34"/>
            </w:pPr>
            <w:r>
              <w:t>由</w:t>
            </w:r>
            <w:r>
              <w:rPr>
                <w:rFonts w:hint="eastAsia"/>
              </w:rPr>
              <w:t>厂区内水井提供用水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t>排水</w:t>
            </w:r>
          </w:p>
        </w:tc>
        <w:tc>
          <w:tcPr>
            <w:tcW w:w="3220" w:type="pct"/>
            <w:tcBorders>
              <w:tl2br w:val="nil"/>
              <w:tr2bl w:val="nil"/>
            </w:tcBorders>
            <w:vAlign w:val="center"/>
          </w:tcPr>
          <w:p>
            <w:pPr>
              <w:pStyle w:val="34"/>
            </w:pPr>
            <w:r>
              <w:t>原料清洗废水排入沉淀池，经沉淀池沉淀后做为原料清洗水循环使用，不外排；生活</w:t>
            </w:r>
            <w:r>
              <w:rPr>
                <w:rFonts w:hint="eastAsia"/>
              </w:rPr>
              <w:t>污水</w:t>
            </w:r>
            <w:r>
              <w:t>排入化粪池定期由吸污车清运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t>供电</w:t>
            </w:r>
          </w:p>
        </w:tc>
        <w:tc>
          <w:tcPr>
            <w:tcW w:w="3220" w:type="pct"/>
            <w:tcBorders>
              <w:tl2br w:val="nil"/>
              <w:tr2bl w:val="nil"/>
            </w:tcBorders>
            <w:vAlign w:val="center"/>
          </w:tcPr>
          <w:p>
            <w:pPr>
              <w:pStyle w:val="34"/>
            </w:pPr>
            <w:r>
              <w:t>配电室一座，电源来自国家电网。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t>供热</w:t>
            </w:r>
          </w:p>
        </w:tc>
        <w:tc>
          <w:tcPr>
            <w:tcW w:w="3220" w:type="pct"/>
            <w:tcBorders>
              <w:tl2br w:val="nil"/>
              <w:tr2bl w:val="nil"/>
            </w:tcBorders>
            <w:vAlign w:val="center"/>
          </w:tcPr>
          <w:p>
            <w:pPr>
              <w:pStyle w:val="34"/>
            </w:pPr>
            <w:r>
              <w:t>冬季采暖使用电采暖。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rPr>
                <w:rFonts w:hint="eastAsia"/>
              </w:rPr>
              <w:t>消防</w:t>
            </w:r>
          </w:p>
        </w:tc>
        <w:tc>
          <w:tcPr>
            <w:tcW w:w="3220" w:type="pct"/>
            <w:tcBorders>
              <w:tl2br w:val="nil"/>
              <w:tr2bl w:val="nil"/>
            </w:tcBorders>
            <w:vAlign w:val="center"/>
          </w:tcPr>
          <w:p>
            <w:pPr>
              <w:pStyle w:val="34"/>
            </w:pPr>
            <w:r>
              <w:rPr>
                <w:rFonts w:hint="eastAsia"/>
              </w:rPr>
              <w:t>厂区内设有消防通道，建筑物防火间距均能满足规范要求，室外消防栓设置在厂区内消防道路旁，以便于灭火时消防车辆使用。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rPr>
                <w:rFonts w:hint="eastAsia"/>
              </w:rPr>
              <w:t>通风</w:t>
            </w:r>
          </w:p>
        </w:tc>
        <w:tc>
          <w:tcPr>
            <w:tcW w:w="3220" w:type="pct"/>
            <w:tcBorders>
              <w:tl2br w:val="nil"/>
              <w:tr2bl w:val="nil"/>
            </w:tcBorders>
            <w:vAlign w:val="center"/>
          </w:tcPr>
          <w:p>
            <w:pPr>
              <w:pStyle w:val="34"/>
            </w:pPr>
            <w:r>
              <w:rPr>
                <w:rFonts w:hint="eastAsia"/>
              </w:rPr>
              <w:t>车间通风通过对向窗户开窗对流空气实现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pStyle w:val="34"/>
            </w:pPr>
            <w:r>
              <w:rPr>
                <w:rFonts w:hint="eastAsia"/>
              </w:rPr>
              <w:t>运输</w:t>
            </w:r>
          </w:p>
        </w:tc>
        <w:tc>
          <w:tcPr>
            <w:tcW w:w="3220" w:type="pct"/>
            <w:tcBorders>
              <w:tl2br w:val="nil"/>
              <w:tr2bl w:val="nil"/>
            </w:tcBorders>
            <w:vAlign w:val="center"/>
          </w:tcPr>
          <w:p>
            <w:pPr>
              <w:pStyle w:val="34"/>
            </w:pPr>
            <w:r>
              <w:rPr>
                <w:rFonts w:hint="eastAsia"/>
              </w:rPr>
              <w:t>建设单位自行利用汽车将</w:t>
            </w:r>
            <w:r>
              <w:t>废塑料运输</w:t>
            </w:r>
            <w:r>
              <w:rPr>
                <w:rFonts w:hint="eastAsia"/>
              </w:rPr>
              <w:t>至厂内，运输过程中打包完整或采用封闭的运输工具,防止遗撒。废塑料包装物防晒、防火、防高温，标识清晰，遵守交规。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659" w:type="pct"/>
            <w:vMerge w:val="restart"/>
            <w:tcBorders>
              <w:tl2br w:val="nil"/>
              <w:tr2bl w:val="nil"/>
            </w:tcBorders>
            <w:vAlign w:val="center"/>
          </w:tcPr>
          <w:p>
            <w:pPr>
              <w:pStyle w:val="34"/>
            </w:pPr>
            <w:r>
              <w:t>环保工程</w:t>
            </w:r>
          </w:p>
        </w:tc>
        <w:tc>
          <w:tcPr>
            <w:tcW w:w="415" w:type="pct"/>
            <w:tcBorders>
              <w:tl2br w:val="nil"/>
              <w:tr2bl w:val="nil"/>
            </w:tcBorders>
            <w:vAlign w:val="center"/>
          </w:tcPr>
          <w:p>
            <w:pPr>
              <w:pStyle w:val="34"/>
            </w:pPr>
            <w:r>
              <w:t>废气</w:t>
            </w:r>
          </w:p>
          <w:p>
            <w:pPr>
              <w:pStyle w:val="34"/>
            </w:pPr>
            <w:r>
              <w:t>治理</w:t>
            </w:r>
          </w:p>
        </w:tc>
        <w:tc>
          <w:tcPr>
            <w:tcW w:w="706" w:type="pct"/>
            <w:tcBorders>
              <w:tl2br w:val="nil"/>
              <w:tr2bl w:val="nil"/>
            </w:tcBorders>
            <w:vAlign w:val="center"/>
          </w:tcPr>
          <w:p>
            <w:pPr>
              <w:pStyle w:val="34"/>
            </w:pPr>
            <w:r>
              <w:t>生产废气</w:t>
            </w:r>
          </w:p>
        </w:tc>
        <w:tc>
          <w:tcPr>
            <w:tcW w:w="3220" w:type="pct"/>
            <w:tcBorders>
              <w:tl2br w:val="nil"/>
              <w:tr2bl w:val="nil"/>
            </w:tcBorders>
            <w:vAlign w:val="center"/>
          </w:tcPr>
          <w:p>
            <w:pPr>
              <w:pStyle w:val="34"/>
            </w:pPr>
            <w:r>
              <w:t>分别对废旧滴灌带造粒工段和滴灌带挤出成型工段热熔挤出设备安装集气罩收集废气，再通过管道通入一套UV光氧催化+活性炭吸附装置处理后经一根15m高排气筒排放。废旧滴灌带破碎采用湿法破碎，生产车间无组织废气通过加强车间通风等措施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vMerge w:val="restart"/>
            <w:tcBorders>
              <w:tl2br w:val="nil"/>
              <w:tr2bl w:val="nil"/>
            </w:tcBorders>
            <w:vAlign w:val="center"/>
          </w:tcPr>
          <w:p>
            <w:pPr>
              <w:pStyle w:val="34"/>
            </w:pPr>
            <w:r>
              <w:t>污水</w:t>
            </w:r>
          </w:p>
          <w:p>
            <w:pPr>
              <w:pStyle w:val="34"/>
            </w:pPr>
            <w:r>
              <w:t>处理</w:t>
            </w:r>
          </w:p>
        </w:tc>
        <w:tc>
          <w:tcPr>
            <w:tcW w:w="706" w:type="pct"/>
            <w:tcBorders>
              <w:tl2br w:val="nil"/>
              <w:tr2bl w:val="nil"/>
            </w:tcBorders>
            <w:vAlign w:val="center"/>
          </w:tcPr>
          <w:p>
            <w:pPr>
              <w:pStyle w:val="34"/>
            </w:pPr>
            <w:r>
              <w:t>生产废水</w:t>
            </w:r>
          </w:p>
        </w:tc>
        <w:tc>
          <w:tcPr>
            <w:tcW w:w="3220" w:type="pct"/>
            <w:tcBorders>
              <w:tl2br w:val="nil"/>
              <w:tr2bl w:val="nil"/>
            </w:tcBorders>
            <w:vAlign w:val="center"/>
          </w:tcPr>
          <w:p>
            <w:pPr>
              <w:pStyle w:val="34"/>
            </w:pPr>
            <w:r>
              <w:t>循环沉淀池一座，长20m，宽20m，深</w:t>
            </w:r>
            <w:r>
              <w:rPr>
                <w:rFonts w:hint="eastAsia"/>
              </w:rPr>
              <w:t>1</w:t>
            </w:r>
            <w:r>
              <w:t>m，容积</w:t>
            </w:r>
            <w:r>
              <w:rPr>
                <w:rFonts w:hint="eastAsia"/>
              </w:rPr>
              <w:t>400</w:t>
            </w:r>
            <w:r>
              <w:t>m</w:t>
            </w:r>
            <w:r>
              <w:rPr>
                <w:vertAlign w:val="superscript"/>
              </w:rPr>
              <w:t>3</w:t>
            </w:r>
            <w:r>
              <w:t>。用于沉淀清洗废水后循环使用，无生产废水排放。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vMerge w:val="continue"/>
            <w:tcBorders>
              <w:tl2br w:val="nil"/>
              <w:tr2bl w:val="nil"/>
            </w:tcBorders>
            <w:vAlign w:val="center"/>
          </w:tcPr>
          <w:p>
            <w:pPr>
              <w:pStyle w:val="34"/>
            </w:pPr>
          </w:p>
        </w:tc>
        <w:tc>
          <w:tcPr>
            <w:tcW w:w="706" w:type="pct"/>
            <w:tcBorders>
              <w:tl2br w:val="nil"/>
              <w:tr2bl w:val="nil"/>
            </w:tcBorders>
            <w:vAlign w:val="center"/>
          </w:tcPr>
          <w:p>
            <w:pPr>
              <w:pStyle w:val="34"/>
            </w:pPr>
            <w:r>
              <w:t>生活污水</w:t>
            </w:r>
          </w:p>
        </w:tc>
        <w:tc>
          <w:tcPr>
            <w:tcW w:w="3220" w:type="pct"/>
            <w:tcBorders>
              <w:tl2br w:val="nil"/>
              <w:tr2bl w:val="nil"/>
            </w:tcBorders>
            <w:vAlign w:val="center"/>
          </w:tcPr>
          <w:p>
            <w:pPr>
              <w:pStyle w:val="34"/>
            </w:pPr>
            <w:r>
              <w:t>生活污水在厂区30m</w:t>
            </w:r>
            <w:r>
              <w:rPr>
                <w:vertAlign w:val="superscript"/>
              </w:rPr>
              <w:t>3</w:t>
            </w:r>
            <w:r>
              <w:t>化粪池暂存，</w:t>
            </w:r>
            <w:r>
              <w:rPr>
                <w:lang w:val="zh-CN"/>
              </w:rPr>
              <w:t>定期由环卫</w:t>
            </w:r>
            <w:r>
              <w:rPr>
                <w:rFonts w:hint="eastAsia"/>
                <w:lang w:val="zh-CN"/>
              </w:rPr>
              <w:t>部门</w:t>
            </w:r>
            <w:r>
              <w:rPr>
                <w:lang w:val="zh-CN"/>
              </w:rPr>
              <w:t>拉运处理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tcBorders>
              <w:tl2br w:val="nil"/>
              <w:tr2bl w:val="nil"/>
            </w:tcBorders>
            <w:vAlign w:val="center"/>
          </w:tcPr>
          <w:p>
            <w:pPr>
              <w:pStyle w:val="34"/>
            </w:pPr>
            <w:r>
              <w:t>噪声</w:t>
            </w:r>
          </w:p>
          <w:p>
            <w:pPr>
              <w:pStyle w:val="34"/>
            </w:pPr>
            <w:r>
              <w:t>治理</w:t>
            </w:r>
          </w:p>
        </w:tc>
        <w:tc>
          <w:tcPr>
            <w:tcW w:w="706" w:type="pct"/>
            <w:tcBorders>
              <w:tl2br w:val="nil"/>
              <w:tr2bl w:val="nil"/>
            </w:tcBorders>
            <w:vAlign w:val="center"/>
          </w:tcPr>
          <w:p>
            <w:pPr>
              <w:pStyle w:val="34"/>
            </w:pPr>
            <w:r>
              <w:t>设备噪声</w:t>
            </w:r>
          </w:p>
        </w:tc>
        <w:tc>
          <w:tcPr>
            <w:tcW w:w="3220" w:type="pct"/>
            <w:tcBorders>
              <w:tl2br w:val="nil"/>
              <w:tr2bl w:val="nil"/>
            </w:tcBorders>
            <w:vAlign w:val="center"/>
          </w:tcPr>
          <w:p>
            <w:pPr>
              <w:pStyle w:val="34"/>
            </w:pPr>
            <w:r>
              <w:t>选用低噪声设备，设备基础减振，将设备均布置在室内，采取厂房隔声等措施降噪。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vMerge w:val="restart"/>
            <w:tcBorders>
              <w:tl2br w:val="nil"/>
              <w:tr2bl w:val="nil"/>
            </w:tcBorders>
            <w:vAlign w:val="center"/>
          </w:tcPr>
          <w:p>
            <w:pPr>
              <w:pStyle w:val="34"/>
            </w:pPr>
            <w:r>
              <w:t>固废</w:t>
            </w:r>
          </w:p>
          <w:p>
            <w:pPr>
              <w:pStyle w:val="34"/>
            </w:pPr>
            <w:r>
              <w:t>处置</w:t>
            </w:r>
          </w:p>
        </w:tc>
        <w:tc>
          <w:tcPr>
            <w:tcW w:w="706" w:type="pct"/>
            <w:tcBorders>
              <w:tl2br w:val="nil"/>
              <w:tr2bl w:val="nil"/>
            </w:tcBorders>
            <w:vAlign w:val="center"/>
          </w:tcPr>
          <w:p>
            <w:pPr>
              <w:pStyle w:val="34"/>
            </w:pPr>
            <w:r>
              <w:t>废过滤网</w:t>
            </w:r>
          </w:p>
        </w:tc>
        <w:tc>
          <w:tcPr>
            <w:tcW w:w="3220" w:type="pct"/>
            <w:tcBorders>
              <w:tl2br w:val="nil"/>
              <w:tr2bl w:val="nil"/>
            </w:tcBorders>
            <w:vAlign w:val="center"/>
          </w:tcPr>
          <w:p>
            <w:pPr>
              <w:pStyle w:val="34"/>
            </w:pPr>
            <w:r>
              <w:t>设置收集箱，统一收集后外售废品回收企业。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vMerge w:val="continue"/>
            <w:tcBorders>
              <w:tl2br w:val="nil"/>
              <w:tr2bl w:val="nil"/>
            </w:tcBorders>
            <w:vAlign w:val="center"/>
          </w:tcPr>
          <w:p>
            <w:pPr>
              <w:pStyle w:val="34"/>
            </w:pPr>
          </w:p>
        </w:tc>
        <w:tc>
          <w:tcPr>
            <w:tcW w:w="706" w:type="pct"/>
            <w:tcBorders>
              <w:tl2br w:val="nil"/>
              <w:tr2bl w:val="nil"/>
            </w:tcBorders>
            <w:vAlign w:val="center"/>
          </w:tcPr>
          <w:p>
            <w:pPr>
              <w:pStyle w:val="34"/>
            </w:pPr>
            <w:r>
              <w:t>沉淀池</w:t>
            </w:r>
          </w:p>
          <w:p>
            <w:pPr>
              <w:pStyle w:val="34"/>
            </w:pPr>
            <w:r>
              <w:t>污泥</w:t>
            </w:r>
          </w:p>
        </w:tc>
        <w:tc>
          <w:tcPr>
            <w:tcW w:w="3220" w:type="pct"/>
            <w:tcBorders>
              <w:tl2br w:val="nil"/>
              <w:tr2bl w:val="nil"/>
            </w:tcBorders>
            <w:vAlign w:val="center"/>
          </w:tcPr>
          <w:p>
            <w:pPr>
              <w:pStyle w:val="34"/>
            </w:pPr>
            <w:r>
              <w:rPr>
                <w:spacing w:val="-6"/>
              </w:rPr>
              <w:t>沉淀池污泥定期清掏，经自然干化后交由环卫部门清运处置</w:t>
            </w:r>
            <w:r>
              <w:rPr>
                <w:rFonts w:hint="eastAsia"/>
                <w:spacing w:val="-6"/>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vMerge w:val="continue"/>
            <w:tcBorders>
              <w:tl2br w:val="nil"/>
              <w:tr2bl w:val="nil"/>
            </w:tcBorders>
            <w:vAlign w:val="center"/>
          </w:tcPr>
          <w:p>
            <w:pPr>
              <w:pStyle w:val="34"/>
            </w:pPr>
          </w:p>
        </w:tc>
        <w:tc>
          <w:tcPr>
            <w:tcW w:w="706" w:type="pct"/>
            <w:tcBorders>
              <w:tl2br w:val="nil"/>
              <w:tr2bl w:val="nil"/>
            </w:tcBorders>
            <w:vAlign w:val="center"/>
          </w:tcPr>
          <w:p>
            <w:pPr>
              <w:pStyle w:val="34"/>
            </w:pPr>
            <w:r>
              <w:t>废活性炭、废灯管</w:t>
            </w:r>
          </w:p>
        </w:tc>
        <w:tc>
          <w:tcPr>
            <w:tcW w:w="3220" w:type="pct"/>
            <w:tcBorders>
              <w:tl2br w:val="nil"/>
              <w:tr2bl w:val="nil"/>
            </w:tcBorders>
            <w:vAlign w:val="center"/>
          </w:tcPr>
          <w:p>
            <w:pPr>
              <w:pStyle w:val="34"/>
            </w:pPr>
            <w:r>
              <w:t>活性炭吸附装置产生的废活性炭及UV光氧催化装置产生的废灯管定期更换，收集后暂存于</w:t>
            </w:r>
            <w:r>
              <w:rPr>
                <w:rFonts w:hint="eastAsia"/>
              </w:rPr>
              <w:t>危废贮存库</w:t>
            </w:r>
            <w:r>
              <w:t>，定期交由有资质的单位处置。新建一座</w:t>
            </w:r>
            <w:bookmarkStart w:id="47" w:name="OLE_LINK1"/>
            <w:r>
              <w:rPr>
                <w:rFonts w:hint="eastAsia"/>
              </w:rPr>
              <w:t>20</w:t>
            </w:r>
            <w:r>
              <w:t>m</w:t>
            </w:r>
            <w:r>
              <w:rPr>
                <w:vertAlign w:val="superscript"/>
              </w:rPr>
              <w:t>2</w:t>
            </w:r>
            <w:r>
              <w:rPr>
                <w:rFonts w:hint="eastAsia"/>
              </w:rPr>
              <w:t>危废贮存库</w:t>
            </w:r>
            <w:bookmarkEnd w:id="47"/>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vMerge w:val="continue"/>
            <w:tcBorders>
              <w:tl2br w:val="nil"/>
              <w:tr2bl w:val="nil"/>
            </w:tcBorders>
            <w:vAlign w:val="center"/>
          </w:tcPr>
          <w:p>
            <w:pPr>
              <w:pStyle w:val="34"/>
            </w:pPr>
          </w:p>
        </w:tc>
        <w:tc>
          <w:tcPr>
            <w:tcW w:w="706" w:type="pct"/>
            <w:tcBorders>
              <w:tl2br w:val="nil"/>
              <w:tr2bl w:val="nil"/>
            </w:tcBorders>
            <w:vAlign w:val="center"/>
          </w:tcPr>
          <w:p>
            <w:pPr>
              <w:pStyle w:val="34"/>
            </w:pPr>
            <w:r>
              <w:t>废润滑油</w:t>
            </w:r>
          </w:p>
        </w:tc>
        <w:tc>
          <w:tcPr>
            <w:tcW w:w="3220" w:type="pct"/>
            <w:tcBorders>
              <w:tl2br w:val="nil"/>
              <w:tr2bl w:val="nil"/>
            </w:tcBorders>
            <w:vAlign w:val="center"/>
          </w:tcPr>
          <w:p>
            <w:pPr>
              <w:pStyle w:val="34"/>
              <w:rPr>
                <w:spacing w:val="-6"/>
              </w:rPr>
            </w:pPr>
            <w:r>
              <w:rPr>
                <w:spacing w:val="-6"/>
              </w:rPr>
              <w:t>桶装收集后暂存于</w:t>
            </w:r>
            <w:r>
              <w:rPr>
                <w:rFonts w:hint="eastAsia"/>
                <w:spacing w:val="-6"/>
              </w:rPr>
              <w:t>危废贮存库</w:t>
            </w:r>
            <w:r>
              <w:rPr>
                <w:spacing w:val="-6"/>
              </w:rPr>
              <w:t>，定期交由有资质的单位处置</w:t>
            </w:r>
            <w:r>
              <w:rPr>
                <w:rFonts w:hint="eastAsia"/>
                <w:spacing w:val="-6"/>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pStyle w:val="34"/>
            </w:pPr>
          </w:p>
        </w:tc>
        <w:tc>
          <w:tcPr>
            <w:tcW w:w="415" w:type="pct"/>
            <w:vMerge w:val="continue"/>
            <w:tcBorders>
              <w:tl2br w:val="nil"/>
              <w:tr2bl w:val="nil"/>
            </w:tcBorders>
            <w:vAlign w:val="center"/>
          </w:tcPr>
          <w:p>
            <w:pPr>
              <w:pStyle w:val="34"/>
            </w:pPr>
          </w:p>
        </w:tc>
        <w:tc>
          <w:tcPr>
            <w:tcW w:w="706" w:type="pct"/>
            <w:tcBorders>
              <w:tl2br w:val="nil"/>
              <w:tr2bl w:val="nil"/>
            </w:tcBorders>
            <w:vAlign w:val="center"/>
          </w:tcPr>
          <w:p>
            <w:pPr>
              <w:pStyle w:val="34"/>
            </w:pPr>
            <w:r>
              <w:t>生活垃圾</w:t>
            </w:r>
          </w:p>
        </w:tc>
        <w:tc>
          <w:tcPr>
            <w:tcW w:w="3220" w:type="pct"/>
            <w:tcBorders>
              <w:tl2br w:val="nil"/>
              <w:tr2bl w:val="nil"/>
            </w:tcBorders>
            <w:vAlign w:val="center"/>
          </w:tcPr>
          <w:p>
            <w:pPr>
              <w:pStyle w:val="34"/>
            </w:pPr>
            <w:r>
              <w:rPr>
                <w:spacing w:val="-6"/>
              </w:rPr>
              <w:t>设置垃圾箱，经统一收集后定期交由当地环卫部门清运处置</w:t>
            </w:r>
            <w:r>
              <w:rPr>
                <w:rFonts w:hint="eastAsia"/>
                <w:spacing w:val="-6"/>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jc w:val="center"/>
              <w:rPr>
                <w:rFonts w:ascii="Times New Roman" w:hAnsi="Times New Roman"/>
                <w:kern w:val="0"/>
              </w:rPr>
            </w:pPr>
            <w:r>
              <w:rPr>
                <w:rFonts w:ascii="Times New Roman" w:hAnsi="Times New Roman"/>
                <w:kern w:val="0"/>
              </w:rPr>
              <w:t>防渗</w:t>
            </w:r>
          </w:p>
        </w:tc>
        <w:tc>
          <w:tcPr>
            <w:tcW w:w="3220" w:type="pct"/>
            <w:tcBorders>
              <w:tl2br w:val="nil"/>
              <w:tr2bl w:val="nil"/>
            </w:tcBorders>
            <w:vAlign w:val="center"/>
          </w:tcPr>
          <w:p>
            <w:pPr>
              <w:jc w:val="center"/>
              <w:rPr>
                <w:rFonts w:ascii="Times New Roman" w:hAnsi="Times New Roman"/>
                <w:bCs/>
              </w:rPr>
            </w:pPr>
            <w:r>
              <w:rPr>
                <w:rFonts w:ascii="Times New Roman" w:hAnsi="Times New Roman"/>
                <w:bCs/>
              </w:rPr>
              <w:t>原料库房、成品库、生产车间地面应进行硬化及防渗处理；沉淀池等池体应做好防渗</w:t>
            </w:r>
            <w:r>
              <w:rPr>
                <w:rFonts w:ascii="Times New Roman" w:hAnsi="Times New Roman"/>
              </w:rPr>
              <w:t>；危险废物</w:t>
            </w:r>
            <w:r>
              <w:rPr>
                <w:rFonts w:hint="eastAsia" w:ascii="Times New Roman" w:hAnsi="Times New Roman"/>
              </w:rPr>
              <w:t>贮存库</w:t>
            </w:r>
            <w:r>
              <w:rPr>
                <w:rFonts w:ascii="Times New Roman" w:hAnsi="Times New Roman"/>
              </w:rPr>
              <w:t>防渗处理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9" w:type="pct"/>
            <w:vMerge w:val="continue"/>
            <w:tcBorders>
              <w:tl2br w:val="nil"/>
              <w:tr2bl w:val="nil"/>
            </w:tcBorders>
            <w:vAlign w:val="center"/>
          </w:tcPr>
          <w:p>
            <w:pPr>
              <w:pStyle w:val="34"/>
            </w:pPr>
          </w:p>
        </w:tc>
        <w:tc>
          <w:tcPr>
            <w:tcW w:w="1121" w:type="pct"/>
            <w:gridSpan w:val="2"/>
            <w:tcBorders>
              <w:tl2br w:val="nil"/>
              <w:tr2bl w:val="nil"/>
            </w:tcBorders>
            <w:vAlign w:val="center"/>
          </w:tcPr>
          <w:p>
            <w:pPr>
              <w:jc w:val="center"/>
              <w:rPr>
                <w:rFonts w:ascii="Times New Roman" w:hAnsi="Times New Roman"/>
              </w:rPr>
            </w:pPr>
            <w:r>
              <w:rPr>
                <w:rFonts w:hint="eastAsia" w:ascii="Times New Roman" w:hAnsi="Times New Roman"/>
              </w:rPr>
              <w:t>绿化</w:t>
            </w:r>
          </w:p>
        </w:tc>
        <w:tc>
          <w:tcPr>
            <w:tcW w:w="3220" w:type="pct"/>
            <w:tcBorders>
              <w:tl2br w:val="nil"/>
              <w:tr2bl w:val="nil"/>
            </w:tcBorders>
            <w:vAlign w:val="center"/>
          </w:tcPr>
          <w:p>
            <w:pPr>
              <w:jc w:val="center"/>
              <w:rPr>
                <w:rFonts w:ascii="Times New Roman" w:hAnsi="Times New Roman"/>
                <w:spacing w:val="-6"/>
              </w:rPr>
            </w:pPr>
            <w:r>
              <w:rPr>
                <w:rFonts w:hint="eastAsia" w:ascii="Times New Roman" w:hAnsi="Times New Roman"/>
                <w:spacing w:val="-6"/>
              </w:rPr>
              <w:t>本项目一般均在冬季运行，不进行绿化。</w:t>
            </w:r>
          </w:p>
        </w:tc>
      </w:tr>
    </w:tbl>
    <w:p>
      <w:pPr>
        <w:pStyle w:val="5"/>
        <w:spacing w:after="0" w:afterLines="0"/>
        <w:rPr>
          <w:rFonts w:cs="Times New Roman"/>
        </w:rPr>
      </w:pPr>
      <w:r>
        <w:rPr>
          <w:rFonts w:cs="Times New Roman"/>
        </w:rPr>
        <w:t>建设规模及产品方案</w:t>
      </w:r>
    </w:p>
    <w:p>
      <w:pPr>
        <w:spacing w:line="480" w:lineRule="exact"/>
        <w:rPr>
          <w:rFonts w:ascii="Times New Roman" w:hAnsi="Times New Roman"/>
        </w:rPr>
      </w:pPr>
      <w:r>
        <w:rPr>
          <w:rFonts w:ascii="Times New Roman" w:hAnsi="Times New Roman"/>
        </w:rPr>
        <w:t>（1）生产规模</w:t>
      </w:r>
    </w:p>
    <w:p>
      <w:pPr>
        <w:adjustRightInd w:val="0"/>
        <w:spacing w:line="480" w:lineRule="exact"/>
        <w:ind w:firstLine="480" w:firstLineChars="200"/>
        <w:rPr>
          <w:rFonts w:ascii="Times New Roman" w:hAnsi="Times New Roman"/>
          <w:sz w:val="24"/>
          <w:szCs w:val="20"/>
        </w:rPr>
      </w:pPr>
      <w:r>
        <w:rPr>
          <w:rFonts w:ascii="Times New Roman" w:hAnsi="Times New Roman"/>
          <w:sz w:val="24"/>
          <w:szCs w:val="20"/>
        </w:rPr>
        <w:t>本项目建设规模为：</w:t>
      </w:r>
      <w:bookmarkStart w:id="48" w:name="OLE_LINK6"/>
      <w:r>
        <w:rPr>
          <w:rFonts w:ascii="Times New Roman" w:hAnsi="Times New Roman"/>
          <w:sz w:val="24"/>
          <w:szCs w:val="20"/>
        </w:rPr>
        <w:t>破碎生产线1条，造粒生产线2条，年产再生塑料颗粒4993.25t，滴灌带生产线</w:t>
      </w:r>
      <w:r>
        <w:rPr>
          <w:rFonts w:hint="eastAsia" w:ascii="Times New Roman" w:hAnsi="Times New Roman"/>
          <w:sz w:val="24"/>
          <w:szCs w:val="20"/>
        </w:rPr>
        <w:t>8</w:t>
      </w:r>
      <w:r>
        <w:rPr>
          <w:rFonts w:ascii="Times New Roman" w:hAnsi="Times New Roman"/>
          <w:sz w:val="24"/>
          <w:szCs w:val="20"/>
        </w:rPr>
        <w:t>条，年产滴灌带3000t，水带生产线2条</w:t>
      </w:r>
      <w:bookmarkEnd w:id="48"/>
      <w:r>
        <w:rPr>
          <w:rFonts w:ascii="Times New Roman" w:hAnsi="Times New Roman"/>
          <w:sz w:val="24"/>
          <w:szCs w:val="20"/>
        </w:rPr>
        <w:t>，年产水带2000t。项目</w:t>
      </w:r>
      <w:r>
        <w:rPr>
          <w:rFonts w:hint="eastAsia" w:ascii="Times New Roman" w:hAnsi="Times New Roman"/>
          <w:sz w:val="24"/>
          <w:szCs w:val="20"/>
        </w:rPr>
        <w:t>生产的滴灌带</w:t>
      </w:r>
      <w:r>
        <w:rPr>
          <w:rFonts w:ascii="Times New Roman" w:hAnsi="Times New Roman"/>
          <w:sz w:val="24"/>
          <w:szCs w:val="20"/>
        </w:rPr>
        <w:t>产品</w:t>
      </w:r>
      <w:r>
        <w:rPr>
          <w:rFonts w:hint="eastAsia" w:ascii="Times New Roman" w:hAnsi="Times New Roman"/>
          <w:sz w:val="24"/>
          <w:szCs w:val="20"/>
        </w:rPr>
        <w:t>有两种类型：</w:t>
      </w:r>
      <w:r>
        <w:rPr>
          <w:rFonts w:ascii="Times New Roman" w:hAnsi="Times New Roman"/>
          <w:sz w:val="24"/>
          <w:szCs w:val="20"/>
        </w:rPr>
        <w:t>单翼迷宫式滴灌带质量满足《塑料节水灌溉器材 第 1 部分：单翼迷宫式滴灌带》（GB/T19812.1-2017）</w:t>
      </w:r>
      <w:r>
        <w:rPr>
          <w:rFonts w:hint="eastAsia" w:ascii="Times New Roman" w:hAnsi="Times New Roman"/>
          <w:sz w:val="24"/>
          <w:szCs w:val="20"/>
        </w:rPr>
        <w:t>，内镶式滴灌管及滴灌带</w:t>
      </w:r>
      <w:r>
        <w:rPr>
          <w:rFonts w:ascii="Times New Roman" w:hAnsi="Times New Roman"/>
          <w:sz w:val="24"/>
          <w:szCs w:val="20"/>
        </w:rPr>
        <w:t xml:space="preserve">满足《塑料节水灌溉器材 第 </w:t>
      </w:r>
      <w:r>
        <w:rPr>
          <w:rFonts w:hint="eastAsia" w:ascii="Times New Roman" w:hAnsi="Times New Roman"/>
          <w:sz w:val="24"/>
          <w:szCs w:val="20"/>
        </w:rPr>
        <w:t>3</w:t>
      </w:r>
      <w:r>
        <w:rPr>
          <w:rFonts w:ascii="Times New Roman" w:hAnsi="Times New Roman"/>
          <w:sz w:val="24"/>
          <w:szCs w:val="20"/>
        </w:rPr>
        <w:t xml:space="preserve"> 部分：</w:t>
      </w:r>
      <w:r>
        <w:rPr>
          <w:rFonts w:hint="eastAsia" w:ascii="Times New Roman" w:hAnsi="Times New Roman"/>
          <w:sz w:val="24"/>
          <w:szCs w:val="20"/>
        </w:rPr>
        <w:t>内镶式滴灌管及滴灌带</w:t>
      </w:r>
      <w:r>
        <w:rPr>
          <w:rFonts w:ascii="Times New Roman" w:hAnsi="Times New Roman"/>
          <w:sz w:val="24"/>
          <w:szCs w:val="20"/>
        </w:rPr>
        <w:t>》（GB/T19812.</w:t>
      </w:r>
      <w:r>
        <w:rPr>
          <w:rFonts w:hint="eastAsia" w:ascii="Times New Roman" w:hAnsi="Times New Roman"/>
          <w:sz w:val="24"/>
          <w:szCs w:val="20"/>
        </w:rPr>
        <w:t>3</w:t>
      </w:r>
      <w:r>
        <w:rPr>
          <w:rFonts w:ascii="Times New Roman" w:hAnsi="Times New Roman"/>
          <w:sz w:val="24"/>
          <w:szCs w:val="20"/>
        </w:rPr>
        <w:t>-2017）；水带的产品质量满足《塑料节水灌溉器材第2部分：压力补偿式滴头及滴灌管》（GB/T19812.2-2017）产品方案见</w:t>
      </w:r>
      <w:r>
        <w:rPr>
          <w:rFonts w:hint="eastAsia" w:ascii="Times New Roman" w:hAnsi="Times New Roman"/>
          <w:sz w:val="24"/>
          <w:szCs w:val="20"/>
        </w:rPr>
        <w:t>表3.1-2</w:t>
      </w:r>
      <w:r>
        <w:rPr>
          <w:rFonts w:ascii="Times New Roman" w:hAnsi="Times New Roman"/>
          <w:sz w:val="24"/>
          <w:szCs w:val="20"/>
        </w:rPr>
        <w:t>。</w:t>
      </w:r>
    </w:p>
    <w:p>
      <w:pPr>
        <w:spacing w:line="480" w:lineRule="exact"/>
        <w:ind w:left="420" w:leftChars="200"/>
        <w:rPr>
          <w:rFonts w:ascii="Times New Roman" w:hAnsi="Times New Roman"/>
        </w:rPr>
      </w:pPr>
      <w:r>
        <w:rPr>
          <w:rFonts w:ascii="Times New Roman" w:hAnsi="Times New Roman"/>
        </w:rPr>
        <w:t>（2）产品方案</w:t>
      </w:r>
    </w:p>
    <w:p>
      <w:pPr>
        <w:adjustRightInd w:val="0"/>
        <w:spacing w:line="480" w:lineRule="exact"/>
        <w:ind w:firstLine="480" w:firstLineChars="200"/>
        <w:rPr>
          <w:rFonts w:ascii="Times New Roman" w:hAnsi="Times New Roman"/>
          <w:sz w:val="24"/>
          <w:szCs w:val="20"/>
        </w:rPr>
      </w:pPr>
      <w:r>
        <w:rPr>
          <w:rFonts w:ascii="Times New Roman" w:hAnsi="Times New Roman"/>
          <w:sz w:val="24"/>
          <w:szCs w:val="20"/>
        </w:rPr>
        <w:t>产品方案见</w:t>
      </w:r>
      <w:r>
        <w:rPr>
          <w:rFonts w:hint="eastAsia" w:ascii="Times New Roman" w:hAnsi="Times New Roman"/>
          <w:sz w:val="24"/>
          <w:szCs w:val="20"/>
        </w:rPr>
        <w:t>表3.1-2，滴灌带技术指标一览表见表3.1-3。</w:t>
      </w:r>
    </w:p>
    <w:p>
      <w:pPr>
        <w:pStyle w:val="36"/>
        <w:spacing w:before="156"/>
        <w:rPr>
          <w:rFonts w:eastAsia="宋体"/>
          <w:bCs/>
        </w:rPr>
      </w:pPr>
      <w:r>
        <w:rPr>
          <w:rFonts w:eastAsia="宋体"/>
        </w:rPr>
        <w:t>表</w:t>
      </w:r>
      <w:r>
        <w:rPr>
          <w:rFonts w:hint="eastAsia" w:eastAsia="宋体"/>
        </w:rPr>
        <w:t>3.1-2</w:t>
      </w:r>
      <w:r>
        <w:rPr>
          <w:rFonts w:eastAsia="宋体"/>
        </w:rPr>
        <w:t xml:space="preserve">  项目产品方案</w:t>
      </w:r>
    </w:p>
    <w:tbl>
      <w:tblPr>
        <w:tblStyle w:val="21"/>
        <w:tblW w:w="513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1052"/>
        <w:gridCol w:w="1392"/>
        <w:gridCol w:w="2282"/>
        <w:gridCol w:w="1088"/>
        <w:gridCol w:w="19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61" w:type="pct"/>
            <w:tcBorders>
              <w:tl2br w:val="nil"/>
              <w:tr2bl w:val="nil"/>
            </w:tcBorders>
            <w:vAlign w:val="center"/>
          </w:tcPr>
          <w:p>
            <w:pPr>
              <w:pStyle w:val="34"/>
            </w:pPr>
            <w:r>
              <w:t>序号</w:t>
            </w:r>
          </w:p>
        </w:tc>
        <w:tc>
          <w:tcPr>
            <w:tcW w:w="616" w:type="pct"/>
            <w:tcBorders>
              <w:tl2br w:val="nil"/>
              <w:tr2bl w:val="nil"/>
            </w:tcBorders>
            <w:vAlign w:val="center"/>
          </w:tcPr>
          <w:p>
            <w:pPr>
              <w:pStyle w:val="34"/>
            </w:pPr>
            <w:r>
              <w:t>产品</w:t>
            </w:r>
          </w:p>
        </w:tc>
        <w:tc>
          <w:tcPr>
            <w:tcW w:w="815" w:type="pct"/>
            <w:tcBorders>
              <w:tl2br w:val="nil"/>
              <w:tr2bl w:val="nil"/>
            </w:tcBorders>
            <w:vAlign w:val="center"/>
          </w:tcPr>
          <w:p>
            <w:pPr>
              <w:pStyle w:val="34"/>
            </w:pPr>
            <w:r>
              <w:t>年产量（t）</w:t>
            </w:r>
          </w:p>
        </w:tc>
        <w:tc>
          <w:tcPr>
            <w:tcW w:w="1336" w:type="pct"/>
            <w:tcBorders>
              <w:tl2br w:val="nil"/>
              <w:tr2bl w:val="nil"/>
            </w:tcBorders>
            <w:vAlign w:val="center"/>
          </w:tcPr>
          <w:p>
            <w:pPr>
              <w:pStyle w:val="34"/>
            </w:pPr>
            <w:r>
              <w:t>型号</w:t>
            </w:r>
          </w:p>
        </w:tc>
        <w:tc>
          <w:tcPr>
            <w:tcW w:w="637" w:type="pct"/>
            <w:tcBorders>
              <w:tl2br w:val="nil"/>
              <w:tr2bl w:val="nil"/>
            </w:tcBorders>
            <w:vAlign w:val="center"/>
          </w:tcPr>
          <w:p>
            <w:pPr>
              <w:pStyle w:val="34"/>
            </w:pPr>
            <w:r>
              <w:t>运输方式</w:t>
            </w:r>
          </w:p>
        </w:tc>
        <w:tc>
          <w:tcPr>
            <w:tcW w:w="1132" w:type="pct"/>
            <w:tcBorders>
              <w:tl2br w:val="nil"/>
              <w:tr2bl w:val="nil"/>
            </w:tcBorders>
            <w:vAlign w:val="center"/>
          </w:tcPr>
          <w:p>
            <w:pPr>
              <w:pStyle w:val="34"/>
            </w:pPr>
            <w: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61" w:type="pct"/>
            <w:tcBorders>
              <w:tl2br w:val="nil"/>
              <w:tr2bl w:val="nil"/>
            </w:tcBorders>
            <w:vAlign w:val="center"/>
          </w:tcPr>
          <w:p>
            <w:pPr>
              <w:pStyle w:val="34"/>
            </w:pPr>
            <w:r>
              <w:t>1</w:t>
            </w:r>
          </w:p>
        </w:tc>
        <w:tc>
          <w:tcPr>
            <w:tcW w:w="616" w:type="pct"/>
            <w:tcBorders>
              <w:tl2br w:val="nil"/>
              <w:tr2bl w:val="nil"/>
            </w:tcBorders>
            <w:vAlign w:val="center"/>
          </w:tcPr>
          <w:p>
            <w:pPr>
              <w:pStyle w:val="34"/>
            </w:pPr>
            <w:r>
              <w:t>再生塑料颗粒</w:t>
            </w:r>
          </w:p>
        </w:tc>
        <w:tc>
          <w:tcPr>
            <w:tcW w:w="815" w:type="pct"/>
            <w:tcBorders>
              <w:tl2br w:val="nil"/>
              <w:tr2bl w:val="nil"/>
            </w:tcBorders>
            <w:vAlign w:val="center"/>
          </w:tcPr>
          <w:p>
            <w:pPr>
              <w:pStyle w:val="34"/>
            </w:pPr>
            <w:r>
              <w:t>4993.25（补充新料至5000）</w:t>
            </w:r>
          </w:p>
        </w:tc>
        <w:tc>
          <w:tcPr>
            <w:tcW w:w="1336" w:type="pct"/>
            <w:tcBorders>
              <w:tl2br w:val="nil"/>
              <w:tr2bl w:val="nil"/>
            </w:tcBorders>
            <w:vAlign w:val="center"/>
          </w:tcPr>
          <w:p>
            <w:pPr>
              <w:pStyle w:val="34"/>
            </w:pPr>
            <w:r>
              <w:t>/</w:t>
            </w:r>
          </w:p>
        </w:tc>
        <w:tc>
          <w:tcPr>
            <w:tcW w:w="637" w:type="pct"/>
            <w:tcBorders>
              <w:tl2br w:val="nil"/>
              <w:tr2bl w:val="nil"/>
            </w:tcBorders>
            <w:vAlign w:val="center"/>
          </w:tcPr>
          <w:p>
            <w:pPr>
              <w:pStyle w:val="34"/>
            </w:pPr>
            <w:r>
              <w:t>汽车</w:t>
            </w:r>
          </w:p>
        </w:tc>
        <w:tc>
          <w:tcPr>
            <w:tcW w:w="1132" w:type="pct"/>
            <w:tcBorders>
              <w:tl2br w:val="nil"/>
              <w:tr2bl w:val="nil"/>
            </w:tcBorders>
            <w:vAlign w:val="center"/>
          </w:tcPr>
          <w:p>
            <w:pPr>
              <w:pStyle w:val="34"/>
            </w:pPr>
            <w:r>
              <w:t>用于本项目滴灌带等产品生产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461" w:type="pct"/>
            <w:tcBorders>
              <w:tl2br w:val="nil"/>
              <w:tr2bl w:val="nil"/>
            </w:tcBorders>
            <w:vAlign w:val="center"/>
          </w:tcPr>
          <w:p>
            <w:pPr>
              <w:pStyle w:val="34"/>
            </w:pPr>
            <w:r>
              <w:t>2</w:t>
            </w:r>
          </w:p>
        </w:tc>
        <w:tc>
          <w:tcPr>
            <w:tcW w:w="616" w:type="pct"/>
            <w:tcBorders>
              <w:tl2br w:val="nil"/>
              <w:tr2bl w:val="nil"/>
            </w:tcBorders>
            <w:vAlign w:val="center"/>
          </w:tcPr>
          <w:p>
            <w:pPr>
              <w:pStyle w:val="34"/>
            </w:pPr>
            <w:r>
              <w:t>滴灌带</w:t>
            </w:r>
          </w:p>
        </w:tc>
        <w:tc>
          <w:tcPr>
            <w:tcW w:w="815" w:type="pct"/>
            <w:tcBorders>
              <w:tl2br w:val="nil"/>
              <w:tr2bl w:val="nil"/>
            </w:tcBorders>
            <w:vAlign w:val="center"/>
          </w:tcPr>
          <w:p>
            <w:pPr>
              <w:pStyle w:val="34"/>
            </w:pPr>
            <w:r>
              <w:t>3000</w:t>
            </w:r>
          </w:p>
        </w:tc>
        <w:tc>
          <w:tcPr>
            <w:tcW w:w="1336" w:type="pct"/>
            <w:tcBorders>
              <w:tl2br w:val="nil"/>
              <w:tr2bl w:val="nil"/>
            </w:tcBorders>
            <w:vAlign w:val="center"/>
          </w:tcPr>
          <w:p>
            <w:pPr>
              <w:pStyle w:val="34"/>
            </w:pPr>
            <w:r>
              <w:rPr>
                <w:kern w:val="2"/>
              </w:rPr>
              <w:t>外径16mm，壁厚0.2mm</w:t>
            </w:r>
            <w:r>
              <w:rPr>
                <w:rFonts w:hint="eastAsia"/>
                <w:kern w:val="2"/>
              </w:rPr>
              <w:t>，</w:t>
            </w:r>
            <w:r>
              <w:rPr>
                <w:kern w:val="2"/>
              </w:rPr>
              <w:t>滴孔的</w:t>
            </w:r>
            <w:r>
              <w:t>间距300mm</w:t>
            </w:r>
            <w:r>
              <w:rPr>
                <w:rFonts w:hint="eastAsia"/>
              </w:rPr>
              <w:t>；</w:t>
            </w:r>
          </w:p>
          <w:p>
            <w:pPr>
              <w:pStyle w:val="34"/>
            </w:pPr>
            <w:r>
              <w:t>外径16mm，壁厚0.</w:t>
            </w:r>
            <w:r>
              <w:rPr>
                <w:rFonts w:hint="eastAsia"/>
              </w:rPr>
              <w:t>5</w:t>
            </w:r>
            <w:r>
              <w:t>mm，滴孔的间距300mm</w:t>
            </w:r>
            <w:r>
              <w:rPr>
                <w:rFonts w:hint="eastAsia"/>
              </w:rPr>
              <w:t>；</w:t>
            </w:r>
          </w:p>
        </w:tc>
        <w:tc>
          <w:tcPr>
            <w:tcW w:w="637" w:type="pct"/>
            <w:tcBorders>
              <w:tl2br w:val="nil"/>
              <w:tr2bl w:val="nil"/>
            </w:tcBorders>
            <w:vAlign w:val="center"/>
          </w:tcPr>
          <w:p>
            <w:pPr>
              <w:pStyle w:val="34"/>
            </w:pPr>
            <w:r>
              <w:t>汽车</w:t>
            </w:r>
          </w:p>
        </w:tc>
        <w:tc>
          <w:tcPr>
            <w:tcW w:w="1132" w:type="pct"/>
            <w:tcBorders>
              <w:tl2br w:val="nil"/>
              <w:tr2bl w:val="nil"/>
            </w:tcBorders>
            <w:vAlign w:val="center"/>
          </w:tcPr>
          <w:p>
            <w:pPr>
              <w:pStyle w:val="34"/>
            </w:pPr>
            <w:r>
              <w:t>出售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461" w:type="pct"/>
            <w:tcBorders>
              <w:tl2br w:val="nil"/>
              <w:tr2bl w:val="nil"/>
            </w:tcBorders>
            <w:vAlign w:val="center"/>
          </w:tcPr>
          <w:p>
            <w:pPr>
              <w:pStyle w:val="34"/>
            </w:pPr>
            <w:r>
              <w:t>3</w:t>
            </w:r>
          </w:p>
        </w:tc>
        <w:tc>
          <w:tcPr>
            <w:tcW w:w="616" w:type="pct"/>
            <w:tcBorders>
              <w:tl2br w:val="nil"/>
              <w:tr2bl w:val="nil"/>
            </w:tcBorders>
            <w:vAlign w:val="center"/>
          </w:tcPr>
          <w:p>
            <w:pPr>
              <w:pStyle w:val="34"/>
            </w:pPr>
            <w:r>
              <w:t>水带</w:t>
            </w:r>
          </w:p>
        </w:tc>
        <w:tc>
          <w:tcPr>
            <w:tcW w:w="815" w:type="pct"/>
            <w:tcBorders>
              <w:tl2br w:val="nil"/>
              <w:tr2bl w:val="nil"/>
            </w:tcBorders>
            <w:vAlign w:val="center"/>
          </w:tcPr>
          <w:p>
            <w:pPr>
              <w:pStyle w:val="34"/>
            </w:pPr>
            <w:r>
              <w:t>2000</w:t>
            </w:r>
          </w:p>
        </w:tc>
        <w:tc>
          <w:tcPr>
            <w:tcW w:w="1336" w:type="pct"/>
            <w:tcBorders>
              <w:tl2br w:val="nil"/>
              <w:tr2bl w:val="nil"/>
            </w:tcBorders>
            <w:vAlign w:val="center"/>
          </w:tcPr>
          <w:p>
            <w:pPr>
              <w:pStyle w:val="34"/>
            </w:pPr>
            <w:r>
              <w:t>1寸、1.5寸、2寸、3寸</w:t>
            </w:r>
          </w:p>
        </w:tc>
        <w:tc>
          <w:tcPr>
            <w:tcW w:w="637" w:type="pct"/>
            <w:tcBorders>
              <w:tl2br w:val="nil"/>
              <w:tr2bl w:val="nil"/>
            </w:tcBorders>
            <w:vAlign w:val="center"/>
          </w:tcPr>
          <w:p>
            <w:pPr>
              <w:pStyle w:val="34"/>
            </w:pPr>
            <w:r>
              <w:t>汽车</w:t>
            </w:r>
          </w:p>
        </w:tc>
        <w:tc>
          <w:tcPr>
            <w:tcW w:w="1132" w:type="pct"/>
            <w:tcBorders>
              <w:tl2br w:val="nil"/>
              <w:tr2bl w:val="nil"/>
            </w:tcBorders>
            <w:vAlign w:val="center"/>
          </w:tcPr>
          <w:p>
            <w:pPr>
              <w:pStyle w:val="34"/>
            </w:pPr>
            <w:r>
              <w:t>出售</w:t>
            </w:r>
          </w:p>
        </w:tc>
      </w:tr>
    </w:tbl>
    <w:p>
      <w:pPr>
        <w:pStyle w:val="36"/>
        <w:spacing w:before="156"/>
        <w:rPr>
          <w:rFonts w:eastAsia="宋体"/>
        </w:rPr>
      </w:pPr>
      <w:bookmarkStart w:id="49" w:name="_Ref114940329"/>
      <w:r>
        <w:rPr>
          <w:rFonts w:eastAsia="宋体"/>
        </w:rPr>
        <w:t>表</w:t>
      </w:r>
      <w:r>
        <w:rPr>
          <w:rFonts w:hint="eastAsia" w:eastAsia="宋体"/>
        </w:rPr>
        <w:t>3.1</w:t>
      </w:r>
      <w:r>
        <w:rPr>
          <w:rFonts w:eastAsia="宋体"/>
        </w:rPr>
        <w:noBreakHyphen/>
      </w:r>
      <w:bookmarkEnd w:id="49"/>
      <w:r>
        <w:rPr>
          <w:rFonts w:hint="eastAsia" w:eastAsia="宋体"/>
        </w:rPr>
        <w:t>3</w:t>
      </w:r>
      <w:r>
        <w:rPr>
          <w:rFonts w:eastAsia="宋体"/>
        </w:rPr>
        <w:t xml:space="preserve">  </w:t>
      </w:r>
      <w:r>
        <w:rPr>
          <w:rFonts w:eastAsia="宋体"/>
          <w:lang w:val="zh-CN"/>
        </w:rPr>
        <w:t>滴灌带技术指标</w:t>
      </w:r>
      <w:r>
        <w:rPr>
          <w:rFonts w:eastAsia="宋体"/>
        </w:rPr>
        <w:t>一览表</w:t>
      </w:r>
    </w:p>
    <w:tbl>
      <w:tblPr>
        <w:tblStyle w:val="21"/>
        <w:tblW w:w="5011" w:type="pct"/>
        <w:tblInd w:w="-2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521"/>
        <w:gridCol w:w="1180"/>
        <w:gridCol w:w="1017"/>
        <w:gridCol w:w="644"/>
        <w:gridCol w:w="125"/>
        <w:gridCol w:w="249"/>
        <w:gridCol w:w="272"/>
        <w:gridCol w:w="105"/>
        <w:gridCol w:w="542"/>
        <w:gridCol w:w="80"/>
        <w:gridCol w:w="498"/>
        <w:gridCol w:w="67"/>
        <w:gridCol w:w="480"/>
        <w:gridCol w:w="164"/>
        <w:gridCol w:w="38"/>
        <w:gridCol w:w="612"/>
        <w:gridCol w:w="13"/>
        <w:gridCol w:w="164"/>
        <w:gridCol w:w="457"/>
        <w:gridCol w:w="10"/>
        <w:gridCol w:w="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000" w:type="pct"/>
            <w:gridSpan w:val="22"/>
            <w:tcBorders>
              <w:tl2br w:val="nil"/>
              <w:tr2bl w:val="nil"/>
            </w:tcBorders>
            <w:vAlign w:val="center"/>
          </w:tcPr>
          <w:p>
            <w:pPr>
              <w:pStyle w:val="34"/>
            </w:pPr>
            <w:r>
              <w:t>单翼迷宫式滴灌带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91" w:type="pct"/>
            <w:tcBorders>
              <w:tl2br w:val="nil"/>
              <w:tr2bl w:val="nil"/>
            </w:tcBorders>
            <w:vAlign w:val="center"/>
          </w:tcPr>
          <w:p>
            <w:pPr>
              <w:pStyle w:val="34"/>
            </w:pPr>
            <w:r>
              <w:t>序号</w:t>
            </w:r>
          </w:p>
        </w:tc>
        <w:tc>
          <w:tcPr>
            <w:tcW w:w="1590" w:type="pct"/>
            <w:gridSpan w:val="3"/>
            <w:tcBorders>
              <w:tl2br w:val="nil"/>
              <w:tr2bl w:val="nil"/>
            </w:tcBorders>
            <w:vAlign w:val="center"/>
          </w:tcPr>
          <w:p>
            <w:pPr>
              <w:pStyle w:val="34"/>
            </w:pPr>
            <w:r>
              <w:t>要求</w:t>
            </w:r>
          </w:p>
        </w:tc>
        <w:tc>
          <w:tcPr>
            <w:tcW w:w="3019" w:type="pct"/>
            <w:gridSpan w:val="18"/>
            <w:tcBorders>
              <w:tl2br w:val="nil"/>
              <w:tr2bl w:val="nil"/>
            </w:tcBorders>
            <w:vAlign w:val="center"/>
          </w:tcPr>
          <w:p>
            <w:pPr>
              <w:pStyle w:val="34"/>
            </w:pPr>
            <w: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tcBorders>
              <w:tl2br w:val="nil"/>
              <w:tr2bl w:val="nil"/>
            </w:tcBorders>
            <w:vAlign w:val="center"/>
          </w:tcPr>
          <w:p>
            <w:pPr>
              <w:pStyle w:val="34"/>
            </w:pPr>
            <w:r>
              <w:t>1</w:t>
            </w:r>
          </w:p>
        </w:tc>
        <w:tc>
          <w:tcPr>
            <w:tcW w:w="1590" w:type="pct"/>
            <w:gridSpan w:val="3"/>
            <w:tcBorders>
              <w:tl2br w:val="nil"/>
              <w:tr2bl w:val="nil"/>
            </w:tcBorders>
            <w:vAlign w:val="center"/>
          </w:tcPr>
          <w:p>
            <w:pPr>
              <w:pStyle w:val="34"/>
            </w:pPr>
            <w:r>
              <w:t>外观</w:t>
            </w:r>
          </w:p>
        </w:tc>
        <w:tc>
          <w:tcPr>
            <w:tcW w:w="3019" w:type="pct"/>
            <w:gridSpan w:val="18"/>
            <w:tcBorders>
              <w:tl2br w:val="nil"/>
              <w:tr2bl w:val="nil"/>
            </w:tcBorders>
            <w:vAlign w:val="center"/>
          </w:tcPr>
          <w:p>
            <w:pPr>
              <w:pStyle w:val="34"/>
            </w:pPr>
            <w:r>
              <w:t>黑色，色泽均匀一致，表面光滑平整，不应有气泡、挂料线、明显的未塑化物、杂质。迷宫流道成型饱满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tcBorders>
              <w:tl2br w:val="nil"/>
              <w:tr2bl w:val="nil"/>
            </w:tcBorders>
            <w:vAlign w:val="center"/>
          </w:tcPr>
          <w:p>
            <w:pPr>
              <w:pStyle w:val="34"/>
            </w:pPr>
            <w:r>
              <w:t>2</w:t>
            </w:r>
          </w:p>
        </w:tc>
        <w:tc>
          <w:tcPr>
            <w:tcW w:w="1590" w:type="pct"/>
            <w:gridSpan w:val="3"/>
            <w:tcBorders>
              <w:tl2br w:val="nil"/>
              <w:tr2bl w:val="nil"/>
            </w:tcBorders>
            <w:vAlign w:val="center"/>
          </w:tcPr>
          <w:p>
            <w:pPr>
              <w:pStyle w:val="34"/>
            </w:pPr>
            <w:r>
              <w:t>不透光性</w:t>
            </w:r>
          </w:p>
        </w:tc>
        <w:tc>
          <w:tcPr>
            <w:tcW w:w="3019" w:type="pct"/>
            <w:gridSpan w:val="18"/>
            <w:tcBorders>
              <w:tl2br w:val="nil"/>
              <w:tr2bl w:val="nil"/>
            </w:tcBorders>
            <w:vAlign w:val="center"/>
          </w:tcPr>
          <w:p>
            <w:pPr>
              <w:pStyle w:val="34"/>
            </w:pPr>
            <w:r>
              <w:t>滴灌带应不透光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tcBorders>
              <w:tl2br w:val="nil"/>
              <w:tr2bl w:val="nil"/>
            </w:tcBorders>
            <w:vAlign w:val="center"/>
          </w:tcPr>
          <w:p>
            <w:pPr>
              <w:pStyle w:val="34"/>
            </w:pPr>
            <w:r>
              <w:t>3</w:t>
            </w:r>
          </w:p>
        </w:tc>
        <w:tc>
          <w:tcPr>
            <w:tcW w:w="305" w:type="pct"/>
            <w:vMerge w:val="restart"/>
            <w:tcBorders>
              <w:tl2br w:val="nil"/>
              <w:tr2bl w:val="nil"/>
            </w:tcBorders>
            <w:vAlign w:val="center"/>
          </w:tcPr>
          <w:p>
            <w:pPr>
              <w:pStyle w:val="34"/>
            </w:pPr>
            <w:r>
              <w:t>规格尺寸</w:t>
            </w:r>
          </w:p>
        </w:tc>
        <w:tc>
          <w:tcPr>
            <w:tcW w:w="1285" w:type="pct"/>
            <w:gridSpan w:val="2"/>
            <w:tcBorders>
              <w:tl2br w:val="nil"/>
              <w:tr2bl w:val="nil"/>
            </w:tcBorders>
            <w:vAlign w:val="center"/>
          </w:tcPr>
          <w:p>
            <w:pPr>
              <w:pStyle w:val="34"/>
            </w:pPr>
            <w:r>
              <w:t>公称内径（mm）</w:t>
            </w:r>
          </w:p>
        </w:tc>
        <w:tc>
          <w:tcPr>
            <w:tcW w:w="816" w:type="pct"/>
            <w:gridSpan w:val="5"/>
            <w:tcBorders>
              <w:tl2br w:val="nil"/>
              <w:tr2bl w:val="nil"/>
            </w:tcBorders>
            <w:vAlign w:val="center"/>
          </w:tcPr>
          <w:p>
            <w:pPr>
              <w:pStyle w:val="34"/>
            </w:pPr>
            <w:r>
              <w:t>12</w:t>
            </w:r>
          </w:p>
        </w:tc>
        <w:tc>
          <w:tcPr>
            <w:tcW w:w="655" w:type="pct"/>
            <w:gridSpan w:val="3"/>
            <w:tcBorders>
              <w:tl2br w:val="nil"/>
              <w:tr2bl w:val="nil"/>
            </w:tcBorders>
            <w:vAlign w:val="center"/>
          </w:tcPr>
          <w:p>
            <w:pPr>
              <w:pStyle w:val="34"/>
            </w:pPr>
            <w:r>
              <w:t>16</w:t>
            </w:r>
          </w:p>
        </w:tc>
        <w:tc>
          <w:tcPr>
            <w:tcW w:w="804" w:type="pct"/>
            <w:gridSpan w:val="6"/>
            <w:tcBorders>
              <w:tl2br w:val="nil"/>
              <w:tr2bl w:val="nil"/>
            </w:tcBorders>
            <w:vAlign w:val="center"/>
          </w:tcPr>
          <w:p>
            <w:pPr>
              <w:pStyle w:val="34"/>
            </w:pPr>
            <w:r>
              <w:t>18</w:t>
            </w:r>
          </w:p>
        </w:tc>
        <w:tc>
          <w:tcPr>
            <w:tcW w:w="744" w:type="pct"/>
            <w:gridSpan w:val="4"/>
            <w:tcBorders>
              <w:tl2br w:val="nil"/>
              <w:tr2bl w:val="nil"/>
            </w:tcBorders>
            <w:vAlign w:val="center"/>
          </w:tcPr>
          <w:p>
            <w:pPr>
              <w:pStyle w:val="34"/>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极限偏差（mm）</w:t>
            </w:r>
          </w:p>
        </w:tc>
        <w:tc>
          <w:tcPr>
            <w:tcW w:w="3019" w:type="pct"/>
            <w:gridSpan w:val="18"/>
            <w:tcBorders>
              <w:tl2br w:val="nil"/>
              <w:tr2bl w:val="nil"/>
            </w:tcBorders>
            <w:vAlign w:val="center"/>
          </w:tcPr>
          <w:p>
            <w:pPr>
              <w:pStyle w:val="34"/>
            </w:pPr>
            <w:r>
              <w:t>±0.3</w:t>
            </w: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tcBorders>
              <w:tl2br w:val="nil"/>
              <w:tr2bl w:val="nil"/>
            </w:tcBorders>
            <w:vAlign w:val="center"/>
          </w:tcPr>
          <w:p>
            <w:pPr>
              <w:pStyle w:val="34"/>
            </w:pPr>
            <w:r>
              <w:t>4</w:t>
            </w: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公称壁厚（mm）</w:t>
            </w:r>
          </w:p>
        </w:tc>
        <w:tc>
          <w:tcPr>
            <w:tcW w:w="450" w:type="pct"/>
            <w:gridSpan w:val="2"/>
            <w:tcBorders>
              <w:tl2br w:val="nil"/>
              <w:tr2bl w:val="nil"/>
            </w:tcBorders>
            <w:vAlign w:val="center"/>
          </w:tcPr>
          <w:p>
            <w:pPr>
              <w:pStyle w:val="34"/>
            </w:pPr>
            <w:r>
              <w:t>0.14</w:t>
            </w:r>
          </w:p>
        </w:tc>
        <w:tc>
          <w:tcPr>
            <w:tcW w:w="366" w:type="pct"/>
            <w:gridSpan w:val="3"/>
            <w:tcBorders>
              <w:tl2br w:val="nil"/>
              <w:tr2bl w:val="nil"/>
            </w:tcBorders>
            <w:vAlign w:val="center"/>
          </w:tcPr>
          <w:p>
            <w:pPr>
              <w:pStyle w:val="34"/>
            </w:pPr>
            <w:r>
              <w:t>0.16</w:t>
            </w:r>
          </w:p>
        </w:tc>
        <w:tc>
          <w:tcPr>
            <w:tcW w:w="364" w:type="pct"/>
            <w:gridSpan w:val="2"/>
            <w:tcBorders>
              <w:tl2br w:val="nil"/>
              <w:tr2bl w:val="nil"/>
            </w:tcBorders>
            <w:vAlign w:val="center"/>
          </w:tcPr>
          <w:p>
            <w:pPr>
              <w:pStyle w:val="34"/>
            </w:pPr>
            <w:r>
              <w:t>0.18</w:t>
            </w:r>
          </w:p>
        </w:tc>
        <w:tc>
          <w:tcPr>
            <w:tcW w:w="291" w:type="pct"/>
            <w:tcBorders>
              <w:tl2br w:val="nil"/>
              <w:tr2bl w:val="nil"/>
            </w:tcBorders>
            <w:vAlign w:val="center"/>
          </w:tcPr>
          <w:p>
            <w:pPr>
              <w:pStyle w:val="34"/>
            </w:pPr>
            <w:r>
              <w:t>0.20</w:t>
            </w:r>
          </w:p>
        </w:tc>
        <w:tc>
          <w:tcPr>
            <w:tcW w:w="438" w:type="pct"/>
            <w:gridSpan w:val="4"/>
            <w:tcBorders>
              <w:tl2br w:val="nil"/>
              <w:tr2bl w:val="nil"/>
            </w:tcBorders>
            <w:vAlign w:val="center"/>
          </w:tcPr>
          <w:p>
            <w:pPr>
              <w:pStyle w:val="34"/>
            </w:pPr>
            <w:r>
              <w:t>0.22</w:t>
            </w:r>
          </w:p>
        </w:tc>
        <w:tc>
          <w:tcPr>
            <w:tcW w:w="366" w:type="pct"/>
            <w:gridSpan w:val="2"/>
            <w:tcBorders>
              <w:tl2br w:val="nil"/>
              <w:tr2bl w:val="nil"/>
            </w:tcBorders>
            <w:vAlign w:val="center"/>
          </w:tcPr>
          <w:p>
            <w:pPr>
              <w:pStyle w:val="34"/>
            </w:pPr>
            <w:r>
              <w:t>0.24</w:t>
            </w:r>
          </w:p>
        </w:tc>
        <w:tc>
          <w:tcPr>
            <w:tcW w:w="363" w:type="pct"/>
            <w:gridSpan w:val="2"/>
            <w:tcBorders>
              <w:tl2br w:val="nil"/>
              <w:tr2bl w:val="nil"/>
            </w:tcBorders>
            <w:vAlign w:val="center"/>
          </w:tcPr>
          <w:p>
            <w:pPr>
              <w:pStyle w:val="34"/>
            </w:pPr>
            <w:r>
              <w:t>0.30</w:t>
            </w:r>
          </w:p>
        </w:tc>
        <w:tc>
          <w:tcPr>
            <w:tcW w:w="381" w:type="pct"/>
            <w:gridSpan w:val="2"/>
            <w:tcBorders>
              <w:tl2br w:val="nil"/>
              <w:tr2bl w:val="nil"/>
            </w:tcBorders>
            <w:vAlign w:val="center"/>
          </w:tcPr>
          <w:p>
            <w:pPr>
              <w:pStyle w:val="34"/>
            </w:pPr>
            <w: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极限偏差（mm）</w:t>
            </w:r>
          </w:p>
        </w:tc>
        <w:tc>
          <w:tcPr>
            <w:tcW w:w="3019" w:type="pct"/>
            <w:gridSpan w:val="18"/>
            <w:tcBorders>
              <w:tl2br w:val="nil"/>
              <w:tr2bl w:val="nil"/>
            </w:tcBorders>
            <w:vAlign w:val="center"/>
          </w:tcPr>
          <w:p>
            <w:pPr>
              <w:pStyle w:val="34"/>
            </w:pPr>
            <w:r>
              <w:t>+0.04</w:t>
            </w:r>
          </w:p>
          <w:p>
            <w:pPr>
              <w:pStyle w:val="34"/>
            </w:pPr>
            <w: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tcBorders>
              <w:tl2br w:val="nil"/>
              <w:tr2bl w:val="nil"/>
            </w:tcBorders>
            <w:vAlign w:val="center"/>
          </w:tcPr>
          <w:p>
            <w:pPr>
              <w:pStyle w:val="34"/>
            </w:pPr>
            <w:r>
              <w:t>5</w:t>
            </w:r>
          </w:p>
        </w:tc>
        <w:tc>
          <w:tcPr>
            <w:tcW w:w="305" w:type="pct"/>
            <w:vMerge w:val="continue"/>
            <w:tcBorders>
              <w:tl2br w:val="nil"/>
              <w:tr2bl w:val="nil"/>
            </w:tcBorders>
            <w:vAlign w:val="center"/>
          </w:tcPr>
          <w:p>
            <w:pPr>
              <w:pStyle w:val="34"/>
            </w:pPr>
          </w:p>
        </w:tc>
        <w:tc>
          <w:tcPr>
            <w:tcW w:w="690" w:type="pct"/>
            <w:vMerge w:val="restart"/>
            <w:tcBorders>
              <w:tl2br w:val="nil"/>
              <w:tr2bl w:val="nil"/>
            </w:tcBorders>
            <w:vAlign w:val="center"/>
          </w:tcPr>
          <w:p>
            <w:pPr>
              <w:pStyle w:val="34"/>
            </w:pPr>
            <w:r>
              <w:t>每卷段数（个）</w:t>
            </w:r>
          </w:p>
        </w:tc>
        <w:tc>
          <w:tcPr>
            <w:tcW w:w="595" w:type="pct"/>
            <w:tcBorders>
              <w:tl2br w:val="nil"/>
              <w:tr2bl w:val="nil"/>
            </w:tcBorders>
            <w:vAlign w:val="center"/>
          </w:tcPr>
          <w:p>
            <w:pPr>
              <w:pStyle w:val="34"/>
            </w:pPr>
            <w:r>
              <w:t>≤1000m</w:t>
            </w:r>
          </w:p>
        </w:tc>
        <w:tc>
          <w:tcPr>
            <w:tcW w:w="3019" w:type="pct"/>
            <w:gridSpan w:val="18"/>
            <w:tcBorders>
              <w:tl2br w:val="nil"/>
              <w:tr2bl w:val="nil"/>
            </w:tcBorders>
            <w:vAlign w:val="center"/>
          </w:tcPr>
          <w:p>
            <w:pPr>
              <w:pStyle w:val="34"/>
            </w:pP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690" w:type="pct"/>
            <w:vMerge w:val="continue"/>
            <w:tcBorders>
              <w:tl2br w:val="nil"/>
              <w:tr2bl w:val="nil"/>
            </w:tcBorders>
            <w:vAlign w:val="center"/>
          </w:tcPr>
          <w:p>
            <w:pPr>
              <w:pStyle w:val="34"/>
            </w:pPr>
          </w:p>
        </w:tc>
        <w:tc>
          <w:tcPr>
            <w:tcW w:w="595" w:type="pct"/>
            <w:tcBorders>
              <w:tl2br w:val="nil"/>
              <w:tr2bl w:val="nil"/>
            </w:tcBorders>
            <w:vAlign w:val="center"/>
          </w:tcPr>
          <w:p>
            <w:pPr>
              <w:pStyle w:val="34"/>
            </w:pPr>
            <w:r>
              <w:t>＞1000m</w:t>
            </w:r>
          </w:p>
        </w:tc>
        <w:tc>
          <w:tcPr>
            <w:tcW w:w="3019" w:type="pct"/>
            <w:gridSpan w:val="18"/>
            <w:tcBorders>
              <w:tl2br w:val="nil"/>
              <w:tr2bl w:val="nil"/>
            </w:tcBorders>
            <w:vAlign w:val="center"/>
          </w:tcPr>
          <w:p>
            <w:pPr>
              <w:pStyle w:val="34"/>
            </w:pPr>
            <w: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每段长度（m）</w:t>
            </w:r>
          </w:p>
        </w:tc>
        <w:tc>
          <w:tcPr>
            <w:tcW w:w="3019" w:type="pct"/>
            <w:gridSpan w:val="18"/>
            <w:tcBorders>
              <w:tl2br w:val="nil"/>
              <w:tr2bl w:val="nil"/>
            </w:tcBorders>
            <w:vAlign w:val="center"/>
          </w:tcPr>
          <w:p>
            <w:pPr>
              <w:pStyle w:val="34"/>
            </w:pPr>
            <w: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每卷长度偏差率（%）</w:t>
            </w:r>
          </w:p>
        </w:tc>
        <w:tc>
          <w:tcPr>
            <w:tcW w:w="3019" w:type="pct"/>
            <w:gridSpan w:val="18"/>
            <w:tcBorders>
              <w:tl2br w:val="nil"/>
              <w:tr2bl w:val="nil"/>
            </w:tcBorders>
            <w:vAlign w:val="center"/>
          </w:tcPr>
          <w:p>
            <w:pPr>
              <w:pStyle w:val="34"/>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000" w:type="pct"/>
            <w:gridSpan w:val="22"/>
            <w:tcBorders>
              <w:tl2br w:val="nil"/>
              <w:tr2bl w:val="nil"/>
            </w:tcBorders>
            <w:vAlign w:val="center"/>
          </w:tcPr>
          <w:p>
            <w:pPr>
              <w:pStyle w:val="34"/>
            </w:pPr>
            <w:r>
              <w:rPr>
                <w:rFonts w:hint="eastAsia"/>
              </w:rPr>
              <w:t>内镶式滴灌管及滴灌带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91" w:type="pct"/>
            <w:tcBorders>
              <w:tl2br w:val="nil"/>
              <w:tr2bl w:val="nil"/>
            </w:tcBorders>
            <w:vAlign w:val="center"/>
          </w:tcPr>
          <w:p>
            <w:pPr>
              <w:pStyle w:val="34"/>
            </w:pPr>
            <w:r>
              <w:t>序号</w:t>
            </w:r>
          </w:p>
        </w:tc>
        <w:tc>
          <w:tcPr>
            <w:tcW w:w="1590" w:type="pct"/>
            <w:gridSpan w:val="3"/>
            <w:tcBorders>
              <w:tl2br w:val="nil"/>
              <w:tr2bl w:val="nil"/>
            </w:tcBorders>
            <w:vAlign w:val="center"/>
          </w:tcPr>
          <w:p>
            <w:pPr>
              <w:pStyle w:val="34"/>
            </w:pPr>
            <w:r>
              <w:t>要求</w:t>
            </w:r>
          </w:p>
        </w:tc>
        <w:tc>
          <w:tcPr>
            <w:tcW w:w="3019" w:type="pct"/>
            <w:gridSpan w:val="18"/>
            <w:tcBorders>
              <w:tl2br w:val="nil"/>
              <w:tr2bl w:val="nil"/>
            </w:tcBorders>
            <w:vAlign w:val="center"/>
          </w:tcPr>
          <w:p>
            <w:pPr>
              <w:pStyle w:val="34"/>
            </w:pPr>
            <w: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tcBorders>
              <w:tl2br w:val="nil"/>
              <w:tr2bl w:val="nil"/>
            </w:tcBorders>
            <w:vAlign w:val="center"/>
          </w:tcPr>
          <w:p>
            <w:pPr>
              <w:pStyle w:val="34"/>
            </w:pPr>
            <w:r>
              <w:t>1</w:t>
            </w:r>
          </w:p>
        </w:tc>
        <w:tc>
          <w:tcPr>
            <w:tcW w:w="1590" w:type="pct"/>
            <w:gridSpan w:val="3"/>
            <w:tcBorders>
              <w:tl2br w:val="nil"/>
              <w:tr2bl w:val="nil"/>
            </w:tcBorders>
            <w:vAlign w:val="center"/>
          </w:tcPr>
          <w:p>
            <w:pPr>
              <w:pStyle w:val="34"/>
            </w:pPr>
            <w:r>
              <w:t>外观</w:t>
            </w:r>
          </w:p>
        </w:tc>
        <w:tc>
          <w:tcPr>
            <w:tcW w:w="3019" w:type="pct"/>
            <w:gridSpan w:val="18"/>
            <w:tcBorders>
              <w:tl2br w:val="nil"/>
              <w:tr2bl w:val="nil"/>
            </w:tcBorders>
            <w:vAlign w:val="center"/>
          </w:tcPr>
          <w:p>
            <w:pPr>
              <w:pStyle w:val="34"/>
            </w:pPr>
            <w:r>
              <w:t>黑色，色泽均匀一致，表面光滑平整，不应有气泡、挂料线、明显的未塑化物、杂质。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tcBorders>
              <w:tl2br w:val="nil"/>
              <w:tr2bl w:val="nil"/>
            </w:tcBorders>
            <w:vAlign w:val="center"/>
          </w:tcPr>
          <w:p>
            <w:pPr>
              <w:pStyle w:val="34"/>
            </w:pPr>
            <w:r>
              <w:t>2</w:t>
            </w:r>
          </w:p>
        </w:tc>
        <w:tc>
          <w:tcPr>
            <w:tcW w:w="1590" w:type="pct"/>
            <w:gridSpan w:val="3"/>
            <w:tcBorders>
              <w:tl2br w:val="nil"/>
              <w:tr2bl w:val="nil"/>
            </w:tcBorders>
            <w:vAlign w:val="center"/>
          </w:tcPr>
          <w:p>
            <w:pPr>
              <w:pStyle w:val="34"/>
            </w:pPr>
            <w:r>
              <w:t>不透光性</w:t>
            </w:r>
          </w:p>
        </w:tc>
        <w:tc>
          <w:tcPr>
            <w:tcW w:w="3019" w:type="pct"/>
            <w:gridSpan w:val="18"/>
            <w:tcBorders>
              <w:tl2br w:val="nil"/>
              <w:tr2bl w:val="nil"/>
            </w:tcBorders>
            <w:vAlign w:val="center"/>
          </w:tcPr>
          <w:p>
            <w:pPr>
              <w:pStyle w:val="34"/>
            </w:pPr>
            <w:r>
              <w:t>滴灌带应不透光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tcBorders>
              <w:tl2br w:val="nil"/>
              <w:tr2bl w:val="nil"/>
            </w:tcBorders>
            <w:vAlign w:val="center"/>
          </w:tcPr>
          <w:p>
            <w:pPr>
              <w:pStyle w:val="34"/>
            </w:pPr>
            <w:r>
              <w:t>3</w:t>
            </w:r>
          </w:p>
        </w:tc>
        <w:tc>
          <w:tcPr>
            <w:tcW w:w="305" w:type="pct"/>
            <w:vMerge w:val="restart"/>
            <w:tcBorders>
              <w:tl2br w:val="nil"/>
              <w:tr2bl w:val="nil"/>
            </w:tcBorders>
            <w:vAlign w:val="center"/>
          </w:tcPr>
          <w:p>
            <w:pPr>
              <w:pStyle w:val="34"/>
            </w:pPr>
            <w:r>
              <w:t>规格尺寸</w:t>
            </w:r>
          </w:p>
        </w:tc>
        <w:tc>
          <w:tcPr>
            <w:tcW w:w="1285" w:type="pct"/>
            <w:gridSpan w:val="2"/>
            <w:tcBorders>
              <w:tl2br w:val="nil"/>
              <w:tr2bl w:val="nil"/>
            </w:tcBorders>
            <w:vAlign w:val="center"/>
          </w:tcPr>
          <w:p>
            <w:pPr>
              <w:pStyle w:val="34"/>
            </w:pPr>
            <w:r>
              <w:t>公称内径（mm）</w:t>
            </w:r>
          </w:p>
        </w:tc>
        <w:tc>
          <w:tcPr>
            <w:tcW w:w="596" w:type="pct"/>
            <w:gridSpan w:val="3"/>
            <w:tcBorders>
              <w:tl2br w:val="nil"/>
              <w:tr2bl w:val="nil"/>
            </w:tcBorders>
            <w:vAlign w:val="center"/>
          </w:tcPr>
          <w:p>
            <w:pPr>
              <w:pStyle w:val="34"/>
            </w:pPr>
            <w:r>
              <w:rPr>
                <w:rFonts w:hint="eastAsia"/>
              </w:rPr>
              <w:t>8</w:t>
            </w:r>
          </w:p>
        </w:tc>
        <w:tc>
          <w:tcPr>
            <w:tcW w:w="584" w:type="pct"/>
            <w:gridSpan w:val="4"/>
            <w:tcBorders>
              <w:tl2br w:val="nil"/>
              <w:tr2bl w:val="nil"/>
            </w:tcBorders>
            <w:vAlign w:val="center"/>
          </w:tcPr>
          <w:p>
            <w:pPr>
              <w:pStyle w:val="34"/>
            </w:pPr>
            <w:r>
              <w:rPr>
                <w:rFonts w:hint="eastAsia"/>
              </w:rPr>
              <w:t>10</w:t>
            </w:r>
          </w:p>
        </w:tc>
        <w:tc>
          <w:tcPr>
            <w:tcW w:w="611" w:type="pct"/>
            <w:gridSpan w:val="3"/>
            <w:tcBorders>
              <w:tl2br w:val="nil"/>
              <w:tr2bl w:val="nil"/>
            </w:tcBorders>
            <w:vAlign w:val="center"/>
          </w:tcPr>
          <w:p>
            <w:pPr>
              <w:pStyle w:val="34"/>
            </w:pPr>
            <w:r>
              <w:rPr>
                <w:rFonts w:hint="eastAsia"/>
              </w:rPr>
              <w:t>12</w:t>
            </w:r>
          </w:p>
        </w:tc>
        <w:tc>
          <w:tcPr>
            <w:tcW w:w="580" w:type="pct"/>
            <w:gridSpan w:val="5"/>
            <w:tcBorders>
              <w:tl2br w:val="nil"/>
              <w:tr2bl w:val="nil"/>
            </w:tcBorders>
            <w:vAlign w:val="center"/>
          </w:tcPr>
          <w:p>
            <w:pPr>
              <w:pStyle w:val="34"/>
            </w:pPr>
            <w:r>
              <w:rPr>
                <w:rFonts w:hint="eastAsia"/>
              </w:rPr>
              <w:t>16</w:t>
            </w:r>
          </w:p>
        </w:tc>
        <w:tc>
          <w:tcPr>
            <w:tcW w:w="648" w:type="pct"/>
            <w:gridSpan w:val="3"/>
            <w:tcBorders>
              <w:tl2br w:val="nil"/>
              <w:tr2bl w:val="nil"/>
            </w:tcBorders>
            <w:vAlign w:val="center"/>
          </w:tcPr>
          <w:p>
            <w:pPr>
              <w:pStyle w:val="34"/>
            </w:pPr>
            <w:r>
              <w:rPr>
                <w:rFonts w:hint="eastAsi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极限偏差（mm）</w:t>
            </w:r>
          </w:p>
        </w:tc>
        <w:tc>
          <w:tcPr>
            <w:tcW w:w="3019" w:type="pct"/>
            <w:gridSpan w:val="18"/>
            <w:tcBorders>
              <w:tl2br w:val="nil"/>
              <w:tr2bl w:val="nil"/>
            </w:tcBorders>
            <w:vAlign w:val="center"/>
          </w:tcPr>
          <w:p>
            <w:pPr>
              <w:pStyle w:val="34"/>
            </w:pPr>
            <w:r>
              <w:t>±0.3</w:t>
            </w: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公称壁厚（mm）</w:t>
            </w:r>
          </w:p>
        </w:tc>
        <w:tc>
          <w:tcPr>
            <w:tcW w:w="377" w:type="pct"/>
            <w:tcBorders>
              <w:tl2br w:val="nil"/>
              <w:tr2bl w:val="nil"/>
            </w:tcBorders>
            <w:vAlign w:val="center"/>
          </w:tcPr>
          <w:p>
            <w:pPr>
              <w:pStyle w:val="34"/>
              <w:rPr>
                <w:spacing w:val="-23"/>
              </w:rPr>
            </w:pPr>
            <w:r>
              <w:rPr>
                <w:rFonts w:hint="eastAsia"/>
                <w:spacing w:val="-23"/>
              </w:rPr>
              <w:t>0.12</w:t>
            </w:r>
          </w:p>
        </w:tc>
        <w:tc>
          <w:tcPr>
            <w:tcW w:w="378" w:type="pct"/>
            <w:gridSpan w:val="3"/>
            <w:tcBorders>
              <w:tl2br w:val="nil"/>
              <w:tr2bl w:val="nil"/>
            </w:tcBorders>
            <w:vAlign w:val="center"/>
          </w:tcPr>
          <w:p>
            <w:pPr>
              <w:pStyle w:val="34"/>
              <w:rPr>
                <w:spacing w:val="-23"/>
              </w:rPr>
            </w:pPr>
            <w:r>
              <w:rPr>
                <w:spacing w:val="-23"/>
              </w:rPr>
              <w:t>0.1</w:t>
            </w:r>
            <w:r>
              <w:rPr>
                <w:rFonts w:hint="eastAsia"/>
                <w:spacing w:val="-23"/>
              </w:rPr>
              <w:t>6</w:t>
            </w:r>
          </w:p>
        </w:tc>
        <w:tc>
          <w:tcPr>
            <w:tcW w:w="378" w:type="pct"/>
            <w:gridSpan w:val="2"/>
            <w:tcBorders>
              <w:tl2br w:val="nil"/>
              <w:tr2bl w:val="nil"/>
            </w:tcBorders>
            <w:vAlign w:val="center"/>
          </w:tcPr>
          <w:p>
            <w:pPr>
              <w:pStyle w:val="34"/>
              <w:rPr>
                <w:spacing w:val="-23"/>
              </w:rPr>
            </w:pPr>
            <w:r>
              <w:rPr>
                <w:spacing w:val="-23"/>
              </w:rPr>
              <w:t>0.1</w:t>
            </w:r>
            <w:r>
              <w:rPr>
                <w:rFonts w:hint="eastAsia"/>
                <w:spacing w:val="-23"/>
              </w:rPr>
              <w:t>8</w:t>
            </w:r>
          </w:p>
        </w:tc>
        <w:tc>
          <w:tcPr>
            <w:tcW w:w="377" w:type="pct"/>
            <w:gridSpan w:val="3"/>
            <w:tcBorders>
              <w:tl2br w:val="nil"/>
              <w:tr2bl w:val="nil"/>
            </w:tcBorders>
            <w:vAlign w:val="center"/>
          </w:tcPr>
          <w:p>
            <w:pPr>
              <w:pStyle w:val="34"/>
              <w:rPr>
                <w:spacing w:val="-23"/>
              </w:rPr>
            </w:pPr>
            <w:r>
              <w:rPr>
                <w:spacing w:val="-23"/>
              </w:rPr>
              <w:t>0.</w:t>
            </w:r>
            <w:r>
              <w:rPr>
                <w:rFonts w:hint="eastAsia"/>
                <w:spacing w:val="-23"/>
              </w:rPr>
              <w:t>20</w:t>
            </w:r>
          </w:p>
        </w:tc>
        <w:tc>
          <w:tcPr>
            <w:tcW w:w="377" w:type="pct"/>
            <w:gridSpan w:val="2"/>
            <w:tcBorders>
              <w:tl2br w:val="nil"/>
              <w:tr2bl w:val="nil"/>
            </w:tcBorders>
            <w:vAlign w:val="center"/>
          </w:tcPr>
          <w:p>
            <w:pPr>
              <w:pStyle w:val="34"/>
              <w:rPr>
                <w:spacing w:val="-23"/>
              </w:rPr>
            </w:pPr>
            <w:r>
              <w:rPr>
                <w:spacing w:val="-23"/>
              </w:rPr>
              <w:t>0.2</w:t>
            </w:r>
            <w:r>
              <w:rPr>
                <w:rFonts w:hint="eastAsia"/>
                <w:spacing w:val="-23"/>
              </w:rPr>
              <w:t>5</w:t>
            </w:r>
          </w:p>
        </w:tc>
        <w:tc>
          <w:tcPr>
            <w:tcW w:w="380" w:type="pct"/>
            <w:gridSpan w:val="2"/>
            <w:tcBorders>
              <w:tl2br w:val="nil"/>
              <w:tr2bl w:val="nil"/>
            </w:tcBorders>
            <w:vAlign w:val="center"/>
          </w:tcPr>
          <w:p>
            <w:pPr>
              <w:pStyle w:val="34"/>
              <w:rPr>
                <w:spacing w:val="-23"/>
              </w:rPr>
            </w:pPr>
            <w:r>
              <w:rPr>
                <w:spacing w:val="-23"/>
              </w:rPr>
              <w:t>0.</w:t>
            </w:r>
            <w:r>
              <w:rPr>
                <w:rFonts w:hint="eastAsia"/>
                <w:spacing w:val="-23"/>
              </w:rPr>
              <w:t>30</w:t>
            </w:r>
          </w:p>
        </w:tc>
        <w:tc>
          <w:tcPr>
            <w:tcW w:w="377" w:type="pct"/>
            <w:gridSpan w:val="4"/>
            <w:tcBorders>
              <w:tl2br w:val="nil"/>
              <w:tr2bl w:val="nil"/>
            </w:tcBorders>
            <w:vAlign w:val="center"/>
          </w:tcPr>
          <w:p>
            <w:pPr>
              <w:pStyle w:val="34"/>
              <w:rPr>
                <w:spacing w:val="-23"/>
              </w:rPr>
            </w:pPr>
            <w:r>
              <w:rPr>
                <w:spacing w:val="-23"/>
              </w:rPr>
              <w:t>0.</w:t>
            </w:r>
            <w:r>
              <w:rPr>
                <w:rFonts w:hint="eastAsia"/>
                <w:spacing w:val="-23"/>
              </w:rPr>
              <w:t>35</w:t>
            </w:r>
          </w:p>
        </w:tc>
        <w:tc>
          <w:tcPr>
            <w:tcW w:w="375" w:type="pct"/>
            <w:tcBorders>
              <w:tl2br w:val="nil"/>
              <w:tr2bl w:val="nil"/>
            </w:tcBorders>
            <w:vAlign w:val="center"/>
          </w:tcPr>
          <w:p>
            <w:pPr>
              <w:pStyle w:val="34"/>
              <w:rPr>
                <w:spacing w:val="-23"/>
              </w:rPr>
            </w:pPr>
            <w:r>
              <w:rPr>
                <w:spacing w:val="-23"/>
              </w:rPr>
              <w:t>0.</w:t>
            </w:r>
            <w:r>
              <w:rPr>
                <w:rFonts w:hint="eastAsia"/>
                <w:spacing w:val="-23"/>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极限偏差（mm）</w:t>
            </w:r>
          </w:p>
        </w:tc>
        <w:tc>
          <w:tcPr>
            <w:tcW w:w="755" w:type="pct"/>
            <w:gridSpan w:val="4"/>
            <w:tcBorders>
              <w:tl2br w:val="nil"/>
              <w:tr2bl w:val="nil"/>
            </w:tcBorders>
            <w:vAlign w:val="center"/>
          </w:tcPr>
          <w:p>
            <w:pPr>
              <w:pStyle w:val="34"/>
            </w:pPr>
            <w:r>
              <w:t>+0.0</w:t>
            </w:r>
            <w:r>
              <w:rPr>
                <w:rFonts w:hint="eastAsia"/>
              </w:rPr>
              <w:t>2</w:t>
            </w:r>
          </w:p>
          <w:p>
            <w:pPr>
              <w:pStyle w:val="34"/>
            </w:pPr>
            <w:r>
              <w:t>-0.0</w:t>
            </w:r>
            <w:r>
              <w:rPr>
                <w:rFonts w:hint="eastAsia"/>
              </w:rPr>
              <w:t>1</w:t>
            </w:r>
          </w:p>
        </w:tc>
        <w:tc>
          <w:tcPr>
            <w:tcW w:w="755" w:type="pct"/>
            <w:gridSpan w:val="5"/>
            <w:tcBorders>
              <w:tl2br w:val="nil"/>
              <w:tr2bl w:val="nil"/>
            </w:tcBorders>
            <w:vAlign w:val="center"/>
          </w:tcPr>
          <w:p>
            <w:pPr>
              <w:pStyle w:val="34"/>
            </w:pPr>
            <w:r>
              <w:t>+0.0</w:t>
            </w:r>
            <w:r>
              <w:rPr>
                <w:rFonts w:hint="eastAsia"/>
              </w:rPr>
              <w:t>4</w:t>
            </w:r>
          </w:p>
          <w:p>
            <w:pPr>
              <w:pStyle w:val="34"/>
            </w:pPr>
            <w:r>
              <w:t>-0.0</w:t>
            </w:r>
            <w:r>
              <w:rPr>
                <w:rFonts w:hint="eastAsia"/>
              </w:rPr>
              <w:t>1</w:t>
            </w:r>
          </w:p>
        </w:tc>
        <w:tc>
          <w:tcPr>
            <w:tcW w:w="757" w:type="pct"/>
            <w:gridSpan w:val="4"/>
            <w:tcBorders>
              <w:tl2br w:val="nil"/>
              <w:tr2bl w:val="nil"/>
            </w:tcBorders>
            <w:vAlign w:val="center"/>
          </w:tcPr>
          <w:p>
            <w:pPr>
              <w:pStyle w:val="34"/>
            </w:pPr>
            <w:r>
              <w:t>+0.0</w:t>
            </w:r>
            <w:r>
              <w:rPr>
                <w:rFonts w:hint="eastAsia"/>
              </w:rPr>
              <w:t>5</w:t>
            </w:r>
          </w:p>
          <w:p>
            <w:pPr>
              <w:pStyle w:val="34"/>
            </w:pPr>
            <w:r>
              <w:t>-0.0</w:t>
            </w:r>
            <w:r>
              <w:rPr>
                <w:rFonts w:hint="eastAsia"/>
              </w:rPr>
              <w:t>2</w:t>
            </w:r>
          </w:p>
        </w:tc>
        <w:tc>
          <w:tcPr>
            <w:tcW w:w="752" w:type="pct"/>
            <w:gridSpan w:val="5"/>
            <w:tcBorders>
              <w:tl2br w:val="nil"/>
              <w:tr2bl w:val="nil"/>
            </w:tcBorders>
            <w:vAlign w:val="center"/>
          </w:tcPr>
          <w:p>
            <w:pPr>
              <w:pStyle w:val="34"/>
            </w:pPr>
            <w:r>
              <w:t>+0.0</w:t>
            </w:r>
            <w:r>
              <w:rPr>
                <w:rFonts w:hint="eastAsia"/>
              </w:rPr>
              <w:t>6</w:t>
            </w:r>
          </w:p>
          <w:p>
            <w:pPr>
              <w:pStyle w:val="34"/>
            </w:pPr>
            <w:r>
              <w:t>-0.0</w:t>
            </w: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tcBorders>
              <w:tl2br w:val="nil"/>
              <w:tr2bl w:val="nil"/>
            </w:tcBorders>
            <w:vAlign w:val="center"/>
          </w:tcPr>
          <w:p>
            <w:pPr>
              <w:pStyle w:val="34"/>
            </w:pPr>
            <w:r>
              <w:t>5</w:t>
            </w:r>
          </w:p>
        </w:tc>
        <w:tc>
          <w:tcPr>
            <w:tcW w:w="305" w:type="pct"/>
            <w:vMerge w:val="continue"/>
            <w:tcBorders>
              <w:tl2br w:val="nil"/>
              <w:tr2bl w:val="nil"/>
            </w:tcBorders>
            <w:vAlign w:val="center"/>
          </w:tcPr>
          <w:p>
            <w:pPr>
              <w:pStyle w:val="34"/>
            </w:pPr>
          </w:p>
        </w:tc>
        <w:tc>
          <w:tcPr>
            <w:tcW w:w="690" w:type="pct"/>
            <w:vMerge w:val="restart"/>
            <w:tcBorders>
              <w:tl2br w:val="nil"/>
              <w:tr2bl w:val="nil"/>
            </w:tcBorders>
            <w:vAlign w:val="center"/>
          </w:tcPr>
          <w:p>
            <w:pPr>
              <w:pStyle w:val="34"/>
            </w:pPr>
            <w:r>
              <w:t>每卷段数（个）</w:t>
            </w:r>
          </w:p>
        </w:tc>
        <w:tc>
          <w:tcPr>
            <w:tcW w:w="595" w:type="pct"/>
            <w:tcBorders>
              <w:tl2br w:val="nil"/>
              <w:tr2bl w:val="nil"/>
            </w:tcBorders>
            <w:vAlign w:val="center"/>
          </w:tcPr>
          <w:p>
            <w:pPr>
              <w:pStyle w:val="34"/>
            </w:pPr>
            <w:r>
              <w:t>≤1000m</w:t>
            </w:r>
          </w:p>
        </w:tc>
        <w:tc>
          <w:tcPr>
            <w:tcW w:w="3019" w:type="pct"/>
            <w:gridSpan w:val="18"/>
            <w:tcBorders>
              <w:tl2br w:val="nil"/>
              <w:tr2bl w:val="nil"/>
            </w:tcBorders>
            <w:vAlign w:val="center"/>
          </w:tcPr>
          <w:p>
            <w:pPr>
              <w:pStyle w:val="34"/>
            </w:pPr>
            <w: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690" w:type="pct"/>
            <w:vMerge w:val="continue"/>
            <w:tcBorders>
              <w:tl2br w:val="nil"/>
              <w:tr2bl w:val="nil"/>
            </w:tcBorders>
            <w:vAlign w:val="center"/>
          </w:tcPr>
          <w:p>
            <w:pPr>
              <w:pStyle w:val="34"/>
            </w:pPr>
          </w:p>
        </w:tc>
        <w:tc>
          <w:tcPr>
            <w:tcW w:w="595" w:type="pct"/>
            <w:tcBorders>
              <w:tl2br w:val="nil"/>
              <w:tr2bl w:val="nil"/>
            </w:tcBorders>
            <w:vAlign w:val="center"/>
          </w:tcPr>
          <w:p>
            <w:pPr>
              <w:pStyle w:val="34"/>
            </w:pPr>
            <w:r>
              <w:t>＞1000m</w:t>
            </w:r>
          </w:p>
        </w:tc>
        <w:tc>
          <w:tcPr>
            <w:tcW w:w="3019" w:type="pct"/>
            <w:gridSpan w:val="18"/>
            <w:tcBorders>
              <w:tl2br w:val="nil"/>
              <w:tr2bl w:val="nil"/>
            </w:tcBorders>
            <w:vAlign w:val="center"/>
          </w:tcPr>
          <w:p>
            <w:pPr>
              <w:pStyle w:val="34"/>
            </w:pPr>
            <w: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每段长度（m）</w:t>
            </w:r>
          </w:p>
        </w:tc>
        <w:tc>
          <w:tcPr>
            <w:tcW w:w="3019" w:type="pct"/>
            <w:gridSpan w:val="18"/>
            <w:tcBorders>
              <w:tl2br w:val="nil"/>
              <w:tr2bl w:val="nil"/>
            </w:tcBorders>
            <w:vAlign w:val="center"/>
          </w:tcPr>
          <w:p>
            <w:pPr>
              <w:pStyle w:val="34"/>
            </w:pPr>
            <w: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tcBorders>
              <w:tl2br w:val="nil"/>
              <w:tr2bl w:val="nil"/>
            </w:tcBorders>
            <w:vAlign w:val="center"/>
          </w:tcPr>
          <w:p>
            <w:pPr>
              <w:pStyle w:val="34"/>
            </w:pPr>
          </w:p>
        </w:tc>
        <w:tc>
          <w:tcPr>
            <w:tcW w:w="305" w:type="pct"/>
            <w:vMerge w:val="continue"/>
            <w:tcBorders>
              <w:tl2br w:val="nil"/>
              <w:tr2bl w:val="nil"/>
            </w:tcBorders>
            <w:vAlign w:val="center"/>
          </w:tcPr>
          <w:p>
            <w:pPr>
              <w:pStyle w:val="34"/>
            </w:pPr>
          </w:p>
        </w:tc>
        <w:tc>
          <w:tcPr>
            <w:tcW w:w="1285" w:type="pct"/>
            <w:gridSpan w:val="2"/>
            <w:tcBorders>
              <w:tl2br w:val="nil"/>
              <w:tr2bl w:val="nil"/>
            </w:tcBorders>
            <w:vAlign w:val="center"/>
          </w:tcPr>
          <w:p>
            <w:pPr>
              <w:pStyle w:val="34"/>
            </w:pPr>
            <w:r>
              <w:t>每卷长度偏差率（%）</w:t>
            </w:r>
          </w:p>
        </w:tc>
        <w:tc>
          <w:tcPr>
            <w:tcW w:w="3019" w:type="pct"/>
            <w:gridSpan w:val="18"/>
            <w:tcBorders>
              <w:tl2br w:val="nil"/>
              <w:tr2bl w:val="nil"/>
            </w:tcBorders>
            <w:vAlign w:val="center"/>
          </w:tcPr>
          <w:p>
            <w:pPr>
              <w:pStyle w:val="34"/>
            </w:pPr>
            <w:r>
              <w:t>±1.5</w:t>
            </w:r>
          </w:p>
        </w:tc>
      </w:tr>
    </w:tbl>
    <w:p>
      <w:pPr>
        <w:pStyle w:val="5"/>
        <w:spacing w:after="0" w:afterLines="0"/>
        <w:rPr>
          <w:rFonts w:cs="Times New Roman"/>
        </w:rPr>
      </w:pPr>
      <w:r>
        <w:rPr>
          <w:rFonts w:cs="Times New Roman"/>
        </w:rPr>
        <w:t>原辅材料及能源消耗</w:t>
      </w:r>
    </w:p>
    <w:p>
      <w:pPr>
        <w:pStyle w:val="7"/>
        <w:adjustRightInd w:val="0"/>
        <w:snapToGrid w:val="0"/>
        <w:ind w:firstLine="480"/>
        <w:rPr>
          <w:rFonts w:cs="Times New Roman"/>
        </w:rPr>
      </w:pPr>
      <w:r>
        <w:rPr>
          <w:rFonts w:cs="Times New Roman"/>
        </w:rPr>
        <w:t>本项目原料为</w:t>
      </w:r>
      <w:r>
        <w:rPr>
          <w:rFonts w:hint="eastAsia" w:cs="Times New Roman"/>
        </w:rPr>
        <w:t>废旧滴灌带</w:t>
      </w:r>
      <w:r>
        <w:rPr>
          <w:rFonts w:cs="Times New Roman"/>
        </w:rPr>
        <w:t>，配料为</w:t>
      </w:r>
      <w:r>
        <w:rPr>
          <w:rFonts w:hint="eastAsia" w:cs="Times New Roman"/>
        </w:rPr>
        <w:t>黑</w:t>
      </w:r>
      <w:r>
        <w:rPr>
          <w:rFonts w:cs="Times New Roman"/>
        </w:rPr>
        <w:t>色母料、抗老化剂、聚乙烯颗粒等；项目生产过程中</w:t>
      </w:r>
      <w:r>
        <w:rPr>
          <w:rFonts w:hint="eastAsia" w:cs="Times New Roman"/>
        </w:rPr>
        <w:t>废旧滴灌带</w:t>
      </w:r>
      <w:r>
        <w:rPr>
          <w:rFonts w:cs="Times New Roman"/>
        </w:rPr>
        <w:t>破碎清洗及产品冷却过程需要用水，造粒及产品生产均采用电加热。项目主要原辅材料及能源消耗情况详见</w:t>
      </w:r>
      <w:r>
        <w:rPr>
          <w:rFonts w:hint="eastAsia" w:cs="Times New Roman"/>
        </w:rPr>
        <w:t>表3.1-4</w:t>
      </w:r>
      <w:r>
        <w:rPr>
          <w:rFonts w:cs="Times New Roman"/>
        </w:rPr>
        <w:t>，主要原辅材料性质及组分情况详见</w:t>
      </w:r>
      <w:r>
        <w:rPr>
          <w:rFonts w:hint="eastAsia" w:cs="Times New Roman"/>
        </w:rPr>
        <w:t>表3.1-5。</w:t>
      </w:r>
    </w:p>
    <w:p>
      <w:pPr>
        <w:pStyle w:val="36"/>
        <w:spacing w:before="156"/>
        <w:rPr>
          <w:rFonts w:eastAsia="宋体"/>
        </w:rPr>
      </w:pPr>
      <w:r>
        <w:rPr>
          <w:rFonts w:hint="eastAsia" w:eastAsia="宋体"/>
        </w:rPr>
        <w:t>表3.1-4  主要原辅材料及能源消耗表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814"/>
        <w:gridCol w:w="1492"/>
        <w:gridCol w:w="33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tcBorders>
              <w:tl2br w:val="nil"/>
              <w:tr2bl w:val="nil"/>
            </w:tcBorders>
            <w:vAlign w:val="center"/>
          </w:tcPr>
          <w:p>
            <w:pPr>
              <w:pStyle w:val="34"/>
            </w:pPr>
            <w:bookmarkStart w:id="50" w:name="_Ref111371581"/>
            <w:r>
              <w:t>序号</w:t>
            </w:r>
          </w:p>
        </w:tc>
        <w:tc>
          <w:tcPr>
            <w:tcW w:w="1650" w:type="pct"/>
            <w:tcBorders>
              <w:tl2br w:val="nil"/>
              <w:tr2bl w:val="nil"/>
            </w:tcBorders>
            <w:vAlign w:val="center"/>
          </w:tcPr>
          <w:p>
            <w:pPr>
              <w:pStyle w:val="34"/>
            </w:pPr>
            <w:r>
              <w:t>原辅料名称</w:t>
            </w:r>
          </w:p>
        </w:tc>
        <w:tc>
          <w:tcPr>
            <w:tcW w:w="875" w:type="pct"/>
            <w:tcBorders>
              <w:tl2br w:val="nil"/>
              <w:tr2bl w:val="nil"/>
            </w:tcBorders>
            <w:vAlign w:val="center"/>
          </w:tcPr>
          <w:p>
            <w:pPr>
              <w:pStyle w:val="34"/>
            </w:pPr>
            <w:r>
              <w:t>消耗量</w:t>
            </w:r>
          </w:p>
        </w:tc>
        <w:tc>
          <w:tcPr>
            <w:tcW w:w="1973" w:type="pct"/>
            <w:tcBorders>
              <w:tl2br w:val="nil"/>
              <w:tr2bl w:val="nil"/>
            </w:tcBorders>
            <w:vAlign w:val="center"/>
          </w:tcPr>
          <w:p>
            <w:pPr>
              <w:pStyle w:val="34"/>
            </w:pPr>
            <w: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tcBorders>
              <w:tl2br w:val="nil"/>
              <w:tr2bl w:val="nil"/>
            </w:tcBorders>
            <w:vAlign w:val="center"/>
          </w:tcPr>
          <w:p>
            <w:pPr>
              <w:pStyle w:val="34"/>
            </w:pPr>
            <w:r>
              <w:t>1</w:t>
            </w:r>
          </w:p>
        </w:tc>
        <w:tc>
          <w:tcPr>
            <w:tcW w:w="1650" w:type="pct"/>
            <w:tcBorders>
              <w:tl2br w:val="nil"/>
              <w:tr2bl w:val="nil"/>
            </w:tcBorders>
            <w:vAlign w:val="center"/>
          </w:tcPr>
          <w:p>
            <w:pPr>
              <w:pStyle w:val="34"/>
            </w:pPr>
            <w:r>
              <w:rPr>
                <w:rFonts w:hint="eastAsia"/>
              </w:rPr>
              <w:t>废旧滴灌带</w:t>
            </w:r>
          </w:p>
        </w:tc>
        <w:tc>
          <w:tcPr>
            <w:tcW w:w="875" w:type="pct"/>
            <w:tcBorders>
              <w:tl2br w:val="nil"/>
              <w:tr2bl w:val="nil"/>
            </w:tcBorders>
            <w:vAlign w:val="center"/>
          </w:tcPr>
          <w:p>
            <w:pPr>
              <w:pStyle w:val="34"/>
            </w:pPr>
            <w:r>
              <w:rPr>
                <w:rFonts w:hint="eastAsia"/>
              </w:rPr>
              <w:t>5000</w:t>
            </w:r>
            <w:r>
              <w:t>t/a</w:t>
            </w:r>
          </w:p>
        </w:tc>
        <w:tc>
          <w:tcPr>
            <w:tcW w:w="1973" w:type="pct"/>
            <w:tcBorders>
              <w:tl2br w:val="nil"/>
              <w:tr2bl w:val="nil"/>
            </w:tcBorders>
            <w:vAlign w:val="center"/>
          </w:tcPr>
          <w:p>
            <w:pPr>
              <w:pStyle w:val="34"/>
            </w:pPr>
            <w:r>
              <w:t>主要来自周边农户回收的自家农田内产生的</w:t>
            </w:r>
            <w:r>
              <w:rPr>
                <w:rFonts w:hint="eastAsia"/>
              </w:rPr>
              <w:t>废旧滴灌带</w:t>
            </w:r>
            <w:r>
              <w:t>；由建设方进行回收并运输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0" w:type="pct"/>
            <w:vMerge w:val="restart"/>
            <w:tcBorders>
              <w:tl2br w:val="nil"/>
              <w:tr2bl w:val="nil"/>
            </w:tcBorders>
            <w:vAlign w:val="center"/>
          </w:tcPr>
          <w:p>
            <w:pPr>
              <w:pStyle w:val="34"/>
            </w:pPr>
            <w:r>
              <w:t>2</w:t>
            </w:r>
          </w:p>
        </w:tc>
        <w:tc>
          <w:tcPr>
            <w:tcW w:w="1650" w:type="pct"/>
            <w:tcBorders>
              <w:tl2br w:val="nil"/>
              <w:tr2bl w:val="nil"/>
            </w:tcBorders>
            <w:vAlign w:val="center"/>
          </w:tcPr>
          <w:p>
            <w:pPr>
              <w:pStyle w:val="34"/>
            </w:pPr>
            <w:r>
              <w:t>聚乙烯再生颗粒</w:t>
            </w:r>
          </w:p>
        </w:tc>
        <w:tc>
          <w:tcPr>
            <w:tcW w:w="875" w:type="pct"/>
            <w:tcBorders>
              <w:tl2br w:val="nil"/>
              <w:tr2bl w:val="nil"/>
            </w:tcBorders>
            <w:vAlign w:val="center"/>
          </w:tcPr>
          <w:p>
            <w:pPr>
              <w:pStyle w:val="34"/>
            </w:pPr>
            <w:r>
              <w:t>4993.25t/a</w:t>
            </w:r>
          </w:p>
        </w:tc>
        <w:tc>
          <w:tcPr>
            <w:tcW w:w="1973" w:type="pct"/>
            <w:tcBorders>
              <w:tl2br w:val="nil"/>
              <w:tr2bl w:val="nil"/>
            </w:tcBorders>
            <w:vAlign w:val="center"/>
          </w:tcPr>
          <w:p>
            <w:pPr>
              <w:pStyle w:val="34"/>
            </w:pPr>
            <w:r>
              <w:t>自产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vMerge w:val="continue"/>
            <w:tcBorders>
              <w:tl2br w:val="nil"/>
              <w:tr2bl w:val="nil"/>
            </w:tcBorders>
            <w:vAlign w:val="center"/>
          </w:tcPr>
          <w:p>
            <w:pPr>
              <w:pStyle w:val="34"/>
            </w:pPr>
          </w:p>
        </w:tc>
        <w:tc>
          <w:tcPr>
            <w:tcW w:w="1650" w:type="pct"/>
            <w:tcBorders>
              <w:tl2br w:val="nil"/>
              <w:tr2bl w:val="nil"/>
            </w:tcBorders>
            <w:vAlign w:val="center"/>
          </w:tcPr>
          <w:p>
            <w:pPr>
              <w:pStyle w:val="34"/>
            </w:pPr>
            <w:r>
              <w:t>聚乙烯颗粒新料</w:t>
            </w:r>
          </w:p>
        </w:tc>
        <w:tc>
          <w:tcPr>
            <w:tcW w:w="875" w:type="pct"/>
            <w:tcBorders>
              <w:tl2br w:val="nil"/>
              <w:tr2bl w:val="nil"/>
            </w:tcBorders>
            <w:vAlign w:val="center"/>
          </w:tcPr>
          <w:p>
            <w:pPr>
              <w:pStyle w:val="34"/>
            </w:pPr>
            <w:r>
              <w:rPr>
                <w:rFonts w:hint="eastAsia"/>
              </w:rPr>
              <w:t>12.5</w:t>
            </w:r>
            <w:r>
              <w:t>t/a</w:t>
            </w:r>
          </w:p>
        </w:tc>
        <w:tc>
          <w:tcPr>
            <w:tcW w:w="1973" w:type="pct"/>
            <w:tcBorders>
              <w:tl2br w:val="nil"/>
              <w:tr2bl w:val="nil"/>
            </w:tcBorders>
            <w:vAlign w:val="center"/>
          </w:tcPr>
          <w:p>
            <w:pPr>
              <w:pStyle w:val="34"/>
            </w:pPr>
            <w: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tcBorders>
              <w:tl2br w:val="nil"/>
              <w:tr2bl w:val="nil"/>
            </w:tcBorders>
            <w:vAlign w:val="center"/>
          </w:tcPr>
          <w:p>
            <w:pPr>
              <w:pStyle w:val="34"/>
            </w:pPr>
            <w:r>
              <w:t>3</w:t>
            </w:r>
          </w:p>
        </w:tc>
        <w:tc>
          <w:tcPr>
            <w:tcW w:w="1650" w:type="pct"/>
            <w:tcBorders>
              <w:tl2br w:val="nil"/>
              <w:tr2bl w:val="nil"/>
            </w:tcBorders>
            <w:vAlign w:val="center"/>
          </w:tcPr>
          <w:p>
            <w:pPr>
              <w:pStyle w:val="34"/>
            </w:pPr>
            <w:r>
              <w:t>抗老化剂</w:t>
            </w:r>
          </w:p>
        </w:tc>
        <w:tc>
          <w:tcPr>
            <w:tcW w:w="875" w:type="pct"/>
            <w:tcBorders>
              <w:tl2br w:val="nil"/>
              <w:tr2bl w:val="nil"/>
            </w:tcBorders>
            <w:vAlign w:val="center"/>
          </w:tcPr>
          <w:p>
            <w:pPr>
              <w:pStyle w:val="34"/>
            </w:pPr>
            <w:r>
              <w:t>5t/a</w:t>
            </w:r>
          </w:p>
        </w:tc>
        <w:tc>
          <w:tcPr>
            <w:tcW w:w="1973" w:type="pct"/>
            <w:tcBorders>
              <w:tl2br w:val="nil"/>
              <w:tr2bl w:val="nil"/>
            </w:tcBorders>
            <w:vAlign w:val="center"/>
          </w:tcPr>
          <w:p>
            <w:pPr>
              <w:pStyle w:val="34"/>
            </w:pPr>
            <w: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tcBorders>
              <w:tl2br w:val="nil"/>
              <w:tr2bl w:val="nil"/>
            </w:tcBorders>
            <w:vAlign w:val="center"/>
          </w:tcPr>
          <w:p>
            <w:pPr>
              <w:pStyle w:val="34"/>
            </w:pPr>
            <w:r>
              <w:t>4</w:t>
            </w:r>
          </w:p>
        </w:tc>
        <w:tc>
          <w:tcPr>
            <w:tcW w:w="1650" w:type="pct"/>
            <w:tcBorders>
              <w:tl2br w:val="nil"/>
              <w:tr2bl w:val="nil"/>
            </w:tcBorders>
            <w:vAlign w:val="center"/>
          </w:tcPr>
          <w:p>
            <w:pPr>
              <w:pStyle w:val="34"/>
            </w:pPr>
            <w:r>
              <w:rPr>
                <w:rFonts w:hint="eastAsia"/>
              </w:rPr>
              <w:t>黑</w:t>
            </w:r>
            <w:r>
              <w:t>色母料</w:t>
            </w:r>
          </w:p>
        </w:tc>
        <w:tc>
          <w:tcPr>
            <w:tcW w:w="875" w:type="pct"/>
            <w:tcBorders>
              <w:tl2br w:val="nil"/>
              <w:tr2bl w:val="nil"/>
            </w:tcBorders>
            <w:vAlign w:val="center"/>
          </w:tcPr>
          <w:p>
            <w:pPr>
              <w:pStyle w:val="34"/>
            </w:pPr>
            <w:r>
              <w:t>2t/a</w:t>
            </w:r>
          </w:p>
        </w:tc>
        <w:tc>
          <w:tcPr>
            <w:tcW w:w="1973" w:type="pct"/>
            <w:tcBorders>
              <w:tl2br w:val="nil"/>
              <w:tr2bl w:val="nil"/>
            </w:tcBorders>
            <w:vAlign w:val="center"/>
          </w:tcPr>
          <w:p>
            <w:pPr>
              <w:pStyle w:val="34"/>
            </w:pPr>
            <w: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tcBorders>
              <w:tl2br w:val="nil"/>
              <w:tr2bl w:val="nil"/>
            </w:tcBorders>
            <w:vAlign w:val="center"/>
          </w:tcPr>
          <w:p>
            <w:pPr>
              <w:pStyle w:val="34"/>
            </w:pPr>
            <w:r>
              <w:t>5</w:t>
            </w:r>
          </w:p>
        </w:tc>
        <w:tc>
          <w:tcPr>
            <w:tcW w:w="1650" w:type="pct"/>
            <w:tcBorders>
              <w:tl2br w:val="nil"/>
              <w:tr2bl w:val="nil"/>
            </w:tcBorders>
            <w:vAlign w:val="center"/>
          </w:tcPr>
          <w:p>
            <w:pPr>
              <w:pStyle w:val="34"/>
            </w:pPr>
            <w:r>
              <w:t>新鲜水</w:t>
            </w:r>
          </w:p>
        </w:tc>
        <w:tc>
          <w:tcPr>
            <w:tcW w:w="875" w:type="pct"/>
            <w:tcBorders>
              <w:tl2br w:val="nil"/>
              <w:tr2bl w:val="nil"/>
            </w:tcBorders>
            <w:vAlign w:val="center"/>
          </w:tcPr>
          <w:p>
            <w:pPr>
              <w:pStyle w:val="34"/>
            </w:pPr>
            <w:r>
              <w:t>1224t/a</w:t>
            </w:r>
          </w:p>
        </w:tc>
        <w:tc>
          <w:tcPr>
            <w:tcW w:w="1973" w:type="pct"/>
            <w:tcBorders>
              <w:tl2br w:val="nil"/>
              <w:tr2bl w:val="nil"/>
            </w:tcBorders>
            <w:vAlign w:val="center"/>
          </w:tcPr>
          <w:p>
            <w:pPr>
              <w:pStyle w:val="34"/>
            </w:pPr>
            <w:r>
              <w:t>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 w:type="pct"/>
            <w:tcBorders>
              <w:tl2br w:val="nil"/>
              <w:tr2bl w:val="nil"/>
            </w:tcBorders>
            <w:vAlign w:val="center"/>
          </w:tcPr>
          <w:p>
            <w:pPr>
              <w:pStyle w:val="34"/>
            </w:pPr>
            <w:r>
              <w:t>6</w:t>
            </w:r>
          </w:p>
        </w:tc>
        <w:tc>
          <w:tcPr>
            <w:tcW w:w="1650" w:type="pct"/>
            <w:tcBorders>
              <w:tl2br w:val="nil"/>
              <w:tr2bl w:val="nil"/>
            </w:tcBorders>
            <w:vAlign w:val="center"/>
          </w:tcPr>
          <w:p>
            <w:pPr>
              <w:pStyle w:val="34"/>
            </w:pPr>
            <w:r>
              <w:t>电</w:t>
            </w:r>
          </w:p>
        </w:tc>
        <w:tc>
          <w:tcPr>
            <w:tcW w:w="875" w:type="pct"/>
            <w:tcBorders>
              <w:tl2br w:val="nil"/>
              <w:tr2bl w:val="nil"/>
            </w:tcBorders>
            <w:vAlign w:val="center"/>
          </w:tcPr>
          <w:p>
            <w:pPr>
              <w:pStyle w:val="34"/>
            </w:pPr>
            <w:r>
              <w:t>500000kW·h/a</w:t>
            </w:r>
          </w:p>
        </w:tc>
        <w:tc>
          <w:tcPr>
            <w:tcW w:w="1973" w:type="pct"/>
            <w:tcBorders>
              <w:tl2br w:val="nil"/>
              <w:tr2bl w:val="nil"/>
            </w:tcBorders>
            <w:vAlign w:val="center"/>
          </w:tcPr>
          <w:p>
            <w:pPr>
              <w:pStyle w:val="34"/>
            </w:pPr>
            <w:r>
              <w:t>电网供电</w:t>
            </w:r>
          </w:p>
        </w:tc>
      </w:tr>
    </w:tbl>
    <w:p>
      <w:pPr>
        <w:pStyle w:val="36"/>
        <w:spacing w:before="156"/>
        <w:rPr>
          <w:rFonts w:eastAsia="宋体"/>
        </w:rPr>
      </w:pPr>
      <w:r>
        <w:rPr>
          <w:rFonts w:eastAsia="宋体"/>
        </w:rPr>
        <w:t>表</w:t>
      </w:r>
      <w:r>
        <w:rPr>
          <w:rFonts w:hint="eastAsia" w:eastAsia="宋体"/>
        </w:rPr>
        <w:t>3.1-5</w:t>
      </w:r>
      <w:bookmarkEnd w:id="50"/>
      <w:r>
        <w:rPr>
          <w:rFonts w:eastAsia="宋体"/>
        </w:rPr>
        <w:t xml:space="preserve">  原辅材料性质及其主要组分一览表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7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tcBorders>
              <w:tl2br w:val="nil"/>
              <w:tr2bl w:val="nil"/>
            </w:tcBorders>
            <w:vAlign w:val="center"/>
          </w:tcPr>
          <w:p>
            <w:pPr>
              <w:pStyle w:val="34"/>
            </w:pPr>
            <w:r>
              <w:t>名称</w:t>
            </w:r>
          </w:p>
        </w:tc>
        <w:tc>
          <w:tcPr>
            <w:tcW w:w="4224" w:type="pct"/>
            <w:tcBorders>
              <w:tl2br w:val="nil"/>
              <w:tr2bl w:val="nil"/>
            </w:tcBorders>
            <w:vAlign w:val="center"/>
          </w:tcPr>
          <w:p>
            <w:pPr>
              <w:pStyle w:val="34"/>
            </w:pPr>
            <w:r>
              <w:t>性质及其组分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tcBorders>
              <w:tl2br w:val="nil"/>
              <w:tr2bl w:val="nil"/>
            </w:tcBorders>
            <w:vAlign w:val="center"/>
          </w:tcPr>
          <w:p>
            <w:pPr>
              <w:pStyle w:val="34"/>
            </w:pPr>
            <w:r>
              <w:rPr>
                <w:rFonts w:hint="eastAsia"/>
              </w:rPr>
              <w:t>废旧滴灌带</w:t>
            </w:r>
          </w:p>
        </w:tc>
        <w:tc>
          <w:tcPr>
            <w:tcW w:w="4224" w:type="pct"/>
            <w:tcBorders>
              <w:tl2br w:val="nil"/>
              <w:tr2bl w:val="nil"/>
            </w:tcBorders>
            <w:vAlign w:val="center"/>
          </w:tcPr>
          <w:p>
            <w:pPr>
              <w:pStyle w:val="34"/>
              <w:jc w:val="left"/>
            </w:pPr>
            <w:r>
              <w:t>本项目的</w:t>
            </w:r>
            <w:r>
              <w:rPr>
                <w:rFonts w:hint="eastAsia"/>
              </w:rPr>
              <w:t>废旧滴灌带</w:t>
            </w:r>
            <w:r>
              <w:t>来源于当地农户。</w:t>
            </w:r>
            <w:r>
              <w:rPr>
                <w:rFonts w:hint="eastAsia"/>
              </w:rPr>
              <w:t>废旧滴灌带</w:t>
            </w:r>
            <w:r>
              <w:t>表面主要为泥沙、尘土，不含有毒有害物质，主要成分为聚乙烯，无臭，无毒，手感似蜡，具有优良的耐低温性能(最低使用温度可达-70～-100℃)，化学稳定性好，能耐大多数酸碱的侵蚀，常温下不溶于一般溶剂，吸水性小，但由于其为线性分子可缓慢溶于某些有机溶剂，且不发生溶胀，电绝缘性能优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76" w:type="pct"/>
            <w:tcBorders>
              <w:tl2br w:val="nil"/>
              <w:tr2bl w:val="nil"/>
            </w:tcBorders>
            <w:vAlign w:val="center"/>
          </w:tcPr>
          <w:p>
            <w:pPr>
              <w:pStyle w:val="34"/>
            </w:pPr>
            <w:r>
              <w:t>抗老化剂</w:t>
            </w:r>
          </w:p>
        </w:tc>
        <w:tc>
          <w:tcPr>
            <w:tcW w:w="4224" w:type="pct"/>
            <w:tcBorders>
              <w:tl2br w:val="nil"/>
              <w:tr2bl w:val="nil"/>
            </w:tcBorders>
            <w:vAlign w:val="center"/>
          </w:tcPr>
          <w:p>
            <w:pPr>
              <w:pStyle w:val="34"/>
              <w:jc w:val="left"/>
            </w:pPr>
            <w:r>
              <w:t>超强的紫外线吸收能力；不易燃、不腐蚀、贮存稳定性好；与不饱和树脂的相容性良好，兼具长效抗氧、抗黄变作用性能；极高的安全性。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76" w:type="pct"/>
            <w:tcBorders>
              <w:tl2br w:val="nil"/>
              <w:tr2bl w:val="nil"/>
            </w:tcBorders>
            <w:vAlign w:val="center"/>
          </w:tcPr>
          <w:p>
            <w:pPr>
              <w:pStyle w:val="34"/>
            </w:pPr>
            <w:r>
              <w:rPr>
                <w:rFonts w:hint="eastAsia"/>
              </w:rPr>
              <w:t>黑</w:t>
            </w:r>
            <w:r>
              <w:t>色母料</w:t>
            </w:r>
          </w:p>
        </w:tc>
        <w:tc>
          <w:tcPr>
            <w:tcW w:w="4224" w:type="pct"/>
            <w:tcBorders>
              <w:tl2br w:val="nil"/>
              <w:tr2bl w:val="nil"/>
            </w:tcBorders>
            <w:vAlign w:val="center"/>
          </w:tcPr>
          <w:p>
            <w:pPr>
              <w:pStyle w:val="34"/>
              <w:jc w:val="left"/>
            </w:pPr>
            <w:r>
              <w:t>高黑、高亮，易分散，可达到高光镜面效果。环保、无毒、无味、无烟，产品表面光滑亮泽和实色颜色稳定，韧性好，不会出现色点和色纹等现象。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6" w:type="pct"/>
            <w:tcBorders>
              <w:tl2br w:val="nil"/>
              <w:tr2bl w:val="nil"/>
            </w:tcBorders>
            <w:vAlign w:val="center"/>
          </w:tcPr>
          <w:p>
            <w:pPr>
              <w:pStyle w:val="34"/>
            </w:pPr>
            <w:r>
              <w:t>聚乙烯</w:t>
            </w:r>
          </w:p>
        </w:tc>
        <w:tc>
          <w:tcPr>
            <w:tcW w:w="4224" w:type="pct"/>
            <w:tcBorders>
              <w:tl2br w:val="nil"/>
              <w:tr2bl w:val="nil"/>
            </w:tcBorders>
            <w:vAlign w:val="center"/>
          </w:tcPr>
          <w:p>
            <w:pPr>
              <w:pStyle w:val="34"/>
              <w:jc w:val="left"/>
            </w:pPr>
            <w:r>
              <w:t>聚乙烯英文名称：polyethylene ，简称PE，是乙烯经聚合制得的一种</w:t>
            </w:r>
            <w:r>
              <w:fldChar w:fldCharType="begin"/>
            </w:r>
            <w:r>
              <w:instrText xml:space="preserve"> HYPERLINK "http://baike.baidu.com/view/861510.htm" \t "_blank" </w:instrText>
            </w:r>
            <w:r>
              <w:fldChar w:fldCharType="separate"/>
            </w:r>
            <w:r>
              <w:t>热塑性树脂</w:t>
            </w:r>
            <w:r>
              <w:fldChar w:fldCharType="end"/>
            </w:r>
            <w:r>
              <w:t>。在工业上，也包括乙烯与少量 α－烯烃的共聚物。</w:t>
            </w:r>
          </w:p>
          <w:p>
            <w:pPr>
              <w:pStyle w:val="34"/>
              <w:jc w:val="left"/>
            </w:pPr>
            <w:r>
              <w:t>聚乙烯无臭，无毒，具有优良的耐低温性能(最低使用温度可达-70～-100℃)，化学稳定性好，能耐大多数酸碱的侵蚀(不耐具有氧化性质的酸)，常温下不溶于一般溶剂，吸水性小，但由于其为线性分子可缓慢溶于某些有机溶剂，且不发生溶胀，电绝缘性能优良；但聚乙烯对于环境应力(化学与机械作用)是很敏感的，耐热老化性差。</w:t>
            </w:r>
          </w:p>
        </w:tc>
      </w:tr>
    </w:tbl>
    <w:p>
      <w:pPr>
        <w:pStyle w:val="36"/>
        <w:spacing w:before="156"/>
        <w:rPr>
          <w:rFonts w:eastAsia="宋体"/>
        </w:rPr>
      </w:pPr>
      <w:r>
        <w:rPr>
          <w:rFonts w:eastAsia="宋体"/>
        </w:rPr>
        <w:t>表</w:t>
      </w:r>
      <w:r>
        <w:rPr>
          <w:rFonts w:hint="eastAsia" w:eastAsia="宋体"/>
        </w:rPr>
        <w:t>3.1-6</w:t>
      </w:r>
      <w:r>
        <w:rPr>
          <w:rFonts w:eastAsia="宋体"/>
        </w:rPr>
        <w:t xml:space="preserve">  </w:t>
      </w:r>
      <w:r>
        <w:rPr>
          <w:rFonts w:hint="eastAsia" w:eastAsia="宋体"/>
        </w:rPr>
        <w:t>聚乙烯回收料性能</w:t>
      </w:r>
      <w:r>
        <w:rPr>
          <w:rFonts w:eastAsia="宋体"/>
        </w:rPr>
        <w:t>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2552"/>
        <w:gridCol w:w="24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pct"/>
            <w:tcBorders>
              <w:tl2br w:val="nil"/>
              <w:tr2bl w:val="nil"/>
            </w:tcBorders>
            <w:vAlign w:val="center"/>
          </w:tcPr>
          <w:p>
            <w:pPr>
              <w:pStyle w:val="34"/>
            </w:pPr>
            <w:r>
              <w:rPr>
                <w:rFonts w:hint="eastAsia"/>
              </w:rPr>
              <w:t>项目</w:t>
            </w:r>
          </w:p>
        </w:tc>
        <w:tc>
          <w:tcPr>
            <w:tcW w:w="1496" w:type="pct"/>
            <w:tcBorders>
              <w:tl2br w:val="nil"/>
              <w:tr2bl w:val="nil"/>
            </w:tcBorders>
            <w:vAlign w:val="center"/>
          </w:tcPr>
          <w:p>
            <w:pPr>
              <w:pStyle w:val="34"/>
            </w:pPr>
            <w:r>
              <w:rPr>
                <w:rFonts w:hint="eastAsia"/>
              </w:rPr>
              <w:t>单位</w:t>
            </w:r>
          </w:p>
        </w:tc>
        <w:tc>
          <w:tcPr>
            <w:tcW w:w="1446" w:type="pct"/>
            <w:tcBorders>
              <w:tl2br w:val="nil"/>
              <w:tr2bl w:val="nil"/>
            </w:tcBorders>
            <w:vAlign w:val="center"/>
          </w:tcPr>
          <w:p>
            <w:pPr>
              <w:pStyle w:val="34"/>
            </w:pPr>
            <w:r>
              <w:rPr>
                <w:rFonts w:hint="eastAsia"/>
              </w:rPr>
              <w:t>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pct"/>
            <w:tcBorders>
              <w:tl2br w:val="nil"/>
              <w:tr2bl w:val="nil"/>
            </w:tcBorders>
            <w:vAlign w:val="center"/>
          </w:tcPr>
          <w:p>
            <w:pPr>
              <w:pStyle w:val="34"/>
            </w:pPr>
            <w:r>
              <w:rPr>
                <w:rFonts w:hint="eastAsia"/>
              </w:rPr>
              <w:t>灰分</w:t>
            </w:r>
          </w:p>
        </w:tc>
        <w:tc>
          <w:tcPr>
            <w:tcW w:w="1496" w:type="pct"/>
            <w:tcBorders>
              <w:tl2br w:val="nil"/>
              <w:tr2bl w:val="nil"/>
            </w:tcBorders>
            <w:vAlign w:val="center"/>
          </w:tcPr>
          <w:p>
            <w:pPr>
              <w:pStyle w:val="34"/>
            </w:pPr>
            <w:r>
              <w:rPr>
                <w:rFonts w:hint="eastAsia"/>
              </w:rPr>
              <w:t>%</w:t>
            </w:r>
          </w:p>
        </w:tc>
        <w:tc>
          <w:tcPr>
            <w:tcW w:w="1446" w:type="pct"/>
            <w:tcBorders>
              <w:tl2br w:val="nil"/>
              <w:tr2bl w:val="nil"/>
            </w:tcBorders>
            <w:vAlign w:val="center"/>
          </w:tcPr>
          <w:p>
            <w:pPr>
              <w:pStyle w:val="34"/>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pct"/>
            <w:tcBorders>
              <w:tl2br w:val="nil"/>
              <w:tr2bl w:val="nil"/>
            </w:tcBorders>
            <w:vAlign w:val="center"/>
          </w:tcPr>
          <w:p>
            <w:pPr>
              <w:pStyle w:val="34"/>
            </w:pPr>
            <w:r>
              <w:rPr>
                <w:rFonts w:hint="eastAsia"/>
              </w:rPr>
              <w:t>拉伸强度</w:t>
            </w:r>
          </w:p>
        </w:tc>
        <w:tc>
          <w:tcPr>
            <w:tcW w:w="1496" w:type="pct"/>
            <w:tcBorders>
              <w:tl2br w:val="nil"/>
              <w:tr2bl w:val="nil"/>
            </w:tcBorders>
            <w:vAlign w:val="center"/>
          </w:tcPr>
          <w:p>
            <w:pPr>
              <w:pStyle w:val="34"/>
            </w:pPr>
            <w:r>
              <w:rPr>
                <w:rFonts w:hint="eastAsia"/>
              </w:rPr>
              <w:t>M</w:t>
            </w:r>
            <w:r>
              <w:t>P</w:t>
            </w:r>
            <w:r>
              <w:rPr>
                <w:rFonts w:hint="eastAsia"/>
              </w:rPr>
              <w:t>a</w:t>
            </w:r>
          </w:p>
        </w:tc>
        <w:tc>
          <w:tcPr>
            <w:tcW w:w="1446" w:type="pct"/>
            <w:tcBorders>
              <w:tl2br w:val="nil"/>
              <w:tr2bl w:val="nil"/>
            </w:tcBorders>
            <w:vAlign w:val="center"/>
          </w:tcPr>
          <w:p>
            <w:pPr>
              <w:pStyle w:val="34"/>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pct"/>
            <w:tcBorders>
              <w:tl2br w:val="nil"/>
              <w:tr2bl w:val="nil"/>
            </w:tcBorders>
            <w:vAlign w:val="center"/>
          </w:tcPr>
          <w:p>
            <w:pPr>
              <w:pStyle w:val="34"/>
            </w:pPr>
            <w:r>
              <w:rPr>
                <w:rFonts w:hint="eastAsia"/>
              </w:rPr>
              <w:t>断裂伸长率</w:t>
            </w:r>
          </w:p>
        </w:tc>
        <w:tc>
          <w:tcPr>
            <w:tcW w:w="1496" w:type="pct"/>
            <w:tcBorders>
              <w:tl2br w:val="nil"/>
              <w:tr2bl w:val="nil"/>
            </w:tcBorders>
            <w:vAlign w:val="center"/>
          </w:tcPr>
          <w:p>
            <w:pPr>
              <w:pStyle w:val="34"/>
            </w:pPr>
            <w:r>
              <w:rPr>
                <w:rFonts w:hint="eastAsia"/>
              </w:rPr>
              <w:t>%</w:t>
            </w:r>
          </w:p>
        </w:tc>
        <w:tc>
          <w:tcPr>
            <w:tcW w:w="1446" w:type="pct"/>
            <w:tcBorders>
              <w:tl2br w:val="nil"/>
              <w:tr2bl w:val="nil"/>
            </w:tcBorders>
            <w:vAlign w:val="center"/>
          </w:tcPr>
          <w:p>
            <w:pPr>
              <w:pStyle w:val="34"/>
            </w:pPr>
            <w: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pct"/>
            <w:tcBorders>
              <w:top w:val="single" w:color="auto" w:sz="4" w:space="0"/>
              <w:bottom w:val="single" w:color="auto" w:sz="12" w:space="0"/>
              <w:tl2br w:val="nil"/>
              <w:tr2bl w:val="nil"/>
            </w:tcBorders>
            <w:vAlign w:val="center"/>
          </w:tcPr>
          <w:p>
            <w:pPr>
              <w:pStyle w:val="34"/>
            </w:pPr>
            <w:r>
              <w:rPr>
                <w:rFonts w:hint="eastAsia"/>
              </w:rPr>
              <w:t>熔体质量流动速率(190℃,2.16kg)</w:t>
            </w:r>
          </w:p>
        </w:tc>
        <w:tc>
          <w:tcPr>
            <w:tcW w:w="1496" w:type="pct"/>
            <w:tcBorders>
              <w:top w:val="single" w:color="auto" w:sz="4" w:space="0"/>
              <w:bottom w:val="single" w:color="auto" w:sz="12" w:space="0"/>
              <w:tl2br w:val="nil"/>
              <w:tr2bl w:val="nil"/>
            </w:tcBorders>
            <w:vAlign w:val="center"/>
          </w:tcPr>
          <w:p>
            <w:pPr>
              <w:pStyle w:val="34"/>
            </w:pPr>
            <w:r>
              <w:rPr>
                <w:rFonts w:hint="eastAsia"/>
              </w:rPr>
              <w:t>g</w:t>
            </w:r>
            <w:r>
              <w:t>/10 min</w:t>
            </w:r>
          </w:p>
        </w:tc>
        <w:tc>
          <w:tcPr>
            <w:tcW w:w="1446" w:type="pct"/>
            <w:tcBorders>
              <w:top w:val="single" w:color="auto" w:sz="4" w:space="0"/>
              <w:bottom w:val="single" w:color="auto" w:sz="12" w:space="0"/>
              <w:tl2br w:val="nil"/>
              <w:tr2bl w:val="nil"/>
            </w:tcBorders>
            <w:vAlign w:val="center"/>
          </w:tcPr>
          <w:p>
            <w:pPr>
              <w:pStyle w:val="34"/>
            </w:pPr>
            <w:r>
              <w:rPr>
                <w:rFonts w:hint="eastAsia"/>
              </w:rPr>
              <w:t>0</w:t>
            </w:r>
            <w:r>
              <w:t>.2~2.5</w:t>
            </w:r>
          </w:p>
        </w:tc>
      </w:tr>
    </w:tbl>
    <w:p>
      <w:pPr>
        <w:pStyle w:val="5"/>
        <w:spacing w:after="0" w:afterLines="0"/>
        <w:rPr>
          <w:rFonts w:cs="Times New Roman"/>
        </w:rPr>
      </w:pPr>
      <w:r>
        <w:rPr>
          <w:rFonts w:cs="Times New Roman"/>
        </w:rPr>
        <w:t>主要生产设备</w:t>
      </w:r>
    </w:p>
    <w:p>
      <w:pPr>
        <w:pStyle w:val="7"/>
        <w:ind w:firstLine="456"/>
        <w:rPr>
          <w:rFonts w:cs="Times New Roman"/>
          <w:spacing w:val="-20"/>
          <w:lang w:val="zh-CN"/>
        </w:rPr>
      </w:pPr>
      <w:r>
        <w:rPr>
          <w:rFonts w:cs="Times New Roman"/>
          <w:spacing w:val="-6"/>
          <w:lang w:val="zh-CN"/>
        </w:rPr>
        <w:t>本项目主要生产设备均在生产车间布置，生产车间为封闭型</w:t>
      </w:r>
      <w:r>
        <w:rPr>
          <w:rFonts w:cs="Times New Roman"/>
          <w:spacing w:val="-20"/>
          <w:lang w:val="zh-CN"/>
        </w:rPr>
        <w:t>，设备清单见</w:t>
      </w:r>
      <w:r>
        <w:rPr>
          <w:rFonts w:hint="eastAsia" w:cs="Times New Roman"/>
          <w:spacing w:val="-20"/>
        </w:rPr>
        <w:t>表3.1-9</w:t>
      </w:r>
      <w:r>
        <w:rPr>
          <w:rFonts w:cs="Times New Roman"/>
          <w:spacing w:val="-20"/>
          <w:lang w:val="zh-CN"/>
        </w:rPr>
        <w:t>。</w:t>
      </w:r>
    </w:p>
    <w:p>
      <w:pPr>
        <w:pStyle w:val="36"/>
        <w:spacing w:before="156"/>
        <w:rPr>
          <w:rFonts w:eastAsia="宋体"/>
        </w:rPr>
      </w:pPr>
      <w:bookmarkStart w:id="51" w:name="_Ref111404418"/>
      <w:r>
        <w:rPr>
          <w:rFonts w:eastAsia="宋体"/>
        </w:rPr>
        <w:t>表</w:t>
      </w:r>
      <w:r>
        <w:rPr>
          <w:rFonts w:hint="eastAsia" w:eastAsia="宋体"/>
        </w:rPr>
        <w:t>3.1-9</w:t>
      </w:r>
      <w:bookmarkEnd w:id="51"/>
      <w:r>
        <w:rPr>
          <w:rFonts w:eastAsia="宋体"/>
        </w:rPr>
        <w:t xml:space="preserve">  主要生产设备一览表</w:t>
      </w:r>
    </w:p>
    <w:tbl>
      <w:tblPr>
        <w:tblStyle w:val="2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 w:type="dxa"/>
          <w:bottom w:w="0" w:type="dxa"/>
          <w:right w:w="10" w:type="dxa"/>
        </w:tblCellMar>
      </w:tblPr>
      <w:tblGrid>
        <w:gridCol w:w="1241"/>
        <w:gridCol w:w="2835"/>
        <w:gridCol w:w="1134"/>
        <w:gridCol w:w="1420"/>
        <w:gridCol w:w="18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06" w:hRule="atLeast"/>
        </w:trPr>
        <w:tc>
          <w:tcPr>
            <w:tcW w:w="728" w:type="pct"/>
            <w:tcBorders>
              <w:tl2br w:val="nil"/>
              <w:tr2bl w:val="nil"/>
            </w:tcBorders>
            <w:shd w:val="clear" w:color="000000" w:fill="auto"/>
            <w:tcMar>
              <w:left w:w="108" w:type="dxa"/>
              <w:right w:w="108" w:type="dxa"/>
            </w:tcMar>
            <w:vAlign w:val="center"/>
          </w:tcPr>
          <w:p>
            <w:pPr>
              <w:pStyle w:val="34"/>
            </w:pPr>
            <w:r>
              <w:t>工段</w:t>
            </w:r>
          </w:p>
        </w:tc>
        <w:tc>
          <w:tcPr>
            <w:tcW w:w="1663" w:type="pct"/>
            <w:tcBorders>
              <w:tl2br w:val="nil"/>
              <w:tr2bl w:val="nil"/>
            </w:tcBorders>
            <w:shd w:val="clear" w:color="000000" w:fill="auto"/>
            <w:tcMar>
              <w:left w:w="108" w:type="dxa"/>
              <w:right w:w="108" w:type="dxa"/>
            </w:tcMar>
            <w:vAlign w:val="center"/>
          </w:tcPr>
          <w:p>
            <w:pPr>
              <w:pStyle w:val="34"/>
            </w:pPr>
            <w:r>
              <w:t>设备名称</w:t>
            </w:r>
          </w:p>
        </w:tc>
        <w:tc>
          <w:tcPr>
            <w:tcW w:w="665" w:type="pct"/>
            <w:tcBorders>
              <w:tl2br w:val="nil"/>
              <w:tr2bl w:val="nil"/>
            </w:tcBorders>
            <w:shd w:val="clear" w:color="000000" w:fill="auto"/>
            <w:tcMar>
              <w:left w:w="108" w:type="dxa"/>
              <w:right w:w="108" w:type="dxa"/>
            </w:tcMar>
            <w:vAlign w:val="center"/>
          </w:tcPr>
          <w:p>
            <w:pPr>
              <w:pStyle w:val="34"/>
            </w:pPr>
            <w:r>
              <w:t>数量</w:t>
            </w:r>
          </w:p>
        </w:tc>
        <w:tc>
          <w:tcPr>
            <w:tcW w:w="833" w:type="pct"/>
            <w:tcBorders>
              <w:tl2br w:val="nil"/>
              <w:tr2bl w:val="nil"/>
            </w:tcBorders>
            <w:shd w:val="clear" w:color="000000" w:fill="auto"/>
            <w:tcMar>
              <w:left w:w="108" w:type="dxa"/>
              <w:right w:w="108" w:type="dxa"/>
            </w:tcMar>
            <w:vAlign w:val="center"/>
          </w:tcPr>
          <w:p>
            <w:pPr>
              <w:pStyle w:val="34"/>
            </w:pPr>
            <w:r>
              <w:t>单位</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restart"/>
            <w:tcBorders>
              <w:tl2br w:val="nil"/>
              <w:tr2bl w:val="nil"/>
            </w:tcBorders>
            <w:shd w:val="clear" w:color="000000" w:fill="auto"/>
            <w:tcMar>
              <w:left w:w="108" w:type="dxa"/>
              <w:right w:w="108" w:type="dxa"/>
            </w:tcMar>
            <w:vAlign w:val="center"/>
          </w:tcPr>
          <w:p>
            <w:pPr>
              <w:pStyle w:val="34"/>
            </w:pPr>
            <w:r>
              <w:rPr>
                <w:rFonts w:hint="eastAsia"/>
              </w:rPr>
              <w:t>粉碎</w:t>
            </w:r>
            <w:r>
              <w:t>造粒</w:t>
            </w:r>
          </w:p>
          <w:p>
            <w:pPr>
              <w:pStyle w:val="34"/>
            </w:pPr>
            <w:r>
              <w:t>生产线</w:t>
            </w:r>
          </w:p>
        </w:tc>
        <w:tc>
          <w:tcPr>
            <w:tcW w:w="1663" w:type="pct"/>
            <w:tcBorders>
              <w:tl2br w:val="nil"/>
              <w:tr2bl w:val="nil"/>
            </w:tcBorders>
            <w:shd w:val="clear" w:color="000000" w:fill="auto"/>
            <w:tcMar>
              <w:left w:w="108" w:type="dxa"/>
              <w:right w:w="108" w:type="dxa"/>
            </w:tcMar>
            <w:vAlign w:val="center"/>
          </w:tcPr>
          <w:p>
            <w:pPr>
              <w:pStyle w:val="34"/>
            </w:pPr>
            <w:r>
              <w:t>破碎机</w:t>
            </w:r>
          </w:p>
        </w:tc>
        <w:tc>
          <w:tcPr>
            <w:tcW w:w="665" w:type="pct"/>
            <w:tcBorders>
              <w:tl2br w:val="nil"/>
              <w:tr2bl w:val="nil"/>
            </w:tcBorders>
            <w:shd w:val="clear" w:color="000000" w:fill="auto"/>
            <w:tcMar>
              <w:left w:w="108" w:type="dxa"/>
              <w:right w:w="108" w:type="dxa"/>
            </w:tcMar>
            <w:vAlign w:val="center"/>
          </w:tcPr>
          <w:p>
            <w:pPr>
              <w:pStyle w:val="34"/>
            </w:pPr>
            <w:r>
              <w:t>1</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湿式破碎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rPr>
                <w:rFonts w:hint="eastAsia"/>
              </w:rPr>
              <w:t>洗料机</w:t>
            </w:r>
          </w:p>
        </w:tc>
        <w:tc>
          <w:tcPr>
            <w:tcW w:w="665" w:type="pct"/>
            <w:tcBorders>
              <w:tl2br w:val="nil"/>
              <w:tr2bl w:val="nil"/>
            </w:tcBorders>
            <w:shd w:val="clear" w:color="000000" w:fill="auto"/>
            <w:tcMar>
              <w:left w:w="108" w:type="dxa"/>
              <w:right w:w="108" w:type="dxa"/>
            </w:tcMar>
            <w:vAlign w:val="center"/>
          </w:tcPr>
          <w:p>
            <w:pPr>
              <w:pStyle w:val="34"/>
            </w:pPr>
            <w:r>
              <w:t>1</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rPr>
                <w:rFonts w:hint="eastAsia"/>
              </w:rPr>
              <w:t>提料机</w:t>
            </w:r>
          </w:p>
        </w:tc>
        <w:tc>
          <w:tcPr>
            <w:tcW w:w="665" w:type="pct"/>
            <w:tcBorders>
              <w:tl2br w:val="nil"/>
              <w:tr2bl w:val="nil"/>
            </w:tcBorders>
            <w:shd w:val="clear" w:color="000000" w:fill="auto"/>
            <w:tcMar>
              <w:left w:w="108" w:type="dxa"/>
              <w:right w:w="108" w:type="dxa"/>
            </w:tcMar>
            <w:vAlign w:val="center"/>
          </w:tcPr>
          <w:p>
            <w:pPr>
              <w:pStyle w:val="34"/>
            </w:pPr>
            <w:r>
              <w:rPr>
                <w:rFonts w:hint="eastAsia"/>
              </w:rPr>
              <w:t>1</w:t>
            </w:r>
          </w:p>
        </w:tc>
        <w:tc>
          <w:tcPr>
            <w:tcW w:w="833" w:type="pct"/>
            <w:tcBorders>
              <w:tl2br w:val="nil"/>
              <w:tr2bl w:val="nil"/>
            </w:tcBorders>
            <w:shd w:val="clear" w:color="000000" w:fill="auto"/>
            <w:tcMar>
              <w:left w:w="108" w:type="dxa"/>
              <w:right w:w="108" w:type="dxa"/>
            </w:tcMar>
            <w:vAlign w:val="center"/>
          </w:tcPr>
          <w:p>
            <w:pPr>
              <w:pStyle w:val="34"/>
            </w:pPr>
            <w:r>
              <w:rPr>
                <w:rFonts w:hint="eastAsia"/>
              </w:rP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热熔挤出机</w:t>
            </w:r>
          </w:p>
        </w:tc>
        <w:tc>
          <w:tcPr>
            <w:tcW w:w="665" w:type="pct"/>
            <w:tcBorders>
              <w:tl2br w:val="nil"/>
              <w:tr2bl w:val="nil"/>
            </w:tcBorders>
            <w:shd w:val="clear" w:color="000000" w:fill="auto"/>
            <w:tcMar>
              <w:left w:w="108" w:type="dxa"/>
              <w:right w:w="108" w:type="dxa"/>
            </w:tcMar>
            <w:vAlign w:val="center"/>
          </w:tcPr>
          <w:p>
            <w:pPr>
              <w:pStyle w:val="34"/>
            </w:pPr>
            <w:r>
              <w:t>2</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造粒机</w:t>
            </w:r>
          </w:p>
        </w:tc>
        <w:tc>
          <w:tcPr>
            <w:tcW w:w="665" w:type="pct"/>
            <w:tcBorders>
              <w:tl2br w:val="nil"/>
              <w:tr2bl w:val="nil"/>
            </w:tcBorders>
            <w:shd w:val="clear" w:color="000000" w:fill="auto"/>
            <w:tcMar>
              <w:left w:w="108" w:type="dxa"/>
              <w:right w:w="108" w:type="dxa"/>
            </w:tcMar>
            <w:vAlign w:val="center"/>
          </w:tcPr>
          <w:p>
            <w:pPr>
              <w:pStyle w:val="34"/>
            </w:pPr>
            <w:r>
              <w:t>2</w:t>
            </w:r>
          </w:p>
        </w:tc>
        <w:tc>
          <w:tcPr>
            <w:tcW w:w="833" w:type="pct"/>
            <w:tcBorders>
              <w:tl2br w:val="nil"/>
              <w:tr2bl w:val="nil"/>
            </w:tcBorders>
            <w:shd w:val="clear" w:color="000000" w:fill="auto"/>
            <w:tcMar>
              <w:left w:w="108" w:type="dxa"/>
              <w:right w:w="108" w:type="dxa"/>
            </w:tcMar>
            <w:vAlign w:val="center"/>
          </w:tcPr>
          <w:p>
            <w:pPr>
              <w:pStyle w:val="34"/>
            </w:pPr>
            <w:r>
              <w:rPr>
                <w:rFonts w:hint="eastAsia"/>
              </w:rPr>
              <w:t>套</w:t>
            </w:r>
          </w:p>
        </w:tc>
        <w:tc>
          <w:tcPr>
            <w:tcW w:w="1111" w:type="pct"/>
            <w:tcBorders>
              <w:tl2br w:val="nil"/>
              <w:tr2bl w:val="nil"/>
            </w:tcBorders>
            <w:shd w:val="clear" w:color="000000" w:fill="auto"/>
            <w:tcMar>
              <w:left w:w="108" w:type="dxa"/>
              <w:right w:w="108" w:type="dxa"/>
            </w:tcMar>
            <w:vAlign w:val="center"/>
          </w:tcPr>
          <w:p>
            <w:pPr>
              <w:pStyle w:val="34"/>
            </w:pPr>
            <w:r>
              <w:rPr>
                <w:lang w:val="zh-CN"/>
              </w:rPr>
              <w:t>由挤出机、水槽、切粒机组成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水泵</w:t>
            </w:r>
          </w:p>
        </w:tc>
        <w:tc>
          <w:tcPr>
            <w:tcW w:w="665" w:type="pct"/>
            <w:tcBorders>
              <w:tl2br w:val="nil"/>
              <w:tr2bl w:val="nil"/>
            </w:tcBorders>
            <w:shd w:val="clear" w:color="000000" w:fill="auto"/>
            <w:tcMar>
              <w:left w:w="108" w:type="dxa"/>
              <w:right w:w="108" w:type="dxa"/>
            </w:tcMar>
            <w:vAlign w:val="center"/>
          </w:tcPr>
          <w:p>
            <w:pPr>
              <w:pStyle w:val="34"/>
            </w:pPr>
            <w:r>
              <w:t>2</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restart"/>
            <w:tcBorders>
              <w:tl2br w:val="nil"/>
              <w:tr2bl w:val="nil"/>
            </w:tcBorders>
            <w:shd w:val="clear" w:color="000000" w:fill="auto"/>
            <w:tcMar>
              <w:left w:w="108" w:type="dxa"/>
              <w:right w:w="108" w:type="dxa"/>
            </w:tcMar>
            <w:vAlign w:val="center"/>
          </w:tcPr>
          <w:p>
            <w:pPr>
              <w:pStyle w:val="34"/>
            </w:pPr>
            <w:r>
              <w:t>滴灌带</w:t>
            </w:r>
          </w:p>
          <w:p>
            <w:pPr>
              <w:pStyle w:val="34"/>
            </w:pPr>
            <w:r>
              <w:t>生产线</w:t>
            </w:r>
          </w:p>
        </w:tc>
        <w:tc>
          <w:tcPr>
            <w:tcW w:w="1663" w:type="pct"/>
            <w:tcBorders>
              <w:tl2br w:val="nil"/>
              <w:tr2bl w:val="nil"/>
            </w:tcBorders>
            <w:shd w:val="clear" w:color="000000" w:fill="auto"/>
            <w:tcMar>
              <w:left w:w="108" w:type="dxa"/>
              <w:right w:w="108" w:type="dxa"/>
            </w:tcMar>
            <w:vAlign w:val="center"/>
          </w:tcPr>
          <w:p>
            <w:pPr>
              <w:pStyle w:val="34"/>
            </w:pPr>
            <w:r>
              <w:t>拌料机</w:t>
            </w:r>
          </w:p>
        </w:tc>
        <w:tc>
          <w:tcPr>
            <w:tcW w:w="665" w:type="pct"/>
            <w:tcBorders>
              <w:tl2br w:val="nil"/>
              <w:tr2bl w:val="nil"/>
            </w:tcBorders>
            <w:shd w:val="clear" w:color="000000" w:fill="auto"/>
            <w:tcMar>
              <w:left w:w="108" w:type="dxa"/>
              <w:right w:w="108" w:type="dxa"/>
            </w:tcMar>
            <w:vAlign w:val="center"/>
          </w:tcPr>
          <w:p>
            <w:pPr>
              <w:pStyle w:val="34"/>
            </w:pPr>
            <w:r>
              <w:t>2</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吸料机</w:t>
            </w:r>
          </w:p>
        </w:tc>
        <w:tc>
          <w:tcPr>
            <w:tcW w:w="665" w:type="pct"/>
            <w:tcBorders>
              <w:tl2br w:val="nil"/>
              <w:tr2bl w:val="nil"/>
            </w:tcBorders>
            <w:shd w:val="clear" w:color="000000" w:fill="auto"/>
            <w:tcMar>
              <w:left w:w="108" w:type="dxa"/>
              <w:right w:w="108" w:type="dxa"/>
            </w:tcMar>
            <w:vAlign w:val="center"/>
          </w:tcPr>
          <w:p>
            <w:pPr>
              <w:pStyle w:val="34"/>
            </w:pPr>
            <w:r>
              <w:rPr>
                <w:rFonts w:hint="eastAsia"/>
              </w:rPr>
              <w:t>8</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双螺杆挤出机</w:t>
            </w:r>
          </w:p>
        </w:tc>
        <w:tc>
          <w:tcPr>
            <w:tcW w:w="665" w:type="pct"/>
            <w:tcBorders>
              <w:tl2br w:val="nil"/>
              <w:tr2bl w:val="nil"/>
            </w:tcBorders>
            <w:shd w:val="clear" w:color="000000" w:fill="auto"/>
            <w:tcMar>
              <w:left w:w="108" w:type="dxa"/>
              <w:right w:w="108" w:type="dxa"/>
            </w:tcMar>
            <w:vAlign w:val="center"/>
          </w:tcPr>
          <w:p>
            <w:pPr>
              <w:pStyle w:val="34"/>
            </w:pPr>
            <w:r>
              <w:rPr>
                <w:rFonts w:hint="eastAsia"/>
              </w:rPr>
              <w:t>8</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切割机</w:t>
            </w:r>
          </w:p>
        </w:tc>
        <w:tc>
          <w:tcPr>
            <w:tcW w:w="665" w:type="pct"/>
            <w:tcBorders>
              <w:tl2br w:val="nil"/>
              <w:tr2bl w:val="nil"/>
            </w:tcBorders>
            <w:shd w:val="clear" w:color="000000" w:fill="auto"/>
            <w:tcMar>
              <w:left w:w="108" w:type="dxa"/>
              <w:right w:w="108" w:type="dxa"/>
            </w:tcMar>
            <w:vAlign w:val="center"/>
          </w:tcPr>
          <w:p>
            <w:pPr>
              <w:pStyle w:val="34"/>
            </w:pPr>
            <w:r>
              <w:t>1</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收卷机</w:t>
            </w:r>
          </w:p>
        </w:tc>
        <w:tc>
          <w:tcPr>
            <w:tcW w:w="665" w:type="pct"/>
            <w:tcBorders>
              <w:tl2br w:val="nil"/>
              <w:tr2bl w:val="nil"/>
            </w:tcBorders>
            <w:shd w:val="clear" w:color="000000" w:fill="auto"/>
            <w:tcMar>
              <w:left w:w="108" w:type="dxa"/>
              <w:right w:w="108" w:type="dxa"/>
            </w:tcMar>
            <w:vAlign w:val="center"/>
          </w:tcPr>
          <w:p>
            <w:pPr>
              <w:pStyle w:val="34"/>
            </w:pPr>
            <w:r>
              <w:rPr>
                <w:rFonts w:hint="eastAsia"/>
              </w:rPr>
              <w:t>8</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水泵</w:t>
            </w:r>
          </w:p>
        </w:tc>
        <w:tc>
          <w:tcPr>
            <w:tcW w:w="665" w:type="pct"/>
            <w:tcBorders>
              <w:tl2br w:val="nil"/>
              <w:tr2bl w:val="nil"/>
            </w:tcBorders>
            <w:shd w:val="clear" w:color="000000" w:fill="auto"/>
            <w:tcMar>
              <w:left w:w="108" w:type="dxa"/>
              <w:right w:w="108" w:type="dxa"/>
            </w:tcMar>
            <w:vAlign w:val="center"/>
          </w:tcPr>
          <w:p>
            <w:pPr>
              <w:pStyle w:val="34"/>
            </w:pPr>
            <w:r>
              <w:t>1</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vMerge w:val="continue"/>
            <w:tcBorders>
              <w:tl2br w:val="nil"/>
              <w:tr2bl w:val="nil"/>
            </w:tcBorders>
            <w:shd w:val="clear" w:color="000000" w:fill="auto"/>
            <w:tcMar>
              <w:left w:w="108" w:type="dxa"/>
              <w:right w:w="108" w:type="dxa"/>
            </w:tcMar>
            <w:vAlign w:val="center"/>
          </w:tcPr>
          <w:p>
            <w:pPr>
              <w:pStyle w:val="34"/>
            </w:pPr>
          </w:p>
        </w:tc>
        <w:tc>
          <w:tcPr>
            <w:tcW w:w="1663" w:type="pct"/>
            <w:tcBorders>
              <w:tl2br w:val="nil"/>
              <w:tr2bl w:val="nil"/>
            </w:tcBorders>
            <w:shd w:val="clear" w:color="000000" w:fill="auto"/>
            <w:tcMar>
              <w:left w:w="108" w:type="dxa"/>
              <w:right w:w="108" w:type="dxa"/>
            </w:tcMar>
            <w:vAlign w:val="center"/>
          </w:tcPr>
          <w:p>
            <w:pPr>
              <w:pStyle w:val="34"/>
            </w:pPr>
            <w:r>
              <w:t>风机</w:t>
            </w:r>
          </w:p>
        </w:tc>
        <w:tc>
          <w:tcPr>
            <w:tcW w:w="665" w:type="pct"/>
            <w:tcBorders>
              <w:tl2br w:val="nil"/>
              <w:tr2bl w:val="nil"/>
            </w:tcBorders>
            <w:shd w:val="clear" w:color="000000" w:fill="auto"/>
            <w:tcMar>
              <w:left w:w="108" w:type="dxa"/>
              <w:right w:w="108" w:type="dxa"/>
            </w:tcMar>
            <w:vAlign w:val="center"/>
          </w:tcPr>
          <w:p>
            <w:pPr>
              <w:pStyle w:val="34"/>
            </w:pPr>
            <w:r>
              <w:t>1</w:t>
            </w:r>
          </w:p>
        </w:tc>
        <w:tc>
          <w:tcPr>
            <w:tcW w:w="833" w:type="pct"/>
            <w:tcBorders>
              <w:tl2br w:val="nil"/>
              <w:tr2bl w:val="nil"/>
            </w:tcBorders>
            <w:shd w:val="clear" w:color="000000" w:fill="auto"/>
            <w:tcMar>
              <w:left w:w="108" w:type="dxa"/>
              <w:right w:w="108" w:type="dxa"/>
            </w:tcMar>
            <w:vAlign w:val="center"/>
          </w:tcPr>
          <w:p>
            <w:pPr>
              <w:pStyle w:val="34"/>
            </w:pPr>
            <w:r>
              <w:t>台</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6" w:hRule="atLeast"/>
        </w:trPr>
        <w:tc>
          <w:tcPr>
            <w:tcW w:w="728" w:type="pct"/>
            <w:tcBorders>
              <w:tl2br w:val="nil"/>
              <w:tr2bl w:val="nil"/>
            </w:tcBorders>
            <w:shd w:val="clear" w:color="000000" w:fill="auto"/>
            <w:tcMar>
              <w:left w:w="108" w:type="dxa"/>
              <w:right w:w="108" w:type="dxa"/>
            </w:tcMar>
            <w:vAlign w:val="center"/>
          </w:tcPr>
          <w:p>
            <w:pPr>
              <w:pStyle w:val="34"/>
            </w:pPr>
            <w:r>
              <w:rPr>
                <w:rFonts w:hint="eastAsia"/>
              </w:rPr>
              <w:t>水带生产线</w:t>
            </w:r>
          </w:p>
        </w:tc>
        <w:tc>
          <w:tcPr>
            <w:tcW w:w="1663" w:type="pct"/>
            <w:tcBorders>
              <w:tl2br w:val="nil"/>
              <w:tr2bl w:val="nil"/>
            </w:tcBorders>
            <w:shd w:val="clear" w:color="000000" w:fill="auto"/>
            <w:tcMar>
              <w:left w:w="108" w:type="dxa"/>
              <w:right w:w="108" w:type="dxa"/>
            </w:tcMar>
            <w:vAlign w:val="center"/>
          </w:tcPr>
          <w:p>
            <w:pPr>
              <w:pStyle w:val="34"/>
            </w:pPr>
            <w:r>
              <w:rPr>
                <w:rFonts w:hint="eastAsia"/>
              </w:rPr>
              <w:t>水带生产线成套设备</w:t>
            </w:r>
          </w:p>
        </w:tc>
        <w:tc>
          <w:tcPr>
            <w:tcW w:w="665" w:type="pct"/>
            <w:tcBorders>
              <w:tl2br w:val="nil"/>
              <w:tr2bl w:val="nil"/>
            </w:tcBorders>
            <w:shd w:val="clear" w:color="000000" w:fill="auto"/>
            <w:tcMar>
              <w:left w:w="108" w:type="dxa"/>
              <w:right w:w="108" w:type="dxa"/>
            </w:tcMar>
            <w:vAlign w:val="center"/>
          </w:tcPr>
          <w:p>
            <w:pPr>
              <w:pStyle w:val="34"/>
            </w:pPr>
            <w:r>
              <w:t>2</w:t>
            </w:r>
          </w:p>
        </w:tc>
        <w:tc>
          <w:tcPr>
            <w:tcW w:w="833" w:type="pct"/>
            <w:tcBorders>
              <w:tl2br w:val="nil"/>
              <w:tr2bl w:val="nil"/>
            </w:tcBorders>
            <w:shd w:val="clear" w:color="000000" w:fill="auto"/>
            <w:tcMar>
              <w:left w:w="108" w:type="dxa"/>
              <w:right w:w="108" w:type="dxa"/>
            </w:tcMar>
            <w:vAlign w:val="center"/>
          </w:tcPr>
          <w:p>
            <w:pPr>
              <w:pStyle w:val="34"/>
            </w:pPr>
            <w:r>
              <w:rPr>
                <w:rFonts w:hint="eastAsia"/>
              </w:rPr>
              <w:t>套</w:t>
            </w:r>
          </w:p>
        </w:tc>
        <w:tc>
          <w:tcPr>
            <w:tcW w:w="1111" w:type="pct"/>
            <w:tcBorders>
              <w:tl2br w:val="nil"/>
              <w:tr2bl w:val="nil"/>
            </w:tcBorders>
            <w:shd w:val="clear" w:color="000000" w:fill="auto"/>
            <w:tcMar>
              <w:left w:w="108" w:type="dxa"/>
              <w:right w:w="108" w:type="dxa"/>
            </w:tcMar>
            <w:vAlign w:val="center"/>
          </w:tcPr>
          <w:p>
            <w:pPr>
              <w:pStyle w:val="34"/>
            </w:pPr>
            <w:r>
              <w:rPr>
                <w:rFonts w:hint="eastAsia"/>
              </w:rPr>
              <w:t>-</w:t>
            </w:r>
          </w:p>
        </w:tc>
      </w:tr>
    </w:tbl>
    <w:p>
      <w:pPr>
        <w:pStyle w:val="5"/>
        <w:spacing w:after="0" w:afterLines="0"/>
        <w:rPr>
          <w:rFonts w:cs="Times New Roman"/>
        </w:rPr>
      </w:pPr>
      <w:r>
        <w:rPr>
          <w:rFonts w:cs="Times New Roman"/>
        </w:rPr>
        <w:t>公用工程</w:t>
      </w:r>
    </w:p>
    <w:p>
      <w:pPr>
        <w:autoSpaceDN w:val="0"/>
        <w:adjustRightInd w:val="0"/>
        <w:snapToGrid w:val="0"/>
        <w:spacing w:line="360" w:lineRule="auto"/>
        <w:ind w:firstLine="480" w:firstLineChars="200"/>
        <w:rPr>
          <w:rFonts w:ascii="Times New Roman" w:hAnsi="Times New Roman"/>
          <w:kern w:val="0"/>
          <w:sz w:val="24"/>
          <w:szCs w:val="24"/>
          <w:lang w:val="zh-CN"/>
        </w:rPr>
      </w:pPr>
      <w:r>
        <w:rPr>
          <w:rFonts w:ascii="Times New Roman" w:hAnsi="Times New Roman"/>
          <w:kern w:val="0"/>
          <w:sz w:val="24"/>
          <w:szCs w:val="24"/>
          <w:lang w:val="zh-CN"/>
        </w:rPr>
        <w:t>（1）给水</w:t>
      </w:r>
    </w:p>
    <w:p>
      <w:pPr>
        <w:autoSpaceDN w:val="0"/>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1）生产用水</w:t>
      </w:r>
    </w:p>
    <w:p>
      <w:pPr>
        <w:pStyle w:val="7"/>
        <w:ind w:firstLine="480"/>
      </w:pPr>
      <w:r>
        <w:rPr>
          <w:rFonts w:ascii="Cambria Math" w:hAnsi="Cambria Math" w:cs="Cambria Math"/>
        </w:rPr>
        <w:t>①</w:t>
      </w:r>
      <w:r>
        <w:t xml:space="preserve"> </w:t>
      </w:r>
      <w:r>
        <w:rPr>
          <w:rFonts w:hint="eastAsia"/>
        </w:rPr>
        <w:t>湿法破碎+</w:t>
      </w:r>
      <w:r>
        <w:t>清洗用水</w:t>
      </w:r>
    </w:p>
    <w:p>
      <w:pPr>
        <w:pStyle w:val="7"/>
        <w:ind w:firstLine="480"/>
      </w:pPr>
      <w:r>
        <w:t>根据生态环境部2021年6月11日发布的《关于发布&lt;排放源统计调查产排污核算方法和系数手册&gt;的公告》（公告2021年第24号）中4220非金属废料和碎屑加工处理行业</w:t>
      </w:r>
      <w:r>
        <w:rPr>
          <w:rFonts w:hint="eastAsia"/>
        </w:rPr>
        <w:t>系数手册</w:t>
      </w:r>
      <w:r>
        <w:t>，可知废PE</w:t>
      </w:r>
      <w:r>
        <w:rPr>
          <w:rFonts w:hint="eastAsia"/>
        </w:rPr>
        <w:t>湿法破碎+清洗</w:t>
      </w:r>
      <w:r>
        <w:t>工序废水产污系数为1.0t/t</w:t>
      </w:r>
      <w:r>
        <w:rPr>
          <w:rFonts w:hint="eastAsia"/>
        </w:rPr>
        <w:t>-</w:t>
      </w:r>
      <w:r>
        <w:t>原料</w:t>
      </w:r>
      <w:r>
        <w:rPr>
          <w:rFonts w:hint="eastAsia"/>
        </w:rPr>
        <w:t>。</w:t>
      </w:r>
      <w:r>
        <w:t>本项目</w:t>
      </w:r>
      <w:r>
        <w:rPr>
          <w:rFonts w:hint="eastAsia"/>
        </w:rPr>
        <w:t>再生利用</w:t>
      </w:r>
      <w:r>
        <w:t>塑料用量为5005.25t/a，故原料清洗废水</w:t>
      </w:r>
      <w:r>
        <w:rPr>
          <w:rFonts w:hint="eastAsia"/>
        </w:rPr>
        <w:t>排放</w:t>
      </w:r>
      <w:r>
        <w:t>量为5005.25m</w:t>
      </w:r>
      <w:r>
        <w:rPr>
          <w:vertAlign w:val="superscript"/>
        </w:rPr>
        <w:t>3</w:t>
      </w:r>
      <w:r>
        <w:t>/a</w:t>
      </w:r>
      <w:r>
        <w:rPr>
          <w:rFonts w:hint="eastAsia"/>
        </w:rPr>
        <w:t>，</w:t>
      </w:r>
      <w:r>
        <w:t>原料清洗过程中会损失一定水分，废水排放量约为用水量的90%，原料清洗废水排至沉淀池，经三级沉淀后上清液回用于破碎工序，</w:t>
      </w:r>
      <w:r>
        <w:rPr>
          <w:rFonts w:hint="eastAsia"/>
        </w:rPr>
        <w:t>不足水量</w:t>
      </w:r>
      <w:r>
        <w:t>由新鲜水补充</w:t>
      </w:r>
      <w:r>
        <w:rPr>
          <w:rFonts w:hint="eastAsia"/>
        </w:rPr>
        <w:t>，日常平均</w:t>
      </w:r>
      <w:r>
        <w:t>补水量约为3.1m</w:t>
      </w:r>
      <w:r>
        <w:rPr>
          <w:vertAlign w:val="superscript"/>
        </w:rPr>
        <w:t>3</w:t>
      </w:r>
      <w:r>
        <w:t>/d（556m</w:t>
      </w:r>
      <w:r>
        <w:rPr>
          <w:vertAlign w:val="superscript"/>
        </w:rPr>
        <w:t>3</w:t>
      </w:r>
      <w:r>
        <w:t>/a）</w:t>
      </w:r>
      <w:r>
        <w:rPr>
          <w:rFonts w:hint="eastAsia"/>
        </w:rPr>
        <w:t>，</w:t>
      </w:r>
      <w:r>
        <w:t>则本项目清洗用水量约为30.9m</w:t>
      </w:r>
      <w:r>
        <w:rPr>
          <w:vertAlign w:val="superscript"/>
        </w:rPr>
        <w:t>3</w:t>
      </w:r>
      <w:r>
        <w:t>/d</w:t>
      </w:r>
      <w:r>
        <w:rPr>
          <w:rFonts w:hint="eastAsia"/>
        </w:rPr>
        <w:t>（5</w:t>
      </w:r>
      <w:r>
        <w:t>561m</w:t>
      </w:r>
      <w:r>
        <w:rPr>
          <w:vertAlign w:val="superscript"/>
        </w:rPr>
        <w:t>3</w:t>
      </w:r>
      <w:r>
        <w:t>/a</w:t>
      </w:r>
      <w:r>
        <w:rPr>
          <w:rFonts w:hint="eastAsia"/>
        </w:rPr>
        <w:t>）。</w:t>
      </w:r>
    </w:p>
    <w:p>
      <w:pPr>
        <w:pStyle w:val="7"/>
        <w:ind w:firstLine="480"/>
      </w:pPr>
      <w:r>
        <w:rPr>
          <w:rFonts w:ascii="Cambria Math" w:hAnsi="Cambria Math" w:cs="Cambria Math"/>
        </w:rPr>
        <w:t>②</w:t>
      </w:r>
      <w:r>
        <w:t xml:space="preserve"> 冷却用水</w:t>
      </w:r>
    </w:p>
    <w:p>
      <w:pPr>
        <w:autoSpaceDN w:val="0"/>
        <w:adjustRightInd w:val="0"/>
        <w:snapToGrid w:val="0"/>
        <w:spacing w:line="360" w:lineRule="auto"/>
        <w:ind w:firstLine="480" w:firstLineChars="200"/>
        <w:rPr>
          <w:rFonts w:ascii="Times New Roman" w:hAnsi="Times New Roman"/>
        </w:rPr>
      </w:pPr>
      <w:r>
        <w:rPr>
          <w:rFonts w:ascii="Times New Roman" w:hAnsi="Times New Roman"/>
          <w:kern w:val="0"/>
          <w:sz w:val="24"/>
          <w:szCs w:val="24"/>
        </w:rPr>
        <w:t>本项目熔塑挤出后塑料条需要进行冷却，采取</w:t>
      </w:r>
      <w:r>
        <w:rPr>
          <w:rFonts w:hint="eastAsia" w:ascii="Times New Roman" w:hAnsi="Times New Roman"/>
          <w:kern w:val="0"/>
          <w:sz w:val="24"/>
          <w:szCs w:val="24"/>
        </w:rPr>
        <w:t>设备</w:t>
      </w:r>
      <w:r>
        <w:rPr>
          <w:rFonts w:ascii="Times New Roman" w:hAnsi="Times New Roman"/>
          <w:kern w:val="0"/>
          <w:sz w:val="24"/>
          <w:szCs w:val="24"/>
        </w:rPr>
        <w:t>配套水槽进行直接冷却</w:t>
      </w:r>
      <w:r>
        <w:rPr>
          <w:rFonts w:hint="eastAsia" w:ascii="Times New Roman" w:hAnsi="Times New Roman"/>
          <w:kern w:val="0"/>
          <w:sz w:val="24"/>
          <w:szCs w:val="24"/>
        </w:rPr>
        <w:t>，并且滴灌带、水带挤出机管套也需要冷却水走其外循环管道给设备降温，其用水均从冷却水池中抽取循环利用。</w:t>
      </w:r>
      <w:r>
        <w:rPr>
          <w:rFonts w:ascii="Times New Roman" w:hAnsi="Times New Roman"/>
          <w:kern w:val="0"/>
          <w:sz w:val="24"/>
          <w:szCs w:val="24"/>
        </w:rPr>
        <w:t>本项目</w:t>
      </w:r>
      <w:r>
        <w:rPr>
          <w:rFonts w:hint="eastAsia" w:ascii="Times New Roman" w:hAnsi="Times New Roman"/>
          <w:kern w:val="0"/>
          <w:sz w:val="24"/>
          <w:szCs w:val="24"/>
        </w:rPr>
        <w:t>所需冷却水用量约</w:t>
      </w:r>
      <w:r>
        <w:rPr>
          <w:rFonts w:ascii="Times New Roman" w:hAnsi="Times New Roman"/>
          <w:kern w:val="0"/>
          <w:sz w:val="24"/>
          <w:szCs w:val="24"/>
        </w:rPr>
        <w:t>8m</w:t>
      </w:r>
      <w:r>
        <w:rPr>
          <w:rFonts w:ascii="Times New Roman" w:hAnsi="Times New Roman"/>
          <w:kern w:val="0"/>
          <w:sz w:val="24"/>
          <w:szCs w:val="24"/>
          <w:vertAlign w:val="superscript"/>
        </w:rPr>
        <w:t>3</w:t>
      </w:r>
      <w:r>
        <w:rPr>
          <w:rFonts w:ascii="Times New Roman" w:hAnsi="Times New Roman"/>
          <w:kern w:val="0"/>
          <w:sz w:val="24"/>
          <w:szCs w:val="24"/>
        </w:rPr>
        <w:t>/d，补水量按</w:t>
      </w:r>
      <w:r>
        <w:rPr>
          <w:rFonts w:hint="eastAsia" w:ascii="Times New Roman" w:hAnsi="Times New Roman"/>
          <w:kern w:val="0"/>
          <w:sz w:val="24"/>
          <w:szCs w:val="24"/>
        </w:rPr>
        <w:t>用水量</w:t>
      </w:r>
      <w:r>
        <w:rPr>
          <w:rFonts w:ascii="Times New Roman" w:hAnsi="Times New Roman"/>
          <w:kern w:val="0"/>
          <w:sz w:val="24"/>
          <w:szCs w:val="24"/>
        </w:rPr>
        <w:t>的5%计算，补水量为0.4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kern w:val="0"/>
          <w:sz w:val="24"/>
          <w:szCs w:val="24"/>
        </w:rPr>
        <w:t>（72m</w:t>
      </w:r>
      <w:r>
        <w:rPr>
          <w:rFonts w:ascii="Times New Roman" w:hAnsi="Times New Roman"/>
          <w:kern w:val="0"/>
          <w:sz w:val="24"/>
          <w:szCs w:val="24"/>
          <w:vertAlign w:val="superscript"/>
        </w:rPr>
        <w:t>3</w:t>
      </w:r>
      <w:r>
        <w:rPr>
          <w:rFonts w:ascii="Times New Roman" w:hAnsi="Times New Roman"/>
          <w:kern w:val="0"/>
          <w:sz w:val="24"/>
          <w:szCs w:val="24"/>
        </w:rPr>
        <w:t>/a）</w:t>
      </w:r>
      <w:r>
        <w:rPr>
          <w:rFonts w:hint="eastAsia" w:ascii="Times New Roman" w:hAnsi="Times New Roman"/>
          <w:kern w:val="0"/>
          <w:sz w:val="24"/>
          <w:szCs w:val="24"/>
        </w:rPr>
        <w:t>，则本项目冷却用水量约为8</w:t>
      </w:r>
      <w:r>
        <w:rPr>
          <w:rFonts w:ascii="Times New Roman" w:hAnsi="Times New Roman"/>
          <w:kern w:val="0"/>
          <w:sz w:val="24"/>
          <w:szCs w:val="24"/>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hint="eastAsia" w:ascii="Times New Roman" w:hAnsi="Times New Roman"/>
          <w:kern w:val="0"/>
          <w:sz w:val="24"/>
          <w:szCs w:val="24"/>
        </w:rPr>
        <w:t>（1</w:t>
      </w:r>
      <w:r>
        <w:rPr>
          <w:rFonts w:ascii="Times New Roman" w:hAnsi="Times New Roman"/>
          <w:kern w:val="0"/>
          <w:sz w:val="24"/>
          <w:szCs w:val="24"/>
        </w:rPr>
        <w:t>512 m</w:t>
      </w:r>
      <w:r>
        <w:rPr>
          <w:rFonts w:ascii="Times New Roman" w:hAnsi="Times New Roman"/>
          <w:kern w:val="0"/>
          <w:sz w:val="24"/>
          <w:szCs w:val="24"/>
          <w:vertAlign w:val="superscript"/>
        </w:rPr>
        <w:t>3</w:t>
      </w:r>
      <w:r>
        <w:rPr>
          <w:rFonts w:ascii="Times New Roman" w:hAnsi="Times New Roman"/>
          <w:kern w:val="0"/>
          <w:sz w:val="24"/>
          <w:szCs w:val="24"/>
        </w:rPr>
        <w:t>/a</w:t>
      </w:r>
      <w:r>
        <w:rPr>
          <w:rFonts w:hint="eastAsia" w:ascii="Times New Roman" w:hAnsi="Times New Roman"/>
          <w:kern w:val="0"/>
          <w:sz w:val="24"/>
          <w:szCs w:val="24"/>
        </w:rPr>
        <w:t>）</w:t>
      </w:r>
      <w:r>
        <w:rPr>
          <w:rFonts w:ascii="Times New Roman" w:hAnsi="Times New Roman"/>
          <w:kern w:val="0"/>
          <w:sz w:val="24"/>
          <w:szCs w:val="24"/>
        </w:rPr>
        <w:t>。</w:t>
      </w:r>
    </w:p>
    <w:p>
      <w:pPr>
        <w:autoSpaceDN w:val="0"/>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2）生活用水</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sz w:val="24"/>
          <w:szCs w:val="24"/>
        </w:rPr>
        <w:t>本项目劳动定员为30人，</w:t>
      </w:r>
      <w:r>
        <w:rPr>
          <w:rFonts w:ascii="Times New Roman" w:hAnsi="Times New Roman"/>
          <w:kern w:val="0"/>
          <w:sz w:val="24"/>
          <w:szCs w:val="24"/>
        </w:rPr>
        <w:t>项目每人每天用水量按0.1m</w:t>
      </w:r>
      <w:r>
        <w:rPr>
          <w:rFonts w:ascii="Times New Roman" w:hAnsi="Times New Roman"/>
          <w:kern w:val="0"/>
          <w:sz w:val="24"/>
          <w:szCs w:val="24"/>
          <w:vertAlign w:val="superscript"/>
        </w:rPr>
        <w:t>3</w:t>
      </w:r>
      <w:r>
        <w:rPr>
          <w:rFonts w:ascii="Times New Roman" w:hAnsi="Times New Roman"/>
          <w:kern w:val="0"/>
          <w:sz w:val="24"/>
          <w:szCs w:val="24"/>
        </w:rPr>
        <w:t>计，则用水量为3m</w:t>
      </w:r>
      <w:r>
        <w:rPr>
          <w:rFonts w:ascii="Times New Roman" w:hAnsi="Times New Roman"/>
          <w:kern w:val="0"/>
          <w:sz w:val="24"/>
          <w:szCs w:val="24"/>
          <w:vertAlign w:val="superscript"/>
        </w:rPr>
        <w:t>3</w:t>
      </w:r>
      <w:r>
        <w:rPr>
          <w:rFonts w:ascii="Times New Roman" w:hAnsi="Times New Roman"/>
          <w:kern w:val="0"/>
          <w:sz w:val="24"/>
          <w:szCs w:val="24"/>
        </w:rPr>
        <w:t>/d（540m</w:t>
      </w:r>
      <w:r>
        <w:rPr>
          <w:rFonts w:ascii="Times New Roman" w:hAnsi="Times New Roman"/>
          <w:kern w:val="0"/>
          <w:sz w:val="24"/>
          <w:szCs w:val="24"/>
          <w:vertAlign w:val="superscript"/>
        </w:rPr>
        <w:t>3</w:t>
      </w:r>
      <w:r>
        <w:rPr>
          <w:rFonts w:ascii="Times New Roman" w:hAnsi="Times New Roman"/>
          <w:kern w:val="0"/>
          <w:sz w:val="24"/>
          <w:szCs w:val="24"/>
        </w:rPr>
        <w:t>/a）。</w:t>
      </w:r>
    </w:p>
    <w:p>
      <w:pPr>
        <w:pStyle w:val="7"/>
        <w:ind w:firstLine="480"/>
        <w:rPr>
          <w:rFonts w:cs="Times New Roman"/>
          <w:lang w:val="zh-CN"/>
        </w:rPr>
      </w:pPr>
      <w:r>
        <w:rPr>
          <w:rFonts w:cs="Times New Roman"/>
          <w:lang w:val="zh-CN"/>
        </w:rPr>
        <w:t>（2）排水</w:t>
      </w:r>
    </w:p>
    <w:p>
      <w:pPr>
        <w:pStyle w:val="7"/>
        <w:ind w:firstLine="480"/>
        <w:rPr>
          <w:rFonts w:cs="Times New Roman"/>
          <w:lang w:val="zh-CN"/>
        </w:rPr>
      </w:pPr>
      <w:r>
        <w:rPr>
          <w:rFonts w:cs="Times New Roman"/>
          <w:lang w:val="zh-CN"/>
        </w:rPr>
        <w:t>项目废水包括生产废水及生活污水。其中生产废水包括湿法破碎废水、破碎料清洗废水。生产废水中含有泥土、植物枝叶等，经沉淀处理后可循环使用；冷却废水仅温度较高，经降温后可循环利用。项目生产废水全部循环使用，不外排。项目生活污水排放量按照用水量的80%计，则生活污水产生量为</w:t>
      </w:r>
      <w:r>
        <w:rPr>
          <w:rFonts w:cs="Times New Roman"/>
        </w:rPr>
        <w:t>2.4</w:t>
      </w:r>
      <w:r>
        <w:rPr>
          <w:rFonts w:cs="Times New Roman"/>
          <w:lang w:val="zh-CN"/>
        </w:rPr>
        <w:t>m³/d，</w:t>
      </w:r>
      <w:r>
        <w:rPr>
          <w:rFonts w:cs="Times New Roman"/>
        </w:rPr>
        <w:t>432</w:t>
      </w:r>
      <w:r>
        <w:rPr>
          <w:rFonts w:cs="Times New Roman"/>
          <w:lang w:val="zh-CN"/>
        </w:rPr>
        <w:t>m³/a，生活污水在厂区化粪池暂存，</w:t>
      </w:r>
      <w:r>
        <w:rPr>
          <w:rFonts w:hint="eastAsia" w:cs="Times New Roman"/>
          <w:lang w:val="zh-CN"/>
        </w:rPr>
        <w:t>由环卫部门</w:t>
      </w:r>
      <w:r>
        <w:rPr>
          <w:rFonts w:cs="Times New Roman"/>
          <w:lang w:val="zh-CN"/>
        </w:rPr>
        <w:t>定期拉运统一处理。</w:t>
      </w:r>
    </w:p>
    <w:p>
      <w:pPr>
        <w:pStyle w:val="7"/>
        <w:ind w:firstLine="480"/>
        <w:rPr>
          <w:rFonts w:cs="Times New Roman"/>
          <w:lang w:val="zh-CN"/>
        </w:rPr>
      </w:pPr>
      <w:r>
        <w:rPr>
          <w:rFonts w:cs="Times New Roman"/>
          <w:lang w:val="zh-CN"/>
        </w:rPr>
        <w:t>（3）供电</w:t>
      </w:r>
    </w:p>
    <w:p>
      <w:pPr>
        <w:pStyle w:val="7"/>
        <w:ind w:firstLine="480"/>
        <w:rPr>
          <w:rFonts w:cs="Times New Roman"/>
          <w:lang w:val="zh-CN"/>
        </w:rPr>
      </w:pPr>
      <w:r>
        <w:rPr>
          <w:rFonts w:cs="Times New Roman"/>
          <w:lang w:val="zh-CN"/>
        </w:rPr>
        <w:t>供电电源为国家电网，</w:t>
      </w:r>
      <w:r>
        <w:rPr>
          <w:rFonts w:hint="eastAsia" w:cs="Times New Roman"/>
          <w:lang w:val="zh-CN"/>
        </w:rPr>
        <w:t>厂区内搭建配电室一座，</w:t>
      </w:r>
      <w:r>
        <w:rPr>
          <w:rFonts w:cs="Times New Roman"/>
          <w:lang w:val="zh-CN"/>
        </w:rPr>
        <w:t>可满足项目正常生产需求。</w:t>
      </w:r>
    </w:p>
    <w:p>
      <w:pPr>
        <w:pStyle w:val="7"/>
        <w:ind w:firstLine="480"/>
        <w:rPr>
          <w:rFonts w:cs="Times New Roman"/>
          <w:lang w:val="zh-CN"/>
        </w:rPr>
      </w:pPr>
      <w:r>
        <w:rPr>
          <w:rFonts w:cs="Times New Roman"/>
          <w:lang w:val="zh-CN"/>
        </w:rPr>
        <w:t>（4）供暖</w:t>
      </w:r>
    </w:p>
    <w:p>
      <w:pPr>
        <w:pStyle w:val="7"/>
        <w:ind w:firstLine="480"/>
        <w:rPr>
          <w:rFonts w:cs="Times New Roman"/>
          <w:lang w:val="zh-CN"/>
        </w:rPr>
      </w:pPr>
      <w:r>
        <w:rPr>
          <w:rFonts w:cs="Times New Roman"/>
          <w:lang w:val="zh-CN"/>
        </w:rPr>
        <w:t>项目冬季供暖采用电采暖。</w:t>
      </w:r>
    </w:p>
    <w:p>
      <w:pPr>
        <w:pStyle w:val="7"/>
        <w:ind w:firstLine="480"/>
        <w:rPr>
          <w:rFonts w:cs="Times New Roman"/>
          <w:lang w:val="zh-CN"/>
        </w:rPr>
      </w:pPr>
      <w:r>
        <w:rPr>
          <w:rFonts w:cs="Times New Roman"/>
          <w:lang w:val="zh-CN"/>
        </w:rPr>
        <w:t>（5）交通</w:t>
      </w:r>
    </w:p>
    <w:p>
      <w:pPr>
        <w:pStyle w:val="7"/>
        <w:ind w:firstLine="480"/>
        <w:rPr>
          <w:rFonts w:cs="Times New Roman"/>
          <w:lang w:val="zh-CN"/>
        </w:rPr>
      </w:pPr>
      <w:r>
        <w:rPr>
          <w:rFonts w:ascii="Cambria Math" w:hAnsi="Cambria Math" w:cs="Cambria Math"/>
          <w:lang w:val="zh-CN"/>
        </w:rPr>
        <w:t>①</w:t>
      </w:r>
      <w:r>
        <w:rPr>
          <w:rFonts w:hint="eastAsia" w:cs="Cambria Math"/>
          <w:lang w:val="zh-CN"/>
        </w:rPr>
        <w:t>建</w:t>
      </w:r>
      <w:r>
        <w:rPr>
          <w:rFonts w:hint="eastAsia" w:cs="Times New Roman"/>
          <w:lang w:val="zh-CN"/>
        </w:rPr>
        <w:t>设单位自行利用汽车将废塑料运输至厂内，运输过程中打包完整，废塑料包装物防晒、防火、防高温，在装卸、运输过程中应确保包装完好,无遗撒。废塑料包装物表面标明种类、来源、原用途和去向等信息的标识，标识清晰、易于识别、不易擦掉。废塑料运输工具在运输途中不超高、超宽、超载。</w:t>
      </w:r>
    </w:p>
    <w:p>
      <w:pPr>
        <w:pStyle w:val="7"/>
        <w:ind w:firstLine="480"/>
        <w:rPr>
          <w:rFonts w:cs="Times New Roman"/>
          <w:lang w:val="zh-CN"/>
        </w:rPr>
      </w:pPr>
      <w:r>
        <w:rPr>
          <w:rFonts w:ascii="Cambria Math" w:hAnsi="Cambria Math" w:cs="Cambria Math"/>
          <w:lang w:val="zh-CN"/>
        </w:rPr>
        <w:t>②</w:t>
      </w:r>
      <w:r>
        <w:rPr>
          <w:rFonts w:cs="Times New Roman"/>
          <w:lang w:val="zh-CN"/>
        </w:rPr>
        <w:t>对外交通：项目区</w:t>
      </w:r>
      <w:r>
        <w:rPr>
          <w:rFonts w:cs="Times New Roman"/>
        </w:rPr>
        <w:t>外</w:t>
      </w:r>
      <w:r>
        <w:rPr>
          <w:rFonts w:cs="Times New Roman"/>
          <w:lang w:val="zh-CN"/>
        </w:rPr>
        <w:t>有乡村道路通往外部，道路路况较好，交通较为便利。</w:t>
      </w:r>
    </w:p>
    <w:p>
      <w:pPr>
        <w:pStyle w:val="7"/>
        <w:ind w:firstLine="480"/>
        <w:rPr>
          <w:rFonts w:cs="Times New Roman"/>
          <w:lang w:val="zh-CN"/>
        </w:rPr>
      </w:pPr>
      <w:r>
        <w:rPr>
          <w:rFonts w:ascii="Cambria Math" w:hAnsi="Cambria Math" w:cs="Cambria Math"/>
          <w:lang w:val="zh-CN"/>
        </w:rPr>
        <w:t>③</w:t>
      </w:r>
      <w:r>
        <w:rPr>
          <w:rFonts w:cs="Times New Roman"/>
          <w:lang w:val="zh-CN"/>
        </w:rPr>
        <w:t>对内交通：根据项目的生产性质，厂区内道路系统的布置有足够的宽度使运输车辆能够方便到达生产车间。</w:t>
      </w:r>
    </w:p>
    <w:p>
      <w:pPr>
        <w:pStyle w:val="7"/>
        <w:ind w:firstLine="480"/>
        <w:rPr>
          <w:rFonts w:cs="Times New Roman"/>
          <w:lang w:val="zh-CN"/>
        </w:rPr>
      </w:pPr>
      <w:r>
        <w:rPr>
          <w:rFonts w:cs="Times New Roman"/>
          <w:lang w:val="zh-CN"/>
        </w:rPr>
        <w:t>（6）</w:t>
      </w:r>
      <w:r>
        <w:rPr>
          <w:rFonts w:hint="eastAsia" w:cs="Times New Roman"/>
          <w:lang w:val="zh-CN"/>
        </w:rPr>
        <w:t>消防</w:t>
      </w:r>
    </w:p>
    <w:p>
      <w:pPr>
        <w:pStyle w:val="7"/>
        <w:ind w:firstLine="480"/>
        <w:rPr>
          <w:rFonts w:cs="Times New Roman"/>
          <w:lang w:val="zh-CN"/>
        </w:rPr>
      </w:pPr>
      <w:r>
        <w:rPr>
          <w:rFonts w:hint="eastAsia" w:cs="Times New Roman"/>
          <w:lang w:val="zh-CN"/>
        </w:rPr>
        <w:t>厂区内设有消防通道，建筑物防火间距均能满足规范要求，室外消防栓设置在厂区内消防道路旁，以便于灭火时消防车辆使用。消防供水网和消防栓采取有防冻措施，并安装消防报警设备。</w:t>
      </w:r>
    </w:p>
    <w:p>
      <w:pPr>
        <w:pStyle w:val="7"/>
        <w:ind w:firstLine="480"/>
        <w:rPr>
          <w:rFonts w:cs="Times New Roman"/>
          <w:lang w:val="zh-CN"/>
        </w:rPr>
      </w:pPr>
      <w:r>
        <w:rPr>
          <w:rFonts w:cs="Times New Roman"/>
          <w:lang w:val="zh-CN"/>
        </w:rPr>
        <w:t>（5）</w:t>
      </w:r>
      <w:r>
        <w:rPr>
          <w:rFonts w:hint="eastAsia" w:cs="Times New Roman"/>
          <w:lang w:val="zh-CN"/>
        </w:rPr>
        <w:t>通风</w:t>
      </w:r>
    </w:p>
    <w:p>
      <w:pPr>
        <w:pStyle w:val="7"/>
        <w:ind w:firstLine="480"/>
        <w:rPr>
          <w:rFonts w:cs="Times New Roman"/>
          <w:lang w:val="zh-CN"/>
        </w:rPr>
      </w:pPr>
      <w:r>
        <w:rPr>
          <w:rFonts w:hint="eastAsia" w:cs="Times New Roman"/>
          <w:lang w:val="zh-CN"/>
        </w:rPr>
        <w:t>车间通风通过对向窗户开窗对流空气实现。</w:t>
      </w:r>
    </w:p>
    <w:p>
      <w:pPr>
        <w:pStyle w:val="5"/>
        <w:spacing w:before="0" w:beforeLines="0" w:after="0" w:afterLines="0"/>
        <w:rPr>
          <w:rFonts w:cs="Times New Roman"/>
        </w:rPr>
      </w:pPr>
      <w:r>
        <w:rPr>
          <w:rFonts w:cs="Times New Roman"/>
        </w:rPr>
        <w:t>厂区平面布置</w:t>
      </w:r>
    </w:p>
    <w:p>
      <w:pPr>
        <w:pStyle w:val="7"/>
        <w:ind w:firstLine="480"/>
        <w:rPr>
          <w:rFonts w:cs="Times New Roman"/>
          <w:lang w:val="zh-CN"/>
        </w:rPr>
      </w:pPr>
      <w:r>
        <w:rPr>
          <w:rFonts w:cs="Times New Roman"/>
          <w:lang w:val="zh-CN"/>
        </w:rPr>
        <w:t>根据</w:t>
      </w:r>
      <w:r>
        <w:rPr>
          <w:rFonts w:hint="eastAsia" w:cs="Times New Roman"/>
          <w:lang w:val="zh-CN"/>
        </w:rPr>
        <w:t>《废塑料污染控制技术规范》（HJ364-2022）</w:t>
      </w:r>
      <w:r>
        <w:rPr>
          <w:rFonts w:cs="Times New Roman"/>
          <w:lang w:val="zh-CN"/>
        </w:rPr>
        <w:t>中要求：</w:t>
      </w:r>
      <w:r>
        <w:rPr>
          <w:rFonts w:hint="eastAsia" w:cs="Times New Roman"/>
          <w:lang w:val="zh-CN"/>
        </w:rPr>
        <w:t>废塑料再生利用项目应按功能划分厂区，包括管理区、原料贮存区、生产区、产品贮存区、不可利用废物的贮存和处理区等，各功能区应有明显的界线或标识。</w:t>
      </w:r>
    </w:p>
    <w:p>
      <w:pPr>
        <w:pStyle w:val="7"/>
        <w:ind w:firstLine="480"/>
        <w:rPr>
          <w:rFonts w:cs="Times New Roman"/>
          <w:lang w:val="zh-CN"/>
        </w:rPr>
      </w:pPr>
      <w:r>
        <w:rPr>
          <w:rFonts w:cs="Times New Roman"/>
          <w:lang w:val="zh-CN"/>
        </w:rPr>
        <w:t>本项目建成后全厂可划分为管理区（办公室）、原料区、生产区（</w:t>
      </w:r>
      <w:r>
        <w:rPr>
          <w:rFonts w:hint="eastAsia" w:cs="Times New Roman"/>
        </w:rPr>
        <w:t>粉碎</w:t>
      </w:r>
      <w:r>
        <w:rPr>
          <w:rFonts w:cs="Times New Roman"/>
          <w:lang w:val="zh-CN"/>
        </w:rPr>
        <w:t>造粒</w:t>
      </w:r>
      <w:r>
        <w:rPr>
          <w:rFonts w:hint="eastAsia" w:cs="Times New Roman"/>
        </w:rPr>
        <w:t>车</w:t>
      </w:r>
      <w:r>
        <w:rPr>
          <w:rFonts w:cs="Times New Roman"/>
          <w:lang w:val="zh-CN"/>
        </w:rPr>
        <w:t>间及成品生产车间）、</w:t>
      </w:r>
      <w:r>
        <w:rPr>
          <w:rFonts w:hint="eastAsia" w:cs="Times New Roman"/>
          <w:lang w:val="zh-CN"/>
        </w:rPr>
        <w:t>成品</w:t>
      </w:r>
      <w:r>
        <w:rPr>
          <w:rFonts w:cs="Times New Roman"/>
          <w:lang w:val="zh-CN"/>
        </w:rPr>
        <w:t>库房、污染控制区（即循环沉淀池）。</w:t>
      </w:r>
    </w:p>
    <w:p>
      <w:pPr>
        <w:pStyle w:val="7"/>
        <w:ind w:firstLine="480"/>
        <w:rPr>
          <w:rFonts w:cs="Times New Roman"/>
          <w:lang w:val="zh-CN"/>
        </w:rPr>
      </w:pPr>
      <w:r>
        <w:rPr>
          <w:rFonts w:cs="Times New Roman"/>
          <w:lang w:val="zh-CN"/>
        </w:rPr>
        <w:t>其中管理区位于厂区</w:t>
      </w:r>
      <w:r>
        <w:rPr>
          <w:rFonts w:hint="eastAsia" w:cs="Times New Roman"/>
        </w:rPr>
        <w:t>北</w:t>
      </w:r>
      <w:r>
        <w:rPr>
          <w:rFonts w:cs="Times New Roman"/>
          <w:lang w:val="zh-CN"/>
        </w:rPr>
        <w:t>侧，原料堆存在</w:t>
      </w:r>
      <w:r>
        <w:rPr>
          <w:rFonts w:hint="eastAsia" w:cs="Times New Roman"/>
          <w:lang w:val="zh-CN"/>
        </w:rPr>
        <w:t>厂区中的</w:t>
      </w:r>
      <w:r>
        <w:rPr>
          <w:rFonts w:hint="eastAsia" w:cs="Times New Roman"/>
        </w:rPr>
        <w:t>原料库房</w:t>
      </w:r>
      <w:r>
        <w:rPr>
          <w:rFonts w:cs="Times New Roman"/>
          <w:lang w:val="zh-CN"/>
        </w:rPr>
        <w:t>，生产区布置在厂区</w:t>
      </w:r>
      <w:r>
        <w:rPr>
          <w:rFonts w:hint="eastAsia" w:cs="Times New Roman"/>
        </w:rPr>
        <w:t>南</w:t>
      </w:r>
      <w:r>
        <w:rPr>
          <w:rFonts w:cs="Times New Roman"/>
          <w:lang w:val="zh-CN"/>
        </w:rPr>
        <w:t>侧</w:t>
      </w:r>
      <w:r>
        <w:rPr>
          <w:rFonts w:hint="eastAsia" w:cs="Times New Roman"/>
        </w:rPr>
        <w:t>及东侧</w:t>
      </w:r>
      <w:r>
        <w:rPr>
          <w:rFonts w:cs="Times New Roman"/>
          <w:lang w:val="zh-CN"/>
        </w:rPr>
        <w:t>，成品库房布置在厂区</w:t>
      </w:r>
      <w:r>
        <w:rPr>
          <w:rFonts w:hint="eastAsia" w:cs="Times New Roman"/>
        </w:rPr>
        <w:t>东南</w:t>
      </w:r>
      <w:r>
        <w:rPr>
          <w:rFonts w:cs="Times New Roman"/>
          <w:lang w:val="zh-CN"/>
        </w:rPr>
        <w:t>侧。整个厂区生产流程物料运输流畅，各车间相连，流程紧凑。废水循环沉淀池布置在</w:t>
      </w:r>
      <w:r>
        <w:rPr>
          <w:rFonts w:hint="eastAsia" w:cs="Times New Roman"/>
        </w:rPr>
        <w:t>粉碎</w:t>
      </w:r>
      <w:r>
        <w:rPr>
          <w:rFonts w:cs="Times New Roman"/>
          <w:lang w:val="zh-CN"/>
        </w:rPr>
        <w:t>造粒</w:t>
      </w:r>
      <w:r>
        <w:rPr>
          <w:rFonts w:hint="eastAsia" w:cs="Times New Roman"/>
        </w:rPr>
        <w:t>车</w:t>
      </w:r>
      <w:r>
        <w:rPr>
          <w:rFonts w:cs="Times New Roman"/>
          <w:lang w:val="zh-CN"/>
        </w:rPr>
        <w:t>间</w:t>
      </w:r>
      <w:r>
        <w:rPr>
          <w:rFonts w:hint="eastAsia" w:cs="Times New Roman"/>
          <w:lang w:val="zh-CN"/>
        </w:rPr>
        <w:t>北</w:t>
      </w:r>
      <w:r>
        <w:rPr>
          <w:rFonts w:cs="Times New Roman"/>
          <w:lang w:val="zh-CN"/>
        </w:rPr>
        <w:t>侧，靠近废水产生工段，减少废水输送距离。总体而言，厂内布置满足生产、安全、卫生等要求，平面布置合理可。</w:t>
      </w:r>
    </w:p>
    <w:p>
      <w:pPr>
        <w:pStyle w:val="4"/>
        <w:spacing w:before="156" w:after="156"/>
        <w:rPr>
          <w:rFonts w:eastAsia="宋体"/>
        </w:rPr>
      </w:pPr>
      <w:bookmarkStart w:id="52" w:name="_Toc25795"/>
      <w:r>
        <w:rPr>
          <w:rFonts w:hint="eastAsia" w:eastAsia="宋体"/>
        </w:rPr>
        <w:t>污染影响因素分析</w:t>
      </w:r>
      <w:bookmarkEnd w:id="52"/>
    </w:p>
    <w:p>
      <w:pPr>
        <w:pStyle w:val="5"/>
        <w:spacing w:after="0" w:afterLines="0"/>
        <w:ind w:left="0" w:firstLine="0"/>
      </w:pPr>
      <w:r>
        <w:t>工艺流程及产污环节分析</w:t>
      </w:r>
    </w:p>
    <w:p>
      <w:pPr>
        <w:pStyle w:val="6"/>
        <w:spacing w:after="0" w:afterLines="0"/>
        <w:ind w:left="0" w:firstLine="0"/>
      </w:pPr>
      <w:r>
        <w:t>废旧滴灌带</w:t>
      </w:r>
      <w:r>
        <w:rPr>
          <w:rFonts w:hint="eastAsia"/>
        </w:rPr>
        <w:t>及废水带</w:t>
      </w:r>
      <w:r>
        <w:t>造粒工艺流程</w:t>
      </w:r>
    </w:p>
    <w:p>
      <w:pPr>
        <w:pStyle w:val="7"/>
        <w:ind w:firstLine="480"/>
        <w:rPr>
          <w:rFonts w:cs="Times New Roman"/>
          <w:lang w:val="zh-CN"/>
        </w:rPr>
      </w:pPr>
      <w:r>
        <w:rPr>
          <w:rFonts w:cs="Times New Roman"/>
          <w:lang w:val="zh-CN"/>
        </w:rPr>
        <w:t>本项目废旧</w:t>
      </w:r>
      <w:bookmarkStart w:id="53" w:name="OLE_LINK2"/>
      <w:r>
        <w:rPr>
          <w:rFonts w:cs="Times New Roman"/>
          <w:lang w:val="zh-CN"/>
        </w:rPr>
        <w:t>滴灌带</w:t>
      </w:r>
      <w:bookmarkEnd w:id="53"/>
      <w:r>
        <w:rPr>
          <w:rFonts w:hint="eastAsia" w:cs="Times New Roman"/>
          <w:lang w:val="zh-CN"/>
        </w:rPr>
        <w:t>及废水带</w:t>
      </w:r>
      <w:r>
        <w:rPr>
          <w:rFonts w:cs="Times New Roman"/>
          <w:lang w:val="zh-CN"/>
        </w:rPr>
        <w:t>造粒生产工艺主要是将回收的废旧</w:t>
      </w:r>
      <w:r>
        <w:rPr>
          <w:rFonts w:hint="eastAsia" w:cs="Times New Roman"/>
          <w:lang w:val="zh-CN"/>
        </w:rPr>
        <w:t>滴灌带、废旧水带进行</w:t>
      </w:r>
      <w:r>
        <w:rPr>
          <w:rFonts w:cs="Times New Roman"/>
          <w:lang w:val="zh-CN"/>
        </w:rPr>
        <w:t>破碎、清洗、熔融挤出、冷却、切粒</w:t>
      </w:r>
      <w:r>
        <w:rPr>
          <w:rFonts w:cs="Times New Roman"/>
          <w:spacing w:val="-20"/>
          <w:lang w:val="zh-CN"/>
        </w:rPr>
        <w:t>。生产工艺流程及产污环节详见</w:t>
      </w:r>
      <w:r>
        <w:rPr>
          <w:rFonts w:hint="eastAsia" w:cs="Times New Roman"/>
          <w:spacing w:val="-20"/>
          <w:lang w:val="zh-CN"/>
        </w:rPr>
        <w:t>图3.2-1</w:t>
      </w:r>
      <w:r>
        <w:rPr>
          <w:rFonts w:cs="Times New Roman"/>
          <w:spacing w:val="-20"/>
          <w:lang w:val="zh-CN"/>
        </w:rPr>
        <w:t>。</w:t>
      </w:r>
    </w:p>
    <w:p>
      <w:pPr>
        <w:pStyle w:val="7"/>
        <w:ind w:firstLine="480"/>
        <w:rPr>
          <w:rFonts w:cs="Times New Roman"/>
          <w:lang w:val="zh-CN"/>
        </w:rPr>
      </w:pPr>
      <w:r>
        <w:rPr>
          <w:rFonts w:cs="Times New Roman"/>
          <w:lang w:val="zh-CN"/>
        </w:rPr>
        <w:t>工艺流程简述：</w:t>
      </w:r>
    </w:p>
    <w:p>
      <w:pPr>
        <w:pStyle w:val="7"/>
        <w:ind w:firstLine="480"/>
        <w:rPr>
          <w:rFonts w:cs="Times New Roman"/>
          <w:lang w:val="zh-CN"/>
        </w:rPr>
      </w:pPr>
      <w:r>
        <w:rPr>
          <w:rFonts w:cs="Times New Roman"/>
          <w:lang w:val="zh-CN"/>
        </w:rPr>
        <w:t>（1）破碎、清洗工序</w:t>
      </w:r>
    </w:p>
    <w:p>
      <w:pPr>
        <w:pStyle w:val="7"/>
        <w:ind w:firstLine="480"/>
        <w:rPr>
          <w:rFonts w:cs="Times New Roman"/>
          <w:lang w:val="zh-CN"/>
        </w:rPr>
      </w:pPr>
      <w:r>
        <w:rPr>
          <w:rFonts w:cs="Times New Roman"/>
          <w:lang w:val="zh-CN"/>
        </w:rPr>
        <w:t>将回收的废旧塑料直接送入破碎机，破碎为较小的片状料。本项目破碎采用湿式破碎法；破碎后进行清洗（清洗工序不添加任何清洗剂）</w:t>
      </w:r>
      <w:r>
        <w:rPr>
          <w:rFonts w:cs="Times New Roman"/>
        </w:rPr>
        <w:t>，</w:t>
      </w:r>
      <w:r>
        <w:rPr>
          <w:rFonts w:cs="Times New Roman"/>
          <w:lang w:val="zh-CN"/>
        </w:rPr>
        <w:t>使附着在物料表面极少的泥土、植物枝叶等杂物脱落，得到干净的塑料片。</w:t>
      </w:r>
    </w:p>
    <w:p>
      <w:pPr>
        <w:pStyle w:val="7"/>
        <w:ind w:firstLine="480"/>
        <w:rPr>
          <w:rFonts w:cs="Times New Roman"/>
          <w:lang w:val="zh-CN"/>
        </w:rPr>
      </w:pPr>
      <w:r>
        <w:rPr>
          <w:rFonts w:cs="Times New Roman"/>
          <w:lang w:val="zh-CN"/>
        </w:rPr>
        <w:t>（2）熔融挤出工序</w:t>
      </w:r>
    </w:p>
    <w:p>
      <w:pPr>
        <w:pStyle w:val="7"/>
        <w:ind w:firstLine="480"/>
        <w:rPr>
          <w:rFonts w:cs="Times New Roman"/>
          <w:lang w:val="zh-CN"/>
        </w:rPr>
      </w:pPr>
      <w:r>
        <w:rPr>
          <w:rFonts w:cs="Times New Roman"/>
          <w:lang w:val="zh-CN"/>
        </w:rPr>
        <w:t>将清洗后的塑料片料送入进料斗，通过引料输送螺杆进入热熔挤出机主机，根据产品属性调整各个区段的温度（温度控制在200℃左右）和螺杆的速度，使得塑料片成为熔融状态，并经过热熔机内金属滤网过滤后再通过模头挤出成条状。为保证再生颗粒料的质量，需要对熔融态物料进行过滤后再进行造粒，所使用的滤网随着使用时间的延长，网眼会逐渐变小，直至不能使用。</w:t>
      </w:r>
    </w:p>
    <w:p>
      <w:pPr>
        <w:pStyle w:val="7"/>
        <w:ind w:firstLine="480"/>
        <w:rPr>
          <w:rFonts w:cs="Times New Roman"/>
          <w:lang w:val="zh-CN"/>
        </w:rPr>
      </w:pPr>
      <w:r>
        <w:rPr>
          <w:rFonts w:cs="Times New Roman"/>
          <w:lang w:val="zh-CN"/>
        </w:rPr>
        <w:t>（3）</w:t>
      </w:r>
      <w:r>
        <w:rPr>
          <w:rFonts w:hint="eastAsia" w:cs="Times New Roman"/>
          <w:lang w:val="zh-CN"/>
        </w:rPr>
        <w:t>造粒工序</w:t>
      </w:r>
    </w:p>
    <w:p>
      <w:pPr>
        <w:pStyle w:val="7"/>
        <w:ind w:firstLine="480"/>
        <w:rPr>
          <w:rFonts w:cs="Times New Roman"/>
          <w:lang w:val="zh-CN"/>
        </w:rPr>
      </w:pPr>
      <w:r>
        <w:rPr>
          <w:rFonts w:cs="Times New Roman"/>
          <w:lang w:val="zh-CN"/>
        </w:rPr>
        <w:t>造粒机由挤出机、水槽、切粒机组成，塑料的挤出成型就是塑料在挤出机中，在一定的温度（180-200℃左右）和一定的压力下熔融塑料，并连续通过有固定截面的模型，得到具有特定断面形状连续型材的加工方法，塑料在料筒中借助料筒外部的加热和螺杆转动的剪切挤压作用而熔融，同时熔体在压力的推动下被连续挤出，被挤出的型材失去塑性变为条状，再经过冷却水槽冷却，以免发生变形。最后进入切粒机切成圆柱状颗粒。再生塑料颗粒的粒径在0.7-1.5mm范围内，塑料颗粒由于粒径较大，因此不易起尘。</w:t>
      </w:r>
    </w:p>
    <w:p>
      <w:pPr>
        <w:pStyle w:val="7"/>
        <w:ind w:firstLine="480"/>
        <w:rPr>
          <w:rFonts w:cs="Times New Roman"/>
          <w:lang w:val="zh-CN"/>
        </w:rPr>
      </w:pPr>
      <w:r>
        <w:rPr>
          <w:rFonts w:cs="Times New Roman"/>
          <w:lang w:val="zh-CN"/>
        </w:rPr>
        <w:t>熔融、挤出、切粒工序产生的污染包括非甲烷总烃及噪声等。</w:t>
      </w:r>
    </w:p>
    <w:p>
      <w:pPr>
        <w:pStyle w:val="34"/>
      </w:pPr>
    </w:p>
    <w:p>
      <w:pPr>
        <w:pStyle w:val="34"/>
      </w:pPr>
      <w:r>
        <w:rPr>
          <w:rFonts w:hint="eastAsia"/>
        </w:rPr>
        <w:drawing>
          <wp:inline distT="0" distB="0" distL="0" distR="0">
            <wp:extent cx="4994910" cy="3978275"/>
            <wp:effectExtent l="0" t="0" r="0" b="3175"/>
            <wp:docPr id="49318890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88909" name="图片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1956" cy="3983751"/>
                    </a:xfrm>
                    <a:prstGeom prst="rect">
                      <a:avLst/>
                    </a:prstGeom>
                  </pic:spPr>
                </pic:pic>
              </a:graphicData>
            </a:graphic>
          </wp:inline>
        </w:drawing>
      </w:r>
    </w:p>
    <w:p>
      <w:pPr>
        <w:pStyle w:val="38"/>
        <w:spacing w:before="156" w:after="156"/>
        <w:rPr>
          <w:rFonts w:eastAsia="宋体"/>
        </w:rPr>
      </w:pPr>
      <w:bookmarkStart w:id="54" w:name="_Ref111401582"/>
      <w:bookmarkStart w:id="55" w:name="OLE_LINK3"/>
      <w:r>
        <w:rPr>
          <w:rFonts w:eastAsia="宋体"/>
        </w:rPr>
        <w:t>图</w:t>
      </w:r>
      <w:bookmarkEnd w:id="54"/>
      <w:r>
        <w:rPr>
          <w:rFonts w:hint="eastAsia" w:eastAsia="宋体"/>
        </w:rPr>
        <w:t xml:space="preserve">3.2-1 </w:t>
      </w:r>
      <w:r>
        <w:rPr>
          <w:rFonts w:eastAsia="宋体"/>
        </w:rPr>
        <w:t xml:space="preserve"> 造粒工艺流程及产污节点图</w:t>
      </w:r>
      <w:bookmarkEnd w:id="55"/>
    </w:p>
    <w:p>
      <w:pPr>
        <w:pStyle w:val="6"/>
        <w:spacing w:after="0" w:afterLines="0"/>
        <w:ind w:left="0" w:firstLine="0"/>
      </w:pPr>
      <w:r>
        <w:t>滴灌带、水带生产工艺流程</w:t>
      </w:r>
    </w:p>
    <w:p>
      <w:pPr>
        <w:pStyle w:val="7"/>
        <w:ind w:firstLine="480"/>
        <w:rPr>
          <w:rFonts w:cs="Times New Roman"/>
        </w:rPr>
      </w:pPr>
      <w:r>
        <w:rPr>
          <w:rFonts w:hint="eastAsia" w:cs="Times New Roman"/>
        </w:rPr>
        <w:t>滴灌带、水带的生产工艺过程基本一致，区别仅为其滴灌带挤出机和水带挤出机的出料口模腔造型不同，故将其二者的工艺流程合并简述如下：</w:t>
      </w:r>
    </w:p>
    <w:p>
      <w:pPr>
        <w:pStyle w:val="7"/>
        <w:ind w:firstLine="480"/>
        <w:rPr>
          <w:rFonts w:cs="Times New Roman"/>
          <w:lang w:val="zh-CN"/>
        </w:rPr>
      </w:pPr>
      <w:r>
        <w:rPr>
          <w:rFonts w:cs="Times New Roman"/>
          <w:lang w:val="zh-CN"/>
        </w:rPr>
        <w:t>预热搅拌：将</w:t>
      </w:r>
      <w:r>
        <w:rPr>
          <w:rFonts w:hint="eastAsia" w:cs="Times New Roman"/>
          <w:lang w:val="zh-CN"/>
        </w:rPr>
        <w:t>造粒工序生产的</w:t>
      </w:r>
      <w:r>
        <w:rPr>
          <w:rFonts w:cs="Times New Roman"/>
          <w:lang w:val="zh-CN"/>
        </w:rPr>
        <w:t>聚乙烯再生颗粒</w:t>
      </w:r>
      <w:r>
        <w:rPr>
          <w:rFonts w:hint="eastAsia" w:cs="Times New Roman"/>
          <w:lang w:val="zh-CN"/>
        </w:rPr>
        <w:t>与</w:t>
      </w:r>
      <w:r>
        <w:rPr>
          <w:rFonts w:cs="Times New Roman"/>
          <w:lang w:val="zh-CN"/>
        </w:rPr>
        <w:t>聚乙烯（新料）、</w:t>
      </w:r>
      <w:r>
        <w:rPr>
          <w:rFonts w:hint="eastAsia" w:cs="Times New Roman"/>
          <w:lang w:val="zh-CN"/>
        </w:rPr>
        <w:t>黑</w:t>
      </w:r>
      <w:r>
        <w:rPr>
          <w:rFonts w:cs="Times New Roman"/>
          <w:lang w:val="zh-CN"/>
        </w:rPr>
        <w:t>色母料、抗老化剂</w:t>
      </w:r>
      <w:r>
        <w:rPr>
          <w:rFonts w:hint="eastAsia" w:cs="Times New Roman"/>
          <w:lang w:val="zh-CN"/>
        </w:rPr>
        <w:t>按比例</w:t>
      </w:r>
      <w:r>
        <w:rPr>
          <w:rFonts w:cs="Times New Roman"/>
          <w:lang w:val="zh-CN"/>
        </w:rPr>
        <w:t>混合搅拌均匀，同时进行</w:t>
      </w:r>
      <w:r>
        <w:rPr>
          <w:rFonts w:hint="eastAsia" w:cs="Times New Roman"/>
          <w:lang w:val="zh-CN"/>
        </w:rPr>
        <w:t>电加热</w:t>
      </w:r>
      <w:r>
        <w:rPr>
          <w:rFonts w:cs="Times New Roman"/>
          <w:lang w:val="zh-CN"/>
        </w:rPr>
        <w:t>以去除物料携带的水分。预热搅拌工序主要产生噪声。</w:t>
      </w:r>
    </w:p>
    <w:p>
      <w:pPr>
        <w:pStyle w:val="7"/>
        <w:ind w:firstLine="480"/>
        <w:rPr>
          <w:rFonts w:cs="Times New Roman"/>
          <w:lang w:val="zh-CN"/>
        </w:rPr>
      </w:pPr>
      <w:r>
        <w:rPr>
          <w:rFonts w:cs="Times New Roman"/>
          <w:lang w:val="zh-CN"/>
        </w:rPr>
        <w:t>熔融挤出：利用塑料的热塑性，将塑料加热</w:t>
      </w:r>
      <w:r>
        <w:rPr>
          <w:rFonts w:hint="eastAsia" w:cs="Times New Roman"/>
          <w:lang w:val="zh-CN"/>
        </w:rPr>
        <w:t>在170</w:t>
      </w:r>
      <w:r>
        <w:rPr>
          <w:rFonts w:cs="Times New Roman"/>
          <w:lang w:val="zh-CN"/>
        </w:rPr>
        <w:t>℃融化后，加以高的压力使其快速流入模腔，经一段时间的保压和冷却，成为</w:t>
      </w:r>
      <w:r>
        <w:rPr>
          <w:rFonts w:hint="eastAsia" w:cs="Times New Roman"/>
          <w:lang w:val="zh-CN"/>
        </w:rPr>
        <w:t>特定造型</w:t>
      </w:r>
      <w:r>
        <w:rPr>
          <w:rFonts w:cs="Times New Roman"/>
          <w:lang w:val="zh-CN"/>
        </w:rPr>
        <w:t>的材料。熔融挤出工序产生的污染</w:t>
      </w:r>
      <w:r>
        <w:rPr>
          <w:rFonts w:hint="eastAsia" w:cs="Times New Roman"/>
          <w:lang w:val="zh-CN"/>
        </w:rPr>
        <w:t>物为以</w:t>
      </w:r>
      <w:r>
        <w:rPr>
          <w:rFonts w:cs="Times New Roman"/>
          <w:lang w:val="zh-CN"/>
        </w:rPr>
        <w:t>非甲烷总烃</w:t>
      </w:r>
      <w:r>
        <w:rPr>
          <w:rFonts w:hint="eastAsia" w:cs="Times New Roman"/>
          <w:lang w:val="zh-CN"/>
        </w:rPr>
        <w:t>为主的废气及噪声</w:t>
      </w:r>
      <w:r>
        <w:rPr>
          <w:rFonts w:cs="Times New Roman"/>
          <w:lang w:val="zh-CN"/>
        </w:rPr>
        <w:t>。</w:t>
      </w:r>
    </w:p>
    <w:p>
      <w:pPr>
        <w:pStyle w:val="7"/>
        <w:ind w:firstLine="480"/>
        <w:rPr>
          <w:rFonts w:cs="Times New Roman"/>
          <w:lang w:val="zh-CN"/>
        </w:rPr>
      </w:pPr>
      <w:r>
        <w:rPr>
          <w:rFonts w:cs="Times New Roman"/>
          <w:lang w:val="zh-CN"/>
        </w:rPr>
        <w:t>冷却定型：冷却定型（用循环冷却水进行冷却，定期对循环冷却水进行补充，无废水外排），将不合格的产品统一收集后送至造粒车间重新造粒。冷却定型工序产生的污染</w:t>
      </w:r>
      <w:r>
        <w:rPr>
          <w:rFonts w:hint="eastAsia" w:cs="Times New Roman"/>
          <w:lang w:val="zh-CN"/>
        </w:rPr>
        <w:t>物</w:t>
      </w:r>
      <w:r>
        <w:rPr>
          <w:rFonts w:cs="Times New Roman"/>
          <w:lang w:val="zh-CN"/>
        </w:rPr>
        <w:t>主要为噪声。</w:t>
      </w:r>
    </w:p>
    <w:p>
      <w:pPr>
        <w:pStyle w:val="7"/>
        <w:ind w:firstLine="480"/>
        <w:rPr>
          <w:rFonts w:cs="Times New Roman"/>
          <w:lang w:val="zh-CN"/>
        </w:rPr>
      </w:pPr>
      <w:r>
        <w:rPr>
          <w:rFonts w:cs="Times New Roman"/>
          <w:lang w:val="zh-CN"/>
        </w:rPr>
        <w:t>检测：定型完成后，安排技术人员</w:t>
      </w:r>
      <w:r>
        <w:rPr>
          <w:rFonts w:hint="eastAsia" w:cs="Times New Roman"/>
          <w:lang w:val="zh-CN"/>
        </w:rPr>
        <w:t>对产品</w:t>
      </w:r>
      <w:r>
        <w:rPr>
          <w:rFonts w:cs="Times New Roman"/>
          <w:lang w:val="zh-CN"/>
        </w:rPr>
        <w:t>进行检测，合格产品可入库，不合格产品返回造粒车间重新造粒。</w:t>
      </w:r>
    </w:p>
    <w:p>
      <w:pPr>
        <w:pStyle w:val="7"/>
        <w:ind w:firstLine="480"/>
        <w:rPr>
          <w:rFonts w:cs="Times New Roman"/>
          <w:lang w:val="zh-CN"/>
        </w:rPr>
      </w:pPr>
      <w:r>
        <w:rPr>
          <w:rFonts w:cs="Times New Roman"/>
          <w:lang w:val="zh-CN"/>
        </w:rPr>
        <w:t>生产工艺流程及产污环节详见</w:t>
      </w:r>
      <w:r>
        <w:rPr>
          <w:rFonts w:hint="eastAsia" w:cs="Times New Roman"/>
          <w:lang w:val="zh-CN"/>
        </w:rPr>
        <w:t>图3.2-2</w:t>
      </w:r>
      <w:r>
        <w:rPr>
          <w:rFonts w:cs="Times New Roman"/>
          <w:lang w:val="zh-CN"/>
        </w:rPr>
        <w:t>。</w:t>
      </w:r>
    </w:p>
    <w:p>
      <w:pPr>
        <w:pStyle w:val="34"/>
        <w:spacing w:before="156" w:beforeLines="50"/>
      </w:pPr>
      <w:r>
        <w:rPr>
          <w:rFonts w:hint="eastAsia"/>
        </w:rPr>
        <w:drawing>
          <wp:inline distT="0" distB="0" distL="0" distR="0">
            <wp:extent cx="5278120" cy="4700905"/>
            <wp:effectExtent l="0" t="0" r="0" b="4445"/>
            <wp:docPr id="9886127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12724" name="图片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8120" cy="4700905"/>
                    </a:xfrm>
                    <a:prstGeom prst="rect">
                      <a:avLst/>
                    </a:prstGeom>
                  </pic:spPr>
                </pic:pic>
              </a:graphicData>
            </a:graphic>
          </wp:inline>
        </w:drawing>
      </w:r>
    </w:p>
    <w:p>
      <w:pPr>
        <w:pStyle w:val="38"/>
        <w:spacing w:before="156" w:after="156"/>
        <w:rPr>
          <w:rFonts w:eastAsia="宋体"/>
        </w:rPr>
      </w:pPr>
      <w:bookmarkStart w:id="56" w:name="_Ref111401555"/>
      <w:r>
        <w:rPr>
          <w:rFonts w:eastAsia="宋体"/>
        </w:rPr>
        <w:t>图</w:t>
      </w:r>
      <w:bookmarkEnd w:id="56"/>
      <w:r>
        <w:rPr>
          <w:rFonts w:hint="eastAsia" w:eastAsia="宋体"/>
        </w:rPr>
        <w:t>3.2-2</w:t>
      </w:r>
      <w:r>
        <w:rPr>
          <w:rFonts w:eastAsia="宋体"/>
        </w:rPr>
        <w:t xml:space="preserve">  </w:t>
      </w:r>
      <w:r>
        <w:rPr>
          <w:rFonts w:hint="eastAsia" w:eastAsia="宋体"/>
        </w:rPr>
        <w:t>滴灌带、水带</w:t>
      </w:r>
      <w:r>
        <w:rPr>
          <w:rFonts w:eastAsia="宋体"/>
        </w:rPr>
        <w:t>生产工艺流程及产污环节图</w:t>
      </w:r>
    </w:p>
    <w:p>
      <w:pPr>
        <w:pStyle w:val="6"/>
        <w:spacing w:after="0" w:afterLines="0"/>
        <w:ind w:left="0" w:firstLine="0"/>
      </w:pPr>
      <w:r>
        <w:t>产污环节分析</w:t>
      </w:r>
    </w:p>
    <w:p>
      <w:pPr>
        <w:pStyle w:val="7"/>
        <w:ind w:firstLine="480"/>
        <w:rPr>
          <w:rFonts w:cs="Times New Roman"/>
          <w:lang w:val="zh-CN"/>
        </w:rPr>
      </w:pPr>
      <w:r>
        <w:rPr>
          <w:rFonts w:cs="Times New Roman"/>
          <w:lang w:val="zh-CN"/>
        </w:rPr>
        <w:t>本项目主要产污环节及排污特征详见</w:t>
      </w:r>
      <w:r>
        <w:rPr>
          <w:rFonts w:hint="eastAsia" w:cs="Times New Roman"/>
        </w:rPr>
        <w:t>表3.2-1</w:t>
      </w:r>
      <w:r>
        <w:rPr>
          <w:rFonts w:cs="Times New Roman"/>
          <w:lang w:val="zh-CN"/>
        </w:rPr>
        <w:t>。</w:t>
      </w:r>
    </w:p>
    <w:p>
      <w:pPr>
        <w:pStyle w:val="36"/>
        <w:spacing w:before="156"/>
        <w:rPr>
          <w:rFonts w:eastAsia="宋体"/>
        </w:rPr>
      </w:pPr>
      <w:bookmarkStart w:id="57" w:name="_Ref111401603"/>
      <w:r>
        <w:rPr>
          <w:rFonts w:eastAsia="宋体"/>
        </w:rPr>
        <w:t>表</w:t>
      </w:r>
      <w:r>
        <w:rPr>
          <w:rFonts w:hint="eastAsia" w:eastAsia="宋体"/>
        </w:rPr>
        <w:t>3.2-1</w:t>
      </w:r>
      <w:bookmarkEnd w:id="57"/>
      <w:r>
        <w:rPr>
          <w:rFonts w:eastAsia="宋体"/>
        </w:rPr>
        <w:t xml:space="preserve">  本项目主要产污节点及污染物一览表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986"/>
        <w:gridCol w:w="1498"/>
        <w:gridCol w:w="1092"/>
        <w:gridCol w:w="3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tcBorders>
              <w:tl2br w:val="nil"/>
              <w:tr2bl w:val="nil"/>
            </w:tcBorders>
            <w:vAlign w:val="center"/>
          </w:tcPr>
          <w:p>
            <w:pPr>
              <w:pStyle w:val="34"/>
            </w:pPr>
            <w:r>
              <w:t>类别</w:t>
            </w:r>
          </w:p>
        </w:tc>
        <w:tc>
          <w:tcPr>
            <w:tcW w:w="1164" w:type="pct"/>
            <w:tcBorders>
              <w:tl2br w:val="nil"/>
              <w:tr2bl w:val="nil"/>
            </w:tcBorders>
            <w:vAlign w:val="center"/>
          </w:tcPr>
          <w:p>
            <w:pPr>
              <w:pStyle w:val="34"/>
            </w:pPr>
            <w:r>
              <w:t>产污节点</w:t>
            </w:r>
          </w:p>
        </w:tc>
        <w:tc>
          <w:tcPr>
            <w:tcW w:w="878" w:type="pct"/>
            <w:tcBorders>
              <w:tl2br w:val="nil"/>
              <w:tr2bl w:val="nil"/>
            </w:tcBorders>
            <w:vAlign w:val="center"/>
          </w:tcPr>
          <w:p>
            <w:pPr>
              <w:pStyle w:val="34"/>
            </w:pPr>
            <w:r>
              <w:t>污染物</w:t>
            </w:r>
          </w:p>
        </w:tc>
        <w:tc>
          <w:tcPr>
            <w:tcW w:w="640" w:type="pct"/>
            <w:tcBorders>
              <w:tl2br w:val="nil"/>
              <w:tr2bl w:val="nil"/>
            </w:tcBorders>
            <w:vAlign w:val="center"/>
          </w:tcPr>
          <w:p>
            <w:pPr>
              <w:pStyle w:val="34"/>
            </w:pPr>
            <w:r>
              <w:t>产污特征</w:t>
            </w:r>
          </w:p>
        </w:tc>
        <w:tc>
          <w:tcPr>
            <w:tcW w:w="1912" w:type="pct"/>
            <w:tcBorders>
              <w:tl2br w:val="nil"/>
              <w:tr2bl w:val="nil"/>
            </w:tcBorders>
            <w:vAlign w:val="center"/>
          </w:tcPr>
          <w:p>
            <w:pPr>
              <w:pStyle w:val="34"/>
            </w:pPr>
            <w:r>
              <w:t>排污去向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70" w:hRule="atLeast"/>
        </w:trPr>
        <w:tc>
          <w:tcPr>
            <w:tcW w:w="403" w:type="pct"/>
            <w:vMerge w:val="restart"/>
            <w:tcBorders>
              <w:tl2br w:val="nil"/>
              <w:tr2bl w:val="nil"/>
            </w:tcBorders>
            <w:vAlign w:val="center"/>
          </w:tcPr>
          <w:p>
            <w:pPr>
              <w:pStyle w:val="34"/>
            </w:pPr>
            <w:r>
              <w:t>废气</w:t>
            </w:r>
          </w:p>
        </w:tc>
        <w:tc>
          <w:tcPr>
            <w:tcW w:w="1164" w:type="pct"/>
            <w:tcBorders>
              <w:tl2br w:val="nil"/>
              <w:tr2bl w:val="nil"/>
            </w:tcBorders>
            <w:vAlign w:val="center"/>
          </w:tcPr>
          <w:p>
            <w:pPr>
              <w:pStyle w:val="34"/>
            </w:pPr>
            <w:r>
              <w:t>造粒生产线</w:t>
            </w:r>
          </w:p>
        </w:tc>
        <w:tc>
          <w:tcPr>
            <w:tcW w:w="878" w:type="pct"/>
            <w:tcBorders>
              <w:tl2br w:val="nil"/>
              <w:tr2bl w:val="nil"/>
            </w:tcBorders>
            <w:vAlign w:val="center"/>
          </w:tcPr>
          <w:p>
            <w:pPr>
              <w:pStyle w:val="34"/>
            </w:pPr>
            <w:r>
              <w:t>非甲烷总烃</w:t>
            </w:r>
          </w:p>
        </w:tc>
        <w:tc>
          <w:tcPr>
            <w:tcW w:w="640" w:type="pct"/>
            <w:tcBorders>
              <w:tl2br w:val="nil"/>
              <w:tr2bl w:val="nil"/>
            </w:tcBorders>
            <w:vAlign w:val="center"/>
          </w:tcPr>
          <w:p>
            <w:pPr>
              <w:pStyle w:val="34"/>
            </w:pPr>
            <w:r>
              <w:t>连续</w:t>
            </w:r>
          </w:p>
        </w:tc>
        <w:tc>
          <w:tcPr>
            <w:tcW w:w="1912" w:type="pct"/>
            <w:vMerge w:val="restart"/>
            <w:tcBorders>
              <w:tl2br w:val="nil"/>
              <w:tr2bl w:val="nil"/>
            </w:tcBorders>
            <w:vAlign w:val="center"/>
          </w:tcPr>
          <w:p>
            <w:pPr>
              <w:pStyle w:val="34"/>
            </w:pPr>
            <w:r>
              <w:rPr>
                <w:spacing w:val="-6"/>
              </w:rPr>
              <w:t>各工段经集气罩收集的废气通过管道通入一套UV光氧催化+活性炭吸附装置净化处理，处理后通过一根15m高排气筒排放；车间无组织废气通过加强车间通风等措施控制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rPr>
                <w:spacing w:val="-6"/>
              </w:rPr>
              <w:t>滴灌带、水带生产线</w:t>
            </w:r>
          </w:p>
        </w:tc>
        <w:tc>
          <w:tcPr>
            <w:tcW w:w="878" w:type="pct"/>
            <w:tcBorders>
              <w:tl2br w:val="nil"/>
              <w:tr2bl w:val="nil"/>
            </w:tcBorders>
            <w:vAlign w:val="center"/>
          </w:tcPr>
          <w:p>
            <w:pPr>
              <w:pStyle w:val="34"/>
            </w:pPr>
            <w:r>
              <w:t>非甲烷总烃</w:t>
            </w:r>
          </w:p>
        </w:tc>
        <w:tc>
          <w:tcPr>
            <w:tcW w:w="640" w:type="pct"/>
            <w:tcBorders>
              <w:tl2br w:val="nil"/>
              <w:tr2bl w:val="nil"/>
            </w:tcBorders>
            <w:vAlign w:val="center"/>
          </w:tcPr>
          <w:p>
            <w:pPr>
              <w:pStyle w:val="34"/>
            </w:pPr>
            <w:r>
              <w:t>连续</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03" w:type="pct"/>
            <w:tcBorders>
              <w:tl2br w:val="nil"/>
              <w:tr2bl w:val="nil"/>
            </w:tcBorders>
            <w:vAlign w:val="center"/>
          </w:tcPr>
          <w:p>
            <w:pPr>
              <w:pStyle w:val="34"/>
            </w:pPr>
            <w:r>
              <w:t>废水</w:t>
            </w:r>
          </w:p>
        </w:tc>
        <w:tc>
          <w:tcPr>
            <w:tcW w:w="1164" w:type="pct"/>
            <w:tcBorders>
              <w:tl2br w:val="nil"/>
              <w:tr2bl w:val="nil"/>
            </w:tcBorders>
            <w:vAlign w:val="center"/>
          </w:tcPr>
          <w:p>
            <w:pPr>
              <w:pStyle w:val="34"/>
            </w:pPr>
            <w:r>
              <w:t>生产、生活</w:t>
            </w:r>
          </w:p>
        </w:tc>
        <w:tc>
          <w:tcPr>
            <w:tcW w:w="878" w:type="pct"/>
            <w:tcBorders>
              <w:tl2br w:val="nil"/>
              <w:tr2bl w:val="nil"/>
            </w:tcBorders>
            <w:vAlign w:val="center"/>
          </w:tcPr>
          <w:p>
            <w:pPr>
              <w:pStyle w:val="34"/>
            </w:pPr>
            <w:r>
              <w:t>生产废水</w:t>
            </w:r>
          </w:p>
          <w:p>
            <w:pPr>
              <w:pStyle w:val="34"/>
            </w:pPr>
            <w:r>
              <w:t>生活污水</w:t>
            </w:r>
          </w:p>
        </w:tc>
        <w:tc>
          <w:tcPr>
            <w:tcW w:w="640" w:type="pct"/>
            <w:tcBorders>
              <w:tl2br w:val="nil"/>
              <w:tr2bl w:val="nil"/>
            </w:tcBorders>
            <w:vAlign w:val="center"/>
          </w:tcPr>
          <w:p>
            <w:pPr>
              <w:pStyle w:val="34"/>
            </w:pPr>
            <w:r>
              <w:t>间歇</w:t>
            </w:r>
          </w:p>
        </w:tc>
        <w:tc>
          <w:tcPr>
            <w:tcW w:w="1912" w:type="pct"/>
            <w:tcBorders>
              <w:tl2br w:val="nil"/>
              <w:tr2bl w:val="nil"/>
            </w:tcBorders>
            <w:vAlign w:val="center"/>
          </w:tcPr>
          <w:p>
            <w:pPr>
              <w:pStyle w:val="34"/>
            </w:pPr>
            <w:r>
              <w:t>生产废水全部循环利用不外排；生活污水在厂区化粪池暂存，</w:t>
            </w:r>
            <w:r>
              <w:rPr>
                <w:lang w:val="zh-CN"/>
              </w:rPr>
              <w:t>定期</w:t>
            </w:r>
            <w:r>
              <w:rPr>
                <w:rFonts w:hint="eastAsia"/>
                <w:lang w:val="zh-CN"/>
              </w:rPr>
              <w:t>由环卫部门</w:t>
            </w:r>
            <w:r>
              <w:rPr>
                <w:lang w:val="zh-CN"/>
              </w:rPr>
              <w:t>拉运</w:t>
            </w:r>
            <w:r>
              <w:t>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403" w:type="pct"/>
            <w:vMerge w:val="restart"/>
            <w:tcBorders>
              <w:tl2br w:val="nil"/>
              <w:tr2bl w:val="nil"/>
            </w:tcBorders>
            <w:vAlign w:val="center"/>
          </w:tcPr>
          <w:p>
            <w:pPr>
              <w:pStyle w:val="34"/>
            </w:pPr>
            <w:r>
              <w:t>噪声</w:t>
            </w:r>
          </w:p>
        </w:tc>
        <w:tc>
          <w:tcPr>
            <w:tcW w:w="1164" w:type="pct"/>
            <w:tcBorders>
              <w:tl2br w:val="nil"/>
              <w:tr2bl w:val="nil"/>
            </w:tcBorders>
            <w:vAlign w:val="center"/>
          </w:tcPr>
          <w:p>
            <w:pPr>
              <w:pStyle w:val="34"/>
            </w:pPr>
            <w:r>
              <w:t>破碎机</w:t>
            </w:r>
          </w:p>
        </w:tc>
        <w:tc>
          <w:tcPr>
            <w:tcW w:w="878" w:type="pct"/>
            <w:tcBorders>
              <w:tl2br w:val="nil"/>
              <w:tr2bl w:val="nil"/>
            </w:tcBorders>
            <w:vAlign w:val="center"/>
          </w:tcPr>
          <w:p>
            <w:pPr>
              <w:pStyle w:val="34"/>
            </w:pPr>
            <w:r>
              <w:t>机械噪声</w:t>
            </w:r>
          </w:p>
        </w:tc>
        <w:tc>
          <w:tcPr>
            <w:tcW w:w="640" w:type="pct"/>
            <w:tcBorders>
              <w:tl2br w:val="nil"/>
              <w:tr2bl w:val="nil"/>
            </w:tcBorders>
            <w:vAlign w:val="center"/>
          </w:tcPr>
          <w:p>
            <w:pPr>
              <w:pStyle w:val="34"/>
            </w:pPr>
            <w:r>
              <w:t>连续</w:t>
            </w:r>
          </w:p>
        </w:tc>
        <w:tc>
          <w:tcPr>
            <w:tcW w:w="1912" w:type="pct"/>
            <w:vMerge w:val="restart"/>
            <w:tcBorders>
              <w:tl2br w:val="nil"/>
              <w:tr2bl w:val="nil"/>
            </w:tcBorders>
            <w:vAlign w:val="center"/>
          </w:tcPr>
          <w:p>
            <w:pPr>
              <w:pStyle w:val="34"/>
            </w:pPr>
            <w:r>
              <w:t>车间隔声、基础减振，柔性连接、加装消声器等措施降噪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热熔挤出机</w:t>
            </w:r>
          </w:p>
        </w:tc>
        <w:tc>
          <w:tcPr>
            <w:tcW w:w="878" w:type="pct"/>
            <w:tcBorders>
              <w:tl2br w:val="nil"/>
              <w:tr2bl w:val="nil"/>
            </w:tcBorders>
            <w:vAlign w:val="center"/>
          </w:tcPr>
          <w:p>
            <w:pPr>
              <w:pStyle w:val="34"/>
            </w:pPr>
            <w:r>
              <w:t>机械噪声</w:t>
            </w:r>
          </w:p>
        </w:tc>
        <w:tc>
          <w:tcPr>
            <w:tcW w:w="640" w:type="pct"/>
            <w:tcBorders>
              <w:tl2br w:val="nil"/>
              <w:tr2bl w:val="nil"/>
            </w:tcBorders>
            <w:vAlign w:val="center"/>
          </w:tcPr>
          <w:p>
            <w:pPr>
              <w:pStyle w:val="34"/>
            </w:pPr>
            <w:r>
              <w:t>连续</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造粒机</w:t>
            </w:r>
          </w:p>
        </w:tc>
        <w:tc>
          <w:tcPr>
            <w:tcW w:w="878" w:type="pct"/>
            <w:tcBorders>
              <w:tl2br w:val="nil"/>
              <w:tr2bl w:val="nil"/>
            </w:tcBorders>
            <w:vAlign w:val="center"/>
          </w:tcPr>
          <w:p>
            <w:pPr>
              <w:pStyle w:val="34"/>
            </w:pPr>
            <w:r>
              <w:t>机械噪声</w:t>
            </w:r>
          </w:p>
        </w:tc>
        <w:tc>
          <w:tcPr>
            <w:tcW w:w="640" w:type="pct"/>
            <w:tcBorders>
              <w:tl2br w:val="nil"/>
              <w:tr2bl w:val="nil"/>
            </w:tcBorders>
            <w:vAlign w:val="center"/>
          </w:tcPr>
          <w:p>
            <w:pPr>
              <w:pStyle w:val="34"/>
            </w:pPr>
            <w:r>
              <w:t>连续</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拌料机</w:t>
            </w:r>
          </w:p>
        </w:tc>
        <w:tc>
          <w:tcPr>
            <w:tcW w:w="878" w:type="pct"/>
            <w:tcBorders>
              <w:tl2br w:val="nil"/>
              <w:tr2bl w:val="nil"/>
            </w:tcBorders>
            <w:vAlign w:val="center"/>
          </w:tcPr>
          <w:p>
            <w:pPr>
              <w:pStyle w:val="34"/>
            </w:pPr>
            <w:r>
              <w:t>机械噪声</w:t>
            </w:r>
          </w:p>
        </w:tc>
        <w:tc>
          <w:tcPr>
            <w:tcW w:w="640" w:type="pct"/>
            <w:tcBorders>
              <w:tl2br w:val="nil"/>
              <w:tr2bl w:val="nil"/>
            </w:tcBorders>
            <w:vAlign w:val="center"/>
          </w:tcPr>
          <w:p>
            <w:pPr>
              <w:pStyle w:val="34"/>
            </w:pPr>
            <w:r>
              <w:t>连续</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双螺杆挤出机</w:t>
            </w:r>
          </w:p>
        </w:tc>
        <w:tc>
          <w:tcPr>
            <w:tcW w:w="878" w:type="pct"/>
            <w:tcBorders>
              <w:tl2br w:val="nil"/>
              <w:tr2bl w:val="nil"/>
            </w:tcBorders>
            <w:vAlign w:val="center"/>
          </w:tcPr>
          <w:p>
            <w:pPr>
              <w:pStyle w:val="34"/>
            </w:pPr>
            <w:r>
              <w:t>机械噪声</w:t>
            </w:r>
          </w:p>
        </w:tc>
        <w:tc>
          <w:tcPr>
            <w:tcW w:w="640" w:type="pct"/>
            <w:tcBorders>
              <w:tl2br w:val="nil"/>
              <w:tr2bl w:val="nil"/>
            </w:tcBorders>
            <w:vAlign w:val="center"/>
          </w:tcPr>
          <w:p>
            <w:pPr>
              <w:pStyle w:val="34"/>
            </w:pPr>
            <w:r>
              <w:t>连续</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水泵</w:t>
            </w:r>
          </w:p>
        </w:tc>
        <w:tc>
          <w:tcPr>
            <w:tcW w:w="878" w:type="pct"/>
            <w:tcBorders>
              <w:tl2br w:val="nil"/>
              <w:tr2bl w:val="nil"/>
            </w:tcBorders>
            <w:vAlign w:val="center"/>
          </w:tcPr>
          <w:p>
            <w:pPr>
              <w:pStyle w:val="34"/>
            </w:pPr>
            <w:r>
              <w:t>机械噪声</w:t>
            </w:r>
          </w:p>
        </w:tc>
        <w:tc>
          <w:tcPr>
            <w:tcW w:w="640" w:type="pct"/>
            <w:tcBorders>
              <w:tl2br w:val="nil"/>
              <w:tr2bl w:val="nil"/>
            </w:tcBorders>
            <w:vAlign w:val="center"/>
          </w:tcPr>
          <w:p>
            <w:pPr>
              <w:pStyle w:val="34"/>
            </w:pPr>
            <w:r>
              <w:t>连续</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风机</w:t>
            </w:r>
          </w:p>
        </w:tc>
        <w:tc>
          <w:tcPr>
            <w:tcW w:w="878" w:type="pct"/>
            <w:tcBorders>
              <w:tl2br w:val="nil"/>
              <w:tr2bl w:val="nil"/>
            </w:tcBorders>
            <w:vAlign w:val="center"/>
          </w:tcPr>
          <w:p>
            <w:pPr>
              <w:pStyle w:val="34"/>
            </w:pPr>
            <w:r>
              <w:t>空气动力噪声</w:t>
            </w:r>
          </w:p>
        </w:tc>
        <w:tc>
          <w:tcPr>
            <w:tcW w:w="640" w:type="pct"/>
            <w:tcBorders>
              <w:tl2br w:val="nil"/>
              <w:tr2bl w:val="nil"/>
            </w:tcBorders>
            <w:vAlign w:val="center"/>
          </w:tcPr>
          <w:p>
            <w:pPr>
              <w:pStyle w:val="34"/>
            </w:pPr>
            <w:r>
              <w:t>连续</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restart"/>
            <w:tcBorders>
              <w:tl2br w:val="nil"/>
              <w:tr2bl w:val="nil"/>
            </w:tcBorders>
            <w:vAlign w:val="center"/>
          </w:tcPr>
          <w:p>
            <w:pPr>
              <w:pStyle w:val="34"/>
            </w:pPr>
            <w:r>
              <w:t>固废</w:t>
            </w:r>
          </w:p>
        </w:tc>
        <w:tc>
          <w:tcPr>
            <w:tcW w:w="1164" w:type="pct"/>
            <w:tcBorders>
              <w:tl2br w:val="nil"/>
              <w:tr2bl w:val="nil"/>
            </w:tcBorders>
            <w:vAlign w:val="center"/>
          </w:tcPr>
          <w:p>
            <w:pPr>
              <w:pStyle w:val="34"/>
            </w:pPr>
            <w:r>
              <w:t>沉淀池</w:t>
            </w:r>
          </w:p>
        </w:tc>
        <w:tc>
          <w:tcPr>
            <w:tcW w:w="878" w:type="pct"/>
            <w:tcBorders>
              <w:tl2br w:val="nil"/>
              <w:tr2bl w:val="nil"/>
            </w:tcBorders>
            <w:vAlign w:val="center"/>
          </w:tcPr>
          <w:p>
            <w:pPr>
              <w:pStyle w:val="34"/>
            </w:pPr>
            <w:r>
              <w:t>污泥</w:t>
            </w:r>
          </w:p>
        </w:tc>
        <w:tc>
          <w:tcPr>
            <w:tcW w:w="640" w:type="pct"/>
            <w:tcBorders>
              <w:tl2br w:val="nil"/>
              <w:tr2bl w:val="nil"/>
            </w:tcBorders>
            <w:vAlign w:val="center"/>
          </w:tcPr>
          <w:p>
            <w:pPr>
              <w:pStyle w:val="34"/>
            </w:pPr>
            <w:r>
              <w:t>间歇</w:t>
            </w:r>
          </w:p>
        </w:tc>
        <w:tc>
          <w:tcPr>
            <w:tcW w:w="1912" w:type="pct"/>
            <w:tcBorders>
              <w:tl2br w:val="nil"/>
              <w:tr2bl w:val="nil"/>
            </w:tcBorders>
            <w:vAlign w:val="center"/>
          </w:tcPr>
          <w:p>
            <w:pPr>
              <w:pStyle w:val="34"/>
            </w:pPr>
            <w:r>
              <w:t>定期清掏，经自然干化后交由环卫部门处置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造粒生产线</w:t>
            </w:r>
          </w:p>
        </w:tc>
        <w:tc>
          <w:tcPr>
            <w:tcW w:w="878" w:type="pct"/>
            <w:tcBorders>
              <w:tl2br w:val="nil"/>
              <w:tr2bl w:val="nil"/>
            </w:tcBorders>
            <w:vAlign w:val="center"/>
          </w:tcPr>
          <w:p>
            <w:pPr>
              <w:pStyle w:val="34"/>
            </w:pPr>
            <w:r>
              <w:t>废滤网</w:t>
            </w:r>
          </w:p>
        </w:tc>
        <w:tc>
          <w:tcPr>
            <w:tcW w:w="640" w:type="pct"/>
            <w:tcBorders>
              <w:tl2br w:val="nil"/>
              <w:tr2bl w:val="nil"/>
            </w:tcBorders>
            <w:vAlign w:val="center"/>
          </w:tcPr>
          <w:p>
            <w:pPr>
              <w:pStyle w:val="34"/>
            </w:pPr>
            <w:r>
              <w:t>间歇</w:t>
            </w:r>
          </w:p>
        </w:tc>
        <w:tc>
          <w:tcPr>
            <w:tcW w:w="1912" w:type="pct"/>
            <w:tcBorders>
              <w:tl2br w:val="nil"/>
              <w:tr2bl w:val="nil"/>
            </w:tcBorders>
            <w:vAlign w:val="center"/>
          </w:tcPr>
          <w:p>
            <w:pPr>
              <w:pStyle w:val="34"/>
            </w:pPr>
            <w:r>
              <w:t>定点收集后外售物资回收单位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vMerge w:val="restart"/>
            <w:tcBorders>
              <w:tl2br w:val="nil"/>
              <w:tr2bl w:val="nil"/>
            </w:tcBorders>
            <w:vAlign w:val="center"/>
          </w:tcPr>
          <w:p>
            <w:pPr>
              <w:pStyle w:val="34"/>
            </w:pPr>
            <w:r>
              <w:t>滴灌带生产线</w:t>
            </w:r>
          </w:p>
        </w:tc>
        <w:tc>
          <w:tcPr>
            <w:tcW w:w="878" w:type="pct"/>
            <w:tcBorders>
              <w:tl2br w:val="nil"/>
              <w:tr2bl w:val="nil"/>
            </w:tcBorders>
            <w:vAlign w:val="center"/>
          </w:tcPr>
          <w:p>
            <w:pPr>
              <w:pStyle w:val="34"/>
            </w:pPr>
            <w:r>
              <w:t>不合格产品</w:t>
            </w:r>
          </w:p>
        </w:tc>
        <w:tc>
          <w:tcPr>
            <w:tcW w:w="640" w:type="pct"/>
            <w:tcBorders>
              <w:tl2br w:val="nil"/>
              <w:tr2bl w:val="nil"/>
            </w:tcBorders>
            <w:vAlign w:val="center"/>
          </w:tcPr>
          <w:p>
            <w:pPr>
              <w:pStyle w:val="34"/>
            </w:pPr>
            <w:r>
              <w:t>间歇</w:t>
            </w:r>
          </w:p>
        </w:tc>
        <w:tc>
          <w:tcPr>
            <w:tcW w:w="1912" w:type="pct"/>
            <w:vMerge w:val="restart"/>
            <w:tcBorders>
              <w:tl2br w:val="nil"/>
              <w:tr2bl w:val="nil"/>
            </w:tcBorders>
            <w:vAlign w:val="center"/>
          </w:tcPr>
          <w:p>
            <w:pPr>
              <w:pStyle w:val="34"/>
            </w:pPr>
            <w:r>
              <w:t>返回造粒生产线造粒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vMerge w:val="continue"/>
            <w:tcBorders>
              <w:tl2br w:val="nil"/>
              <w:tr2bl w:val="nil"/>
            </w:tcBorders>
            <w:vAlign w:val="center"/>
          </w:tcPr>
          <w:p>
            <w:pPr>
              <w:pStyle w:val="34"/>
            </w:pPr>
          </w:p>
        </w:tc>
        <w:tc>
          <w:tcPr>
            <w:tcW w:w="878" w:type="pct"/>
            <w:tcBorders>
              <w:tl2br w:val="nil"/>
              <w:tr2bl w:val="nil"/>
            </w:tcBorders>
            <w:vAlign w:val="center"/>
          </w:tcPr>
          <w:p>
            <w:pPr>
              <w:pStyle w:val="34"/>
            </w:pPr>
            <w:r>
              <w:t>边角料</w:t>
            </w:r>
          </w:p>
        </w:tc>
        <w:tc>
          <w:tcPr>
            <w:tcW w:w="640" w:type="pct"/>
            <w:tcBorders>
              <w:tl2br w:val="nil"/>
              <w:tr2bl w:val="nil"/>
            </w:tcBorders>
            <w:vAlign w:val="center"/>
          </w:tcPr>
          <w:p>
            <w:pPr>
              <w:pStyle w:val="34"/>
            </w:pPr>
            <w:r>
              <w:t>间歇</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活性炭吸附装置</w:t>
            </w:r>
          </w:p>
        </w:tc>
        <w:tc>
          <w:tcPr>
            <w:tcW w:w="878" w:type="pct"/>
            <w:tcBorders>
              <w:tl2br w:val="nil"/>
              <w:tr2bl w:val="nil"/>
            </w:tcBorders>
            <w:vAlign w:val="center"/>
          </w:tcPr>
          <w:p>
            <w:pPr>
              <w:pStyle w:val="34"/>
            </w:pPr>
            <w:r>
              <w:t>废活性炭</w:t>
            </w:r>
          </w:p>
        </w:tc>
        <w:tc>
          <w:tcPr>
            <w:tcW w:w="640" w:type="pct"/>
            <w:tcBorders>
              <w:tl2br w:val="nil"/>
              <w:tr2bl w:val="nil"/>
            </w:tcBorders>
            <w:vAlign w:val="center"/>
          </w:tcPr>
          <w:p>
            <w:pPr>
              <w:pStyle w:val="34"/>
            </w:pPr>
            <w:r>
              <w:t>间歇</w:t>
            </w:r>
          </w:p>
        </w:tc>
        <w:tc>
          <w:tcPr>
            <w:tcW w:w="1912" w:type="pct"/>
            <w:vMerge w:val="restart"/>
            <w:tcBorders>
              <w:tl2br w:val="nil"/>
              <w:tr2bl w:val="nil"/>
            </w:tcBorders>
            <w:vAlign w:val="center"/>
          </w:tcPr>
          <w:p>
            <w:pPr>
              <w:pStyle w:val="34"/>
            </w:pPr>
            <w:r>
              <w:t>经收集后暂存于</w:t>
            </w:r>
            <w:r>
              <w:rPr>
                <w:rFonts w:hint="eastAsia"/>
              </w:rPr>
              <w:t>危废贮存库</w:t>
            </w:r>
            <w:r>
              <w:t>，定期交由有危险废物处置资质的单位处置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UV光氧催化装置</w:t>
            </w:r>
          </w:p>
        </w:tc>
        <w:tc>
          <w:tcPr>
            <w:tcW w:w="878" w:type="pct"/>
            <w:tcBorders>
              <w:tl2br w:val="nil"/>
              <w:tr2bl w:val="nil"/>
            </w:tcBorders>
            <w:vAlign w:val="center"/>
          </w:tcPr>
          <w:p>
            <w:pPr>
              <w:pStyle w:val="34"/>
            </w:pPr>
            <w:r>
              <w:t>废灯管</w:t>
            </w:r>
          </w:p>
        </w:tc>
        <w:tc>
          <w:tcPr>
            <w:tcW w:w="640" w:type="pct"/>
            <w:tcBorders>
              <w:tl2br w:val="nil"/>
              <w:tr2bl w:val="nil"/>
            </w:tcBorders>
            <w:vAlign w:val="center"/>
          </w:tcPr>
          <w:p>
            <w:pPr>
              <w:pStyle w:val="34"/>
            </w:pPr>
            <w:r>
              <w:t>间歇</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设备维护</w:t>
            </w:r>
          </w:p>
        </w:tc>
        <w:tc>
          <w:tcPr>
            <w:tcW w:w="878" w:type="pct"/>
            <w:tcBorders>
              <w:tl2br w:val="nil"/>
              <w:tr2bl w:val="nil"/>
            </w:tcBorders>
            <w:vAlign w:val="center"/>
          </w:tcPr>
          <w:p>
            <w:pPr>
              <w:pStyle w:val="34"/>
            </w:pPr>
            <w:r>
              <w:t>废润滑油</w:t>
            </w:r>
          </w:p>
        </w:tc>
        <w:tc>
          <w:tcPr>
            <w:tcW w:w="640" w:type="pct"/>
            <w:tcBorders>
              <w:tl2br w:val="nil"/>
              <w:tr2bl w:val="nil"/>
            </w:tcBorders>
            <w:vAlign w:val="center"/>
          </w:tcPr>
          <w:p>
            <w:pPr>
              <w:pStyle w:val="34"/>
            </w:pPr>
            <w:r>
              <w:t>间歇</w:t>
            </w:r>
          </w:p>
        </w:tc>
        <w:tc>
          <w:tcPr>
            <w:tcW w:w="1912"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vMerge w:val="continue"/>
            <w:tcBorders>
              <w:tl2br w:val="nil"/>
              <w:tr2bl w:val="nil"/>
            </w:tcBorders>
            <w:vAlign w:val="center"/>
          </w:tcPr>
          <w:p>
            <w:pPr>
              <w:pStyle w:val="34"/>
            </w:pPr>
          </w:p>
        </w:tc>
        <w:tc>
          <w:tcPr>
            <w:tcW w:w="1164" w:type="pct"/>
            <w:tcBorders>
              <w:tl2br w:val="nil"/>
              <w:tr2bl w:val="nil"/>
            </w:tcBorders>
            <w:vAlign w:val="center"/>
          </w:tcPr>
          <w:p>
            <w:pPr>
              <w:pStyle w:val="34"/>
            </w:pPr>
            <w:r>
              <w:t>办公生活</w:t>
            </w:r>
          </w:p>
        </w:tc>
        <w:tc>
          <w:tcPr>
            <w:tcW w:w="878" w:type="pct"/>
            <w:tcBorders>
              <w:tl2br w:val="nil"/>
              <w:tr2bl w:val="nil"/>
            </w:tcBorders>
            <w:vAlign w:val="center"/>
          </w:tcPr>
          <w:p>
            <w:pPr>
              <w:pStyle w:val="34"/>
            </w:pPr>
            <w:r>
              <w:t>生活垃圾</w:t>
            </w:r>
          </w:p>
        </w:tc>
        <w:tc>
          <w:tcPr>
            <w:tcW w:w="640" w:type="pct"/>
            <w:tcBorders>
              <w:tl2br w:val="nil"/>
              <w:tr2bl w:val="nil"/>
            </w:tcBorders>
            <w:vAlign w:val="center"/>
          </w:tcPr>
          <w:p>
            <w:pPr>
              <w:pStyle w:val="34"/>
            </w:pPr>
            <w:r>
              <w:t>间歇</w:t>
            </w:r>
          </w:p>
        </w:tc>
        <w:tc>
          <w:tcPr>
            <w:tcW w:w="1912" w:type="pct"/>
            <w:tcBorders>
              <w:tl2br w:val="nil"/>
              <w:tr2bl w:val="nil"/>
            </w:tcBorders>
            <w:vAlign w:val="center"/>
          </w:tcPr>
          <w:p>
            <w:pPr>
              <w:pStyle w:val="34"/>
            </w:pPr>
            <w:r>
              <w:t>当地环卫部门清运</w:t>
            </w:r>
          </w:p>
        </w:tc>
      </w:tr>
    </w:tbl>
    <w:p>
      <w:pPr>
        <w:pStyle w:val="5"/>
        <w:rPr>
          <w:rFonts w:cs="Times New Roman"/>
        </w:rPr>
      </w:pPr>
      <w:r>
        <w:rPr>
          <w:rFonts w:cs="Times New Roman"/>
        </w:rPr>
        <w:t>平衡分析</w:t>
      </w:r>
    </w:p>
    <w:p>
      <w:pPr>
        <w:pStyle w:val="6"/>
        <w:spacing w:after="0" w:afterLines="0"/>
      </w:pPr>
      <w:r>
        <w:t>物料平衡</w:t>
      </w:r>
    </w:p>
    <w:p>
      <w:pPr>
        <w:pStyle w:val="7"/>
        <w:ind w:firstLine="480"/>
        <w:rPr>
          <w:rFonts w:cs="Times New Roman"/>
          <w:lang w:val="zh-CN"/>
        </w:rPr>
      </w:pPr>
      <w:r>
        <w:rPr>
          <w:rFonts w:cs="Times New Roman"/>
          <w:lang w:val="zh-CN"/>
        </w:rPr>
        <w:t>本项目造粒生产线、滴灌带、水带生产线物料平衡见</w:t>
      </w:r>
      <w:r>
        <w:rPr>
          <w:rFonts w:hint="eastAsia" w:cs="Times New Roman"/>
        </w:rPr>
        <w:t>表3.2-2</w:t>
      </w:r>
      <w:r>
        <w:rPr>
          <w:rFonts w:cs="Times New Roman"/>
          <w:lang w:val="zh-CN"/>
        </w:rPr>
        <w:t>及</w:t>
      </w:r>
      <w:r>
        <w:rPr>
          <w:rFonts w:hint="eastAsia" w:cs="Times New Roman"/>
          <w:lang w:val="zh-CN"/>
        </w:rPr>
        <w:t>图3.2-3</w:t>
      </w:r>
      <w:r>
        <w:rPr>
          <w:rFonts w:cs="Times New Roman"/>
          <w:lang w:val="zh-CN"/>
        </w:rPr>
        <w:t>。</w:t>
      </w:r>
    </w:p>
    <w:p>
      <w:pPr>
        <w:pStyle w:val="36"/>
        <w:spacing w:before="156"/>
        <w:rPr>
          <w:rFonts w:eastAsia="宋体"/>
        </w:rPr>
      </w:pPr>
      <w:bookmarkStart w:id="58" w:name="_Ref111406575"/>
      <w:r>
        <w:rPr>
          <w:rFonts w:eastAsia="宋体"/>
        </w:rPr>
        <w:t>表</w:t>
      </w:r>
      <w:r>
        <w:rPr>
          <w:rFonts w:hint="eastAsia" w:eastAsia="宋体"/>
        </w:rPr>
        <w:t>3.2-2</w:t>
      </w:r>
      <w:bookmarkEnd w:id="58"/>
      <w:r>
        <w:rPr>
          <w:rFonts w:eastAsia="宋体"/>
        </w:rPr>
        <w:t xml:space="preserve">  物料平衡表</w:t>
      </w:r>
    </w:p>
    <w:tbl>
      <w:tblPr>
        <w:tblStyle w:val="21"/>
        <w:tblW w:w="852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1888"/>
        <w:gridCol w:w="2366"/>
        <w:gridCol w:w="18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64" w:type="dxa"/>
            <w:gridSpan w:val="2"/>
            <w:tcBorders>
              <w:tl2br w:val="nil"/>
              <w:tr2bl w:val="nil"/>
            </w:tcBorders>
            <w:vAlign w:val="center"/>
          </w:tcPr>
          <w:p>
            <w:pPr>
              <w:jc w:val="center"/>
              <w:rPr>
                <w:rFonts w:ascii="Times New Roman" w:hAnsi="Times New Roman"/>
                <w:b/>
              </w:rPr>
            </w:pPr>
            <w:r>
              <w:rPr>
                <w:rFonts w:ascii="Times New Roman" w:hAnsi="Times New Roman"/>
                <w:b/>
              </w:rPr>
              <w:t>投入</w:t>
            </w:r>
          </w:p>
        </w:tc>
        <w:tc>
          <w:tcPr>
            <w:tcW w:w="4265" w:type="dxa"/>
            <w:gridSpan w:val="2"/>
            <w:tcBorders>
              <w:tl2br w:val="nil"/>
              <w:tr2bl w:val="nil"/>
            </w:tcBorders>
            <w:vAlign w:val="center"/>
          </w:tcPr>
          <w:p>
            <w:pPr>
              <w:jc w:val="center"/>
              <w:rPr>
                <w:rFonts w:ascii="Times New Roman" w:hAnsi="Times New Roman"/>
                <w:b/>
              </w:rPr>
            </w:pPr>
            <w:r>
              <w:rPr>
                <w:rFonts w:ascii="Times New Roman" w:hAnsi="Times New Roman"/>
                <w:b/>
              </w:rPr>
              <w:t>产出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76" w:type="dxa"/>
            <w:tcBorders>
              <w:tl2br w:val="nil"/>
              <w:tr2bl w:val="nil"/>
            </w:tcBorders>
            <w:vAlign w:val="center"/>
          </w:tcPr>
          <w:p>
            <w:pPr>
              <w:jc w:val="center"/>
              <w:rPr>
                <w:rFonts w:ascii="Times New Roman" w:hAnsi="Times New Roman"/>
                <w:b/>
              </w:rPr>
            </w:pPr>
            <w:r>
              <w:rPr>
                <w:rFonts w:ascii="Times New Roman" w:hAnsi="Times New Roman"/>
                <w:b/>
              </w:rPr>
              <w:t>名称</w:t>
            </w:r>
          </w:p>
        </w:tc>
        <w:tc>
          <w:tcPr>
            <w:tcW w:w="1888" w:type="dxa"/>
            <w:tcBorders>
              <w:tl2br w:val="nil"/>
              <w:tr2bl w:val="nil"/>
            </w:tcBorders>
            <w:vAlign w:val="center"/>
          </w:tcPr>
          <w:p>
            <w:pPr>
              <w:jc w:val="center"/>
              <w:rPr>
                <w:rFonts w:ascii="Times New Roman" w:hAnsi="Times New Roman"/>
                <w:b/>
              </w:rPr>
            </w:pPr>
            <w:r>
              <w:rPr>
                <w:rFonts w:ascii="Times New Roman" w:hAnsi="Times New Roman"/>
                <w:b/>
              </w:rPr>
              <w:t>数量（t/a）</w:t>
            </w:r>
          </w:p>
        </w:tc>
        <w:tc>
          <w:tcPr>
            <w:tcW w:w="2366" w:type="dxa"/>
            <w:tcBorders>
              <w:tl2br w:val="nil"/>
              <w:tr2bl w:val="nil"/>
            </w:tcBorders>
            <w:vAlign w:val="center"/>
          </w:tcPr>
          <w:p>
            <w:pPr>
              <w:jc w:val="center"/>
              <w:rPr>
                <w:rFonts w:ascii="Times New Roman" w:hAnsi="Times New Roman"/>
                <w:b/>
              </w:rPr>
            </w:pPr>
            <w:r>
              <w:rPr>
                <w:rFonts w:ascii="Times New Roman" w:hAnsi="Times New Roman"/>
                <w:b/>
              </w:rPr>
              <w:t>名称</w:t>
            </w:r>
          </w:p>
        </w:tc>
        <w:tc>
          <w:tcPr>
            <w:tcW w:w="1899" w:type="dxa"/>
            <w:tcBorders>
              <w:tl2br w:val="nil"/>
              <w:tr2bl w:val="nil"/>
            </w:tcBorders>
            <w:vAlign w:val="center"/>
          </w:tcPr>
          <w:p>
            <w:pPr>
              <w:jc w:val="center"/>
              <w:rPr>
                <w:rFonts w:ascii="Times New Roman" w:hAnsi="Times New Roman"/>
                <w:b/>
              </w:rPr>
            </w:pPr>
            <w:r>
              <w:rPr>
                <w:rFonts w:ascii="Times New Roman" w:hAnsi="Times New Roman"/>
                <w:b/>
              </w:rPr>
              <w:t>数量（t/a）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9" w:type="dxa"/>
            <w:gridSpan w:val="4"/>
            <w:tcBorders>
              <w:tl2br w:val="nil"/>
              <w:tr2bl w:val="nil"/>
            </w:tcBorders>
            <w:vAlign w:val="center"/>
          </w:tcPr>
          <w:p>
            <w:pPr>
              <w:jc w:val="center"/>
              <w:rPr>
                <w:rFonts w:ascii="Times New Roman" w:hAnsi="Times New Roman"/>
                <w:b/>
              </w:rPr>
            </w:pPr>
            <w:r>
              <w:rPr>
                <w:rFonts w:ascii="Times New Roman" w:hAnsi="Times New Roman"/>
                <w:b/>
              </w:rPr>
              <w:t>造粒生产线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jc w:val="center"/>
              <w:rPr>
                <w:rFonts w:ascii="Times New Roman" w:hAnsi="Times New Roman"/>
              </w:rPr>
            </w:pPr>
            <w:r>
              <w:rPr>
                <w:rFonts w:ascii="Times New Roman" w:hAnsi="Times New Roman"/>
              </w:rPr>
              <w:t>废旧塑料</w:t>
            </w:r>
          </w:p>
        </w:tc>
        <w:tc>
          <w:tcPr>
            <w:tcW w:w="1888" w:type="dxa"/>
            <w:tcBorders>
              <w:tl2br w:val="nil"/>
              <w:tr2bl w:val="nil"/>
            </w:tcBorders>
            <w:vAlign w:val="center"/>
          </w:tcPr>
          <w:p>
            <w:pPr>
              <w:jc w:val="center"/>
              <w:rPr>
                <w:rFonts w:ascii="Times New Roman" w:hAnsi="Times New Roman"/>
              </w:rPr>
            </w:pPr>
            <w:r>
              <w:rPr>
                <w:rFonts w:hint="eastAsia" w:ascii="Times New Roman" w:hAnsi="Times New Roman"/>
              </w:rPr>
              <w:t>5000</w:t>
            </w:r>
          </w:p>
        </w:tc>
        <w:tc>
          <w:tcPr>
            <w:tcW w:w="2366" w:type="dxa"/>
            <w:tcBorders>
              <w:tl2br w:val="nil"/>
              <w:tr2bl w:val="nil"/>
            </w:tcBorders>
            <w:vAlign w:val="center"/>
          </w:tcPr>
          <w:p>
            <w:pPr>
              <w:jc w:val="center"/>
              <w:rPr>
                <w:rFonts w:ascii="Times New Roman" w:hAnsi="Times New Roman"/>
              </w:rPr>
            </w:pPr>
            <w:r>
              <w:rPr>
                <w:rFonts w:ascii="Times New Roman" w:hAnsi="Times New Roman"/>
              </w:rPr>
              <w:t>聚乙烯再生颗粒</w:t>
            </w:r>
          </w:p>
        </w:tc>
        <w:tc>
          <w:tcPr>
            <w:tcW w:w="1899" w:type="dxa"/>
            <w:tcBorders>
              <w:tl2br w:val="nil"/>
              <w:tr2bl w:val="nil"/>
            </w:tcBorders>
            <w:vAlign w:val="center"/>
          </w:tcPr>
          <w:p>
            <w:pPr>
              <w:jc w:val="center"/>
              <w:rPr>
                <w:rFonts w:ascii="Times New Roman" w:hAnsi="Times New Roman"/>
              </w:rPr>
            </w:pPr>
            <w:r>
              <w:rPr>
                <w:rFonts w:ascii="Times New Roman" w:hAnsi="Times New Roman"/>
              </w:rPr>
              <w:t>4993.25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jc w:val="center"/>
              <w:rPr>
                <w:rFonts w:ascii="Times New Roman" w:hAnsi="Times New Roman"/>
              </w:rPr>
            </w:pPr>
            <w:r>
              <w:rPr>
                <w:rFonts w:ascii="Times New Roman" w:hAnsi="Times New Roman"/>
              </w:rPr>
              <w:t>不合格产品</w:t>
            </w:r>
          </w:p>
        </w:tc>
        <w:tc>
          <w:tcPr>
            <w:tcW w:w="1888" w:type="dxa"/>
            <w:tcBorders>
              <w:tl2br w:val="nil"/>
              <w:tr2bl w:val="nil"/>
            </w:tcBorders>
            <w:vAlign w:val="center"/>
          </w:tcPr>
          <w:p>
            <w:pPr>
              <w:jc w:val="center"/>
              <w:rPr>
                <w:rFonts w:ascii="Times New Roman" w:hAnsi="Times New Roman"/>
              </w:rPr>
            </w:pPr>
            <w:r>
              <w:rPr>
                <w:rFonts w:ascii="Times New Roman" w:hAnsi="Times New Roman"/>
              </w:rPr>
              <w:t>5.25</w:t>
            </w:r>
          </w:p>
        </w:tc>
        <w:tc>
          <w:tcPr>
            <w:tcW w:w="2366" w:type="dxa"/>
            <w:tcBorders>
              <w:tl2br w:val="nil"/>
              <w:tr2bl w:val="nil"/>
            </w:tcBorders>
            <w:vAlign w:val="center"/>
          </w:tcPr>
          <w:p>
            <w:pPr>
              <w:jc w:val="center"/>
              <w:rPr>
                <w:rFonts w:ascii="Times New Roman" w:hAnsi="Times New Roman"/>
              </w:rPr>
            </w:pPr>
            <w:r>
              <w:rPr>
                <w:rFonts w:ascii="Times New Roman" w:hAnsi="Times New Roman"/>
              </w:rPr>
              <w:t>沉淀池污泥</w:t>
            </w:r>
          </w:p>
        </w:tc>
        <w:tc>
          <w:tcPr>
            <w:tcW w:w="1899" w:type="dxa"/>
            <w:tcBorders>
              <w:tl2br w:val="nil"/>
              <w:tr2bl w:val="nil"/>
            </w:tcBorders>
            <w:vAlign w:val="center"/>
          </w:tcPr>
          <w:p>
            <w:pPr>
              <w:jc w:val="center"/>
              <w:rPr>
                <w:rFonts w:ascii="Times New Roman" w:hAnsi="Times New Roman"/>
              </w:rPr>
            </w:pPr>
            <w:r>
              <w:rPr>
                <w:rFonts w:hint="eastAsia" w:ascii="Times New Roman" w:hAnsi="Times New Roman"/>
              </w:rPr>
              <w:t>10.25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jc w:val="center"/>
              <w:rPr>
                <w:rFonts w:ascii="Times New Roman" w:hAnsi="Times New Roman"/>
              </w:rPr>
            </w:pPr>
            <w:r>
              <w:rPr>
                <w:rFonts w:ascii="Times New Roman" w:hAnsi="Times New Roman"/>
              </w:rPr>
              <w:t>/</w:t>
            </w:r>
          </w:p>
        </w:tc>
        <w:tc>
          <w:tcPr>
            <w:tcW w:w="1888" w:type="dxa"/>
            <w:tcBorders>
              <w:tl2br w:val="nil"/>
              <w:tr2bl w:val="nil"/>
            </w:tcBorders>
            <w:vAlign w:val="center"/>
          </w:tcPr>
          <w:p>
            <w:pPr>
              <w:jc w:val="center"/>
              <w:rPr>
                <w:rFonts w:ascii="Times New Roman" w:hAnsi="Times New Roman"/>
              </w:rPr>
            </w:pPr>
            <w:r>
              <w:rPr>
                <w:rFonts w:ascii="Times New Roman" w:hAnsi="Times New Roman"/>
              </w:rPr>
              <w:t>/</w:t>
            </w:r>
          </w:p>
        </w:tc>
        <w:tc>
          <w:tcPr>
            <w:tcW w:w="2366" w:type="dxa"/>
            <w:tcBorders>
              <w:tl2br w:val="nil"/>
              <w:tr2bl w:val="nil"/>
            </w:tcBorders>
            <w:vAlign w:val="center"/>
          </w:tcPr>
          <w:p>
            <w:pPr>
              <w:jc w:val="center"/>
              <w:rPr>
                <w:rFonts w:ascii="Times New Roman" w:hAnsi="Times New Roman"/>
              </w:rPr>
            </w:pPr>
            <w:r>
              <w:rPr>
                <w:rFonts w:ascii="Times New Roman" w:hAnsi="Times New Roman"/>
              </w:rPr>
              <w:t>非甲烷总烃</w:t>
            </w:r>
          </w:p>
        </w:tc>
        <w:tc>
          <w:tcPr>
            <w:tcW w:w="1899" w:type="dxa"/>
            <w:tcBorders>
              <w:tl2br w:val="nil"/>
              <w:tr2bl w:val="nil"/>
            </w:tcBorders>
            <w:vAlign w:val="center"/>
          </w:tcPr>
          <w:p>
            <w:pPr>
              <w:jc w:val="center"/>
              <w:rPr>
                <w:rFonts w:ascii="Times New Roman" w:hAnsi="Times New Roman"/>
              </w:rPr>
            </w:pPr>
            <w:r>
              <w:rPr>
                <w:rFonts w:ascii="Times New Roman" w:hAnsi="Times New Roman"/>
              </w:rPr>
              <w:t>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jc w:val="center"/>
              <w:rPr>
                <w:rFonts w:ascii="Times New Roman" w:hAnsi="Times New Roman"/>
              </w:rPr>
            </w:pPr>
            <w:r>
              <w:rPr>
                <w:rFonts w:ascii="Times New Roman" w:hAnsi="Times New Roman"/>
              </w:rPr>
              <w:t>合计</w:t>
            </w:r>
          </w:p>
        </w:tc>
        <w:tc>
          <w:tcPr>
            <w:tcW w:w="1888" w:type="dxa"/>
            <w:tcBorders>
              <w:tl2br w:val="nil"/>
              <w:tr2bl w:val="nil"/>
            </w:tcBorders>
            <w:vAlign w:val="center"/>
          </w:tcPr>
          <w:p>
            <w:pPr>
              <w:jc w:val="center"/>
              <w:rPr>
                <w:rFonts w:ascii="Times New Roman" w:hAnsi="Times New Roman"/>
              </w:rPr>
            </w:pPr>
            <w:r>
              <w:rPr>
                <w:rFonts w:hint="eastAsia" w:ascii="Times New Roman" w:hAnsi="Times New Roman"/>
              </w:rPr>
              <w:t>5005.25</w:t>
            </w:r>
          </w:p>
        </w:tc>
        <w:tc>
          <w:tcPr>
            <w:tcW w:w="2366" w:type="dxa"/>
            <w:tcBorders>
              <w:tl2br w:val="nil"/>
              <w:tr2bl w:val="nil"/>
            </w:tcBorders>
            <w:vAlign w:val="center"/>
          </w:tcPr>
          <w:p>
            <w:pPr>
              <w:jc w:val="center"/>
              <w:rPr>
                <w:rFonts w:ascii="Times New Roman" w:hAnsi="Times New Roman"/>
              </w:rPr>
            </w:pPr>
            <w:r>
              <w:rPr>
                <w:rFonts w:ascii="Times New Roman" w:hAnsi="Times New Roman"/>
              </w:rPr>
              <w:t>合计</w:t>
            </w:r>
          </w:p>
        </w:tc>
        <w:tc>
          <w:tcPr>
            <w:tcW w:w="1899" w:type="dxa"/>
            <w:tcBorders>
              <w:tl2br w:val="nil"/>
              <w:tr2bl w:val="nil"/>
            </w:tcBorders>
            <w:vAlign w:val="center"/>
          </w:tcPr>
          <w:p>
            <w:pPr>
              <w:jc w:val="center"/>
              <w:rPr>
                <w:rFonts w:ascii="Times New Roman" w:hAnsi="Times New Roman"/>
              </w:rPr>
            </w:pPr>
            <w:r>
              <w:rPr>
                <w:rFonts w:hint="eastAsia" w:ascii="Times New Roman" w:hAnsi="Times New Roman"/>
              </w:rPr>
              <w:t>5005.25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9" w:type="dxa"/>
            <w:gridSpan w:val="4"/>
            <w:tcBorders>
              <w:tl2br w:val="nil"/>
              <w:tr2bl w:val="nil"/>
            </w:tcBorders>
            <w:vAlign w:val="center"/>
          </w:tcPr>
          <w:p>
            <w:pPr>
              <w:jc w:val="center"/>
              <w:rPr>
                <w:rFonts w:ascii="Times New Roman" w:hAnsi="Times New Roman"/>
                <w:b/>
              </w:rPr>
            </w:pPr>
            <w:r>
              <w:rPr>
                <w:rFonts w:ascii="Times New Roman" w:hAnsi="Times New Roman"/>
                <w:b/>
              </w:rPr>
              <w:t>滴灌带、水带生产线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jc w:val="center"/>
              <w:rPr>
                <w:rFonts w:ascii="Times New Roman" w:hAnsi="Times New Roman"/>
              </w:rPr>
            </w:pPr>
            <w:r>
              <w:rPr>
                <w:rFonts w:ascii="Times New Roman" w:hAnsi="Times New Roman"/>
              </w:rPr>
              <w:t>聚乙烯再生颗粒</w:t>
            </w:r>
          </w:p>
        </w:tc>
        <w:tc>
          <w:tcPr>
            <w:tcW w:w="1888" w:type="dxa"/>
            <w:tcBorders>
              <w:tl2br w:val="nil"/>
              <w:tr2bl w:val="nil"/>
            </w:tcBorders>
            <w:vAlign w:val="center"/>
          </w:tcPr>
          <w:p>
            <w:pPr>
              <w:jc w:val="center"/>
              <w:rPr>
                <w:rFonts w:ascii="Times New Roman" w:hAnsi="Times New Roman"/>
              </w:rPr>
            </w:pPr>
            <w:r>
              <w:rPr>
                <w:rFonts w:ascii="Times New Roman" w:hAnsi="Times New Roman"/>
              </w:rPr>
              <w:t>4993.25</w:t>
            </w:r>
          </w:p>
        </w:tc>
        <w:tc>
          <w:tcPr>
            <w:tcW w:w="2366" w:type="dxa"/>
            <w:tcBorders>
              <w:tl2br w:val="nil"/>
              <w:tr2bl w:val="nil"/>
            </w:tcBorders>
            <w:vAlign w:val="center"/>
          </w:tcPr>
          <w:p>
            <w:pPr>
              <w:jc w:val="center"/>
              <w:rPr>
                <w:rFonts w:ascii="Times New Roman" w:hAnsi="Times New Roman"/>
              </w:rPr>
            </w:pPr>
            <w:r>
              <w:rPr>
                <w:rFonts w:ascii="Times New Roman" w:hAnsi="Times New Roman"/>
              </w:rPr>
              <w:t>滴灌带</w:t>
            </w:r>
          </w:p>
        </w:tc>
        <w:tc>
          <w:tcPr>
            <w:tcW w:w="1899" w:type="dxa"/>
            <w:tcBorders>
              <w:tl2br w:val="nil"/>
              <w:tr2bl w:val="nil"/>
            </w:tcBorders>
            <w:vAlign w:val="center"/>
          </w:tcPr>
          <w:p>
            <w:pPr>
              <w:jc w:val="center"/>
              <w:rPr>
                <w:rFonts w:ascii="Times New Roman" w:hAnsi="Times New Roman"/>
              </w:rPr>
            </w:pPr>
            <w:r>
              <w:rPr>
                <w:rFonts w:ascii="Times New Roman" w:hAnsi="Times New Roman"/>
              </w:rPr>
              <w:t>3000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jc w:val="center"/>
              <w:rPr>
                <w:rFonts w:ascii="Times New Roman" w:hAnsi="Times New Roman"/>
              </w:rPr>
            </w:pPr>
            <w:r>
              <w:rPr>
                <w:rFonts w:ascii="Times New Roman" w:hAnsi="Times New Roman"/>
              </w:rPr>
              <w:t>聚乙烯颗粒新品</w:t>
            </w:r>
          </w:p>
        </w:tc>
        <w:tc>
          <w:tcPr>
            <w:tcW w:w="1888" w:type="dxa"/>
            <w:tcBorders>
              <w:tl2br w:val="nil"/>
              <w:tr2bl w:val="nil"/>
            </w:tcBorders>
            <w:vAlign w:val="center"/>
          </w:tcPr>
          <w:p>
            <w:pPr>
              <w:jc w:val="center"/>
              <w:rPr>
                <w:rFonts w:ascii="Times New Roman" w:hAnsi="Times New Roman"/>
              </w:rPr>
            </w:pPr>
            <w:r>
              <w:rPr>
                <w:rFonts w:hint="eastAsia" w:ascii="Times New Roman" w:hAnsi="Times New Roman"/>
              </w:rPr>
              <w:t>12.5</w:t>
            </w:r>
          </w:p>
        </w:tc>
        <w:tc>
          <w:tcPr>
            <w:tcW w:w="2366" w:type="dxa"/>
            <w:tcBorders>
              <w:tl2br w:val="nil"/>
              <w:tr2bl w:val="nil"/>
            </w:tcBorders>
            <w:vAlign w:val="center"/>
          </w:tcPr>
          <w:p>
            <w:pPr>
              <w:jc w:val="center"/>
              <w:rPr>
                <w:rFonts w:ascii="Times New Roman" w:hAnsi="Times New Roman"/>
              </w:rPr>
            </w:pPr>
            <w:r>
              <w:rPr>
                <w:rFonts w:ascii="Times New Roman" w:hAnsi="Times New Roman"/>
              </w:rPr>
              <w:t>水带</w:t>
            </w:r>
          </w:p>
        </w:tc>
        <w:tc>
          <w:tcPr>
            <w:tcW w:w="1899" w:type="dxa"/>
            <w:tcBorders>
              <w:tl2br w:val="nil"/>
              <w:tr2bl w:val="nil"/>
            </w:tcBorders>
            <w:vAlign w:val="center"/>
          </w:tcPr>
          <w:p>
            <w:pPr>
              <w:jc w:val="center"/>
              <w:rPr>
                <w:rFonts w:ascii="Times New Roman" w:hAnsi="Times New Roman"/>
              </w:rPr>
            </w:pPr>
            <w:r>
              <w:rPr>
                <w:rFonts w:ascii="Times New Roman" w:hAnsi="Times New Roman"/>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tabs>
                <w:tab w:val="left" w:pos="1680"/>
              </w:tabs>
              <w:ind w:right="210"/>
              <w:jc w:val="center"/>
              <w:rPr>
                <w:rFonts w:ascii="Times New Roman" w:hAnsi="Times New Roman"/>
              </w:rPr>
            </w:pPr>
            <w:r>
              <w:rPr>
                <w:rFonts w:ascii="Times New Roman" w:hAnsi="Times New Roman"/>
              </w:rPr>
              <w:t>抗老化剂</w:t>
            </w:r>
          </w:p>
        </w:tc>
        <w:tc>
          <w:tcPr>
            <w:tcW w:w="1888" w:type="dxa"/>
            <w:tcBorders>
              <w:tl2br w:val="nil"/>
              <w:tr2bl w:val="nil"/>
            </w:tcBorders>
            <w:vAlign w:val="center"/>
          </w:tcPr>
          <w:p>
            <w:pPr>
              <w:jc w:val="center"/>
              <w:rPr>
                <w:rFonts w:ascii="Times New Roman" w:hAnsi="Times New Roman"/>
              </w:rPr>
            </w:pPr>
            <w:r>
              <w:rPr>
                <w:rFonts w:ascii="Times New Roman" w:hAnsi="Times New Roman"/>
              </w:rPr>
              <w:t>5</w:t>
            </w:r>
          </w:p>
        </w:tc>
        <w:tc>
          <w:tcPr>
            <w:tcW w:w="2366" w:type="dxa"/>
            <w:tcBorders>
              <w:tl2br w:val="nil"/>
              <w:tr2bl w:val="nil"/>
            </w:tcBorders>
            <w:vAlign w:val="center"/>
          </w:tcPr>
          <w:p>
            <w:pPr>
              <w:jc w:val="center"/>
              <w:rPr>
                <w:rFonts w:ascii="Times New Roman" w:hAnsi="Times New Roman"/>
              </w:rPr>
            </w:pPr>
            <w:r>
              <w:rPr>
                <w:rFonts w:ascii="Times New Roman" w:hAnsi="Times New Roman"/>
              </w:rPr>
              <w:t>非甲烷总烃</w:t>
            </w:r>
          </w:p>
        </w:tc>
        <w:tc>
          <w:tcPr>
            <w:tcW w:w="1899" w:type="dxa"/>
            <w:tcBorders>
              <w:tl2br w:val="nil"/>
              <w:tr2bl w:val="nil"/>
            </w:tcBorders>
            <w:vAlign w:val="center"/>
          </w:tcPr>
          <w:p>
            <w:pPr>
              <w:jc w:val="center"/>
              <w:rPr>
                <w:rFonts w:ascii="Times New Roman" w:hAnsi="Times New Roman"/>
              </w:rPr>
            </w:pPr>
            <w:r>
              <w:rPr>
                <w:rFonts w:hint="eastAsia" w:ascii="Times New Roman" w:hAnsi="Times New Roman"/>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tabs>
                <w:tab w:val="left" w:pos="1680"/>
              </w:tabs>
              <w:ind w:right="210"/>
              <w:jc w:val="center"/>
              <w:rPr>
                <w:rFonts w:ascii="Times New Roman" w:hAnsi="Times New Roman"/>
              </w:rPr>
            </w:pPr>
            <w:r>
              <w:rPr>
                <w:rFonts w:hint="eastAsia" w:ascii="Times New Roman" w:hAnsi="Times New Roman"/>
              </w:rPr>
              <w:t>黑色</w:t>
            </w:r>
            <w:r>
              <w:rPr>
                <w:rFonts w:ascii="Times New Roman" w:hAnsi="Times New Roman"/>
              </w:rPr>
              <w:t>母料</w:t>
            </w:r>
          </w:p>
        </w:tc>
        <w:tc>
          <w:tcPr>
            <w:tcW w:w="1888" w:type="dxa"/>
            <w:tcBorders>
              <w:tl2br w:val="nil"/>
              <w:tr2bl w:val="nil"/>
            </w:tcBorders>
            <w:vAlign w:val="center"/>
          </w:tcPr>
          <w:p>
            <w:pPr>
              <w:jc w:val="center"/>
              <w:rPr>
                <w:rFonts w:ascii="Times New Roman" w:hAnsi="Times New Roman"/>
              </w:rPr>
            </w:pPr>
            <w:r>
              <w:rPr>
                <w:rFonts w:ascii="Times New Roman" w:hAnsi="Times New Roman"/>
              </w:rPr>
              <w:t>2</w:t>
            </w:r>
          </w:p>
        </w:tc>
        <w:tc>
          <w:tcPr>
            <w:tcW w:w="2366" w:type="dxa"/>
            <w:tcBorders>
              <w:tl2br w:val="nil"/>
              <w:tr2bl w:val="nil"/>
            </w:tcBorders>
            <w:vAlign w:val="center"/>
          </w:tcPr>
          <w:p>
            <w:pPr>
              <w:jc w:val="center"/>
              <w:rPr>
                <w:rFonts w:ascii="Times New Roman" w:hAnsi="Times New Roman"/>
              </w:rPr>
            </w:pPr>
            <w:r>
              <w:rPr>
                <w:rFonts w:ascii="Times New Roman" w:hAnsi="Times New Roman"/>
              </w:rPr>
              <w:t>不合格产品</w:t>
            </w:r>
          </w:p>
        </w:tc>
        <w:tc>
          <w:tcPr>
            <w:tcW w:w="1899" w:type="dxa"/>
            <w:tcBorders>
              <w:tl2br w:val="nil"/>
              <w:tr2bl w:val="nil"/>
            </w:tcBorders>
            <w:vAlign w:val="center"/>
          </w:tcPr>
          <w:p>
            <w:pPr>
              <w:jc w:val="center"/>
              <w:rPr>
                <w:rFonts w:ascii="Times New Roman" w:hAnsi="Times New Roman"/>
              </w:rPr>
            </w:pPr>
            <w:r>
              <w:rPr>
                <w:rFonts w:ascii="Times New Roman" w:hAnsi="Times New Roman"/>
              </w:rPr>
              <w:t>5.25（回用）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6" w:type="dxa"/>
            <w:tcBorders>
              <w:tl2br w:val="nil"/>
              <w:tr2bl w:val="nil"/>
            </w:tcBorders>
            <w:vAlign w:val="center"/>
          </w:tcPr>
          <w:p>
            <w:pPr>
              <w:tabs>
                <w:tab w:val="left" w:pos="1680"/>
              </w:tabs>
              <w:ind w:right="210"/>
              <w:jc w:val="center"/>
              <w:rPr>
                <w:rFonts w:ascii="Times New Roman" w:hAnsi="Times New Roman"/>
              </w:rPr>
            </w:pPr>
            <w:r>
              <w:rPr>
                <w:rFonts w:ascii="Times New Roman" w:hAnsi="Times New Roman"/>
              </w:rPr>
              <w:t>合计</w:t>
            </w:r>
          </w:p>
        </w:tc>
        <w:tc>
          <w:tcPr>
            <w:tcW w:w="1888" w:type="dxa"/>
            <w:tcBorders>
              <w:tl2br w:val="nil"/>
              <w:tr2bl w:val="nil"/>
            </w:tcBorders>
            <w:vAlign w:val="center"/>
          </w:tcPr>
          <w:p>
            <w:pPr>
              <w:jc w:val="center"/>
              <w:rPr>
                <w:rFonts w:ascii="Times New Roman" w:hAnsi="Times New Roman"/>
              </w:rPr>
            </w:pPr>
            <w:r>
              <w:rPr>
                <w:rFonts w:hint="eastAsia" w:ascii="Times New Roman" w:hAnsi="Times New Roman"/>
              </w:rPr>
              <w:t>5012.75</w:t>
            </w:r>
          </w:p>
        </w:tc>
        <w:tc>
          <w:tcPr>
            <w:tcW w:w="2366" w:type="dxa"/>
            <w:tcBorders>
              <w:tl2br w:val="nil"/>
              <w:tr2bl w:val="nil"/>
            </w:tcBorders>
            <w:vAlign w:val="center"/>
          </w:tcPr>
          <w:p>
            <w:pPr>
              <w:jc w:val="center"/>
              <w:rPr>
                <w:rFonts w:ascii="Times New Roman" w:hAnsi="Times New Roman"/>
              </w:rPr>
            </w:pPr>
            <w:r>
              <w:rPr>
                <w:rFonts w:ascii="Times New Roman" w:hAnsi="Times New Roman"/>
              </w:rPr>
              <w:t>合计</w:t>
            </w:r>
          </w:p>
        </w:tc>
        <w:tc>
          <w:tcPr>
            <w:tcW w:w="1899" w:type="dxa"/>
            <w:tcBorders>
              <w:tl2br w:val="nil"/>
              <w:tr2bl w:val="nil"/>
            </w:tcBorders>
            <w:vAlign w:val="center"/>
          </w:tcPr>
          <w:p>
            <w:pPr>
              <w:jc w:val="center"/>
              <w:rPr>
                <w:rFonts w:ascii="Times New Roman" w:hAnsi="Times New Roman"/>
              </w:rPr>
            </w:pPr>
            <w:r>
              <w:rPr>
                <w:rFonts w:hint="eastAsia" w:ascii="Times New Roman" w:hAnsi="Times New Roman"/>
              </w:rPr>
              <w:t>5012.75</w:t>
            </w:r>
          </w:p>
        </w:tc>
      </w:tr>
    </w:tbl>
    <w:p>
      <w:pPr>
        <w:pStyle w:val="34"/>
      </w:pPr>
      <w:r>
        <w:object>
          <v:shape id="_x0000_i1032" o:spt="75" type="#_x0000_t75" style="height:394.7pt;width:308.95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p>
    <w:p>
      <w:pPr>
        <w:pStyle w:val="38"/>
        <w:spacing w:before="156" w:after="156"/>
        <w:rPr>
          <w:rFonts w:eastAsia="宋体"/>
        </w:rPr>
      </w:pPr>
      <w:bookmarkStart w:id="59" w:name="_Ref111406585"/>
      <w:r>
        <w:rPr>
          <w:rFonts w:eastAsia="宋体"/>
        </w:rPr>
        <w:t>图</w:t>
      </w:r>
      <w:bookmarkEnd w:id="59"/>
      <w:r>
        <w:rPr>
          <w:rFonts w:hint="eastAsia" w:eastAsia="宋体"/>
        </w:rPr>
        <w:t>3.2-3</w:t>
      </w:r>
      <w:r>
        <w:rPr>
          <w:rFonts w:eastAsia="宋体"/>
        </w:rPr>
        <w:t xml:space="preserve">  物料平衡图</w:t>
      </w:r>
    </w:p>
    <w:p>
      <w:pPr>
        <w:pStyle w:val="6"/>
      </w:pPr>
      <w:r>
        <w:t>水平衡</w:t>
      </w:r>
    </w:p>
    <w:p>
      <w:pPr>
        <w:widowControl/>
        <w:adjustRightInd w:val="0"/>
        <w:snapToGrid w:val="0"/>
        <w:spacing w:line="360" w:lineRule="auto"/>
        <w:ind w:firstLine="480" w:firstLineChars="200"/>
        <w:rPr>
          <w:rFonts w:ascii="Times New Roman" w:hAnsi="Times New Roman"/>
          <w:kern w:val="21"/>
          <w:sz w:val="24"/>
          <w:szCs w:val="24"/>
        </w:rPr>
      </w:pPr>
      <w:r>
        <w:rPr>
          <w:rFonts w:ascii="Times New Roman" w:hAnsi="Times New Roman"/>
          <w:kern w:val="21"/>
          <w:sz w:val="24"/>
          <w:szCs w:val="24"/>
        </w:rPr>
        <w:t>全厂用、排水水平衡情况见表3.2-3。</w:t>
      </w:r>
    </w:p>
    <w:p>
      <w:pPr>
        <w:pStyle w:val="36"/>
        <w:spacing w:before="156"/>
        <w:rPr>
          <w:rFonts w:eastAsia="宋体"/>
        </w:rPr>
      </w:pPr>
      <w:r>
        <w:rPr>
          <w:rFonts w:eastAsia="宋体"/>
        </w:rPr>
        <w:t>表3.2-3</w:t>
      </w:r>
      <w:r>
        <w:rPr>
          <w:rFonts w:hint="eastAsia" w:eastAsia="宋体"/>
        </w:rPr>
        <w:t xml:space="preserve">  </w:t>
      </w:r>
      <w:r>
        <w:rPr>
          <w:rFonts w:eastAsia="宋体"/>
        </w:rPr>
        <w:t>项目用、排水水平衡一览表    单位：m</w:t>
      </w:r>
      <w:r>
        <w:rPr>
          <w:rFonts w:eastAsia="宋体"/>
          <w:vertAlign w:val="superscript"/>
        </w:rPr>
        <w:t>3</w:t>
      </w:r>
      <w:r>
        <w:rPr>
          <w:rFonts w:eastAsia="宋体"/>
        </w:rPr>
        <w:t>/d</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6"/>
        <w:gridCol w:w="2145"/>
        <w:gridCol w:w="929"/>
        <w:gridCol w:w="1120"/>
        <w:gridCol w:w="1236"/>
        <w:gridCol w:w="1219"/>
        <w:gridCol w:w="122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85" w:type="pct"/>
            <w:tcBorders>
              <w:tl2br w:val="nil"/>
              <w:tr2bl w:val="nil"/>
            </w:tcBorders>
            <w:vAlign w:val="center"/>
          </w:tcPr>
          <w:p>
            <w:pPr>
              <w:widowControl/>
              <w:adjustRightInd w:val="0"/>
              <w:snapToGrid w:val="0"/>
              <w:jc w:val="center"/>
              <w:rPr>
                <w:rFonts w:ascii="Times New Roman" w:hAnsi="Times New Roman"/>
                <w:b/>
                <w:kern w:val="21"/>
              </w:rPr>
            </w:pPr>
            <w:r>
              <w:rPr>
                <w:rFonts w:ascii="Times New Roman" w:hAnsi="Times New Roman"/>
                <w:b/>
                <w:kern w:val="21"/>
              </w:rPr>
              <w:t>序号</w:t>
            </w:r>
          </w:p>
        </w:tc>
        <w:tc>
          <w:tcPr>
            <w:tcW w:w="1258" w:type="pct"/>
            <w:tcBorders>
              <w:tl2br w:val="nil"/>
              <w:tr2bl w:val="nil"/>
            </w:tcBorders>
            <w:vAlign w:val="center"/>
          </w:tcPr>
          <w:p>
            <w:pPr>
              <w:widowControl/>
              <w:adjustRightInd w:val="0"/>
              <w:snapToGrid w:val="0"/>
              <w:jc w:val="center"/>
              <w:rPr>
                <w:rFonts w:ascii="Times New Roman" w:hAnsi="Times New Roman"/>
                <w:b/>
                <w:kern w:val="21"/>
              </w:rPr>
            </w:pPr>
            <w:r>
              <w:rPr>
                <w:rFonts w:ascii="Times New Roman" w:hAnsi="Times New Roman"/>
                <w:b/>
                <w:kern w:val="21"/>
              </w:rPr>
              <w:t>排水单元</w:t>
            </w:r>
          </w:p>
        </w:tc>
        <w:tc>
          <w:tcPr>
            <w:tcW w:w="545" w:type="pct"/>
            <w:tcBorders>
              <w:tl2br w:val="nil"/>
              <w:tr2bl w:val="nil"/>
            </w:tcBorders>
            <w:vAlign w:val="center"/>
          </w:tcPr>
          <w:p>
            <w:pPr>
              <w:widowControl/>
              <w:adjustRightInd w:val="0"/>
              <w:snapToGrid w:val="0"/>
              <w:jc w:val="center"/>
              <w:rPr>
                <w:rFonts w:ascii="Times New Roman" w:hAnsi="Times New Roman"/>
                <w:b/>
                <w:kern w:val="21"/>
              </w:rPr>
            </w:pPr>
            <w:r>
              <w:rPr>
                <w:rFonts w:ascii="Times New Roman" w:hAnsi="Times New Roman"/>
                <w:b/>
                <w:kern w:val="21"/>
              </w:rPr>
              <w:t>用水量</w:t>
            </w:r>
          </w:p>
        </w:tc>
        <w:tc>
          <w:tcPr>
            <w:tcW w:w="657" w:type="pct"/>
            <w:tcBorders>
              <w:tl2br w:val="nil"/>
              <w:tr2bl w:val="nil"/>
            </w:tcBorders>
            <w:vAlign w:val="center"/>
          </w:tcPr>
          <w:p>
            <w:pPr>
              <w:widowControl/>
              <w:adjustRightInd w:val="0"/>
              <w:snapToGrid w:val="0"/>
              <w:jc w:val="center"/>
              <w:rPr>
                <w:rFonts w:ascii="Times New Roman" w:hAnsi="Times New Roman"/>
                <w:b/>
                <w:kern w:val="21"/>
              </w:rPr>
            </w:pPr>
            <w:r>
              <w:rPr>
                <w:rFonts w:ascii="Times New Roman" w:hAnsi="Times New Roman"/>
                <w:b/>
                <w:kern w:val="21"/>
              </w:rPr>
              <w:t>新鲜水量</w:t>
            </w:r>
          </w:p>
        </w:tc>
        <w:tc>
          <w:tcPr>
            <w:tcW w:w="725" w:type="pct"/>
            <w:tcBorders>
              <w:tl2br w:val="nil"/>
              <w:tr2bl w:val="nil"/>
            </w:tcBorders>
            <w:vAlign w:val="center"/>
          </w:tcPr>
          <w:p>
            <w:pPr>
              <w:widowControl/>
              <w:adjustRightInd w:val="0"/>
              <w:snapToGrid w:val="0"/>
              <w:jc w:val="center"/>
              <w:rPr>
                <w:rFonts w:ascii="Times New Roman" w:hAnsi="Times New Roman"/>
                <w:b/>
                <w:kern w:val="21"/>
              </w:rPr>
            </w:pPr>
            <w:r>
              <w:rPr>
                <w:rFonts w:ascii="Times New Roman" w:hAnsi="Times New Roman"/>
                <w:b/>
                <w:kern w:val="21"/>
              </w:rPr>
              <w:t>损耗量</w:t>
            </w:r>
          </w:p>
        </w:tc>
        <w:tc>
          <w:tcPr>
            <w:tcW w:w="715" w:type="pct"/>
            <w:tcBorders>
              <w:tl2br w:val="nil"/>
              <w:tr2bl w:val="nil"/>
            </w:tcBorders>
            <w:vAlign w:val="center"/>
          </w:tcPr>
          <w:p>
            <w:pPr>
              <w:widowControl/>
              <w:adjustRightInd w:val="0"/>
              <w:snapToGrid w:val="0"/>
              <w:jc w:val="center"/>
              <w:rPr>
                <w:rFonts w:ascii="Times New Roman" w:hAnsi="Times New Roman"/>
                <w:b/>
                <w:kern w:val="21"/>
              </w:rPr>
            </w:pPr>
            <w:r>
              <w:rPr>
                <w:rFonts w:ascii="Times New Roman" w:hAnsi="Times New Roman"/>
                <w:b/>
                <w:kern w:val="21"/>
              </w:rPr>
              <w:t>回用量</w:t>
            </w:r>
          </w:p>
        </w:tc>
        <w:tc>
          <w:tcPr>
            <w:tcW w:w="715" w:type="pct"/>
            <w:tcBorders>
              <w:tl2br w:val="nil"/>
              <w:tr2bl w:val="nil"/>
            </w:tcBorders>
            <w:vAlign w:val="center"/>
          </w:tcPr>
          <w:p>
            <w:pPr>
              <w:widowControl/>
              <w:adjustRightInd w:val="0"/>
              <w:snapToGrid w:val="0"/>
              <w:jc w:val="center"/>
              <w:rPr>
                <w:rFonts w:ascii="Times New Roman" w:hAnsi="Times New Roman"/>
                <w:b/>
                <w:kern w:val="21"/>
              </w:rPr>
            </w:pPr>
            <w:r>
              <w:rPr>
                <w:rFonts w:ascii="Times New Roman" w:hAnsi="Times New Roman"/>
                <w:b/>
                <w:kern w:val="21"/>
              </w:rPr>
              <w:t>排放量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85" w:type="pct"/>
            <w:tcBorders>
              <w:tl2br w:val="nil"/>
              <w:tr2bl w:val="nil"/>
            </w:tcBorders>
            <w:vAlign w:val="center"/>
          </w:tcPr>
          <w:p>
            <w:pPr>
              <w:widowControl/>
              <w:adjustRightInd w:val="0"/>
              <w:snapToGrid w:val="0"/>
              <w:jc w:val="center"/>
              <w:rPr>
                <w:rFonts w:ascii="Times New Roman" w:hAnsi="Times New Roman"/>
                <w:kern w:val="21"/>
              </w:rPr>
            </w:pPr>
            <w:r>
              <w:rPr>
                <w:rFonts w:ascii="Times New Roman" w:hAnsi="Times New Roman"/>
                <w:kern w:val="21"/>
              </w:rPr>
              <w:t>1</w:t>
            </w:r>
          </w:p>
        </w:tc>
        <w:tc>
          <w:tcPr>
            <w:tcW w:w="1258" w:type="pct"/>
            <w:tcBorders>
              <w:tl2br w:val="nil"/>
              <w:tr2bl w:val="nil"/>
            </w:tcBorders>
            <w:vAlign w:val="center"/>
          </w:tcPr>
          <w:p>
            <w:pPr>
              <w:overflowPunct w:val="0"/>
              <w:adjustRightInd w:val="0"/>
              <w:snapToGrid w:val="0"/>
              <w:jc w:val="center"/>
              <w:rPr>
                <w:rFonts w:ascii="Times New Roman" w:hAnsi="Times New Roman"/>
                <w:kern w:val="21"/>
              </w:rPr>
            </w:pPr>
            <w:r>
              <w:rPr>
                <w:rFonts w:hint="eastAsia" w:ascii="Times New Roman" w:hAnsi="Times New Roman"/>
                <w:kern w:val="21"/>
              </w:rPr>
              <w:t>湿法破碎+清洗用水</w:t>
            </w:r>
          </w:p>
        </w:tc>
        <w:tc>
          <w:tcPr>
            <w:tcW w:w="54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30.9</w:t>
            </w:r>
          </w:p>
        </w:tc>
        <w:tc>
          <w:tcPr>
            <w:tcW w:w="657"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3.1</w:t>
            </w:r>
          </w:p>
        </w:tc>
        <w:tc>
          <w:tcPr>
            <w:tcW w:w="72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10%</w:t>
            </w:r>
          </w:p>
        </w:tc>
        <w:tc>
          <w:tcPr>
            <w:tcW w:w="71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27.8</w:t>
            </w:r>
          </w:p>
        </w:tc>
        <w:tc>
          <w:tcPr>
            <w:tcW w:w="715" w:type="pct"/>
            <w:tcBorders>
              <w:tl2br w:val="nil"/>
              <w:tr2bl w:val="nil"/>
            </w:tcBorders>
            <w:vAlign w:val="center"/>
          </w:tcPr>
          <w:p>
            <w:pPr>
              <w:widowControl/>
              <w:adjustRightInd w:val="0"/>
              <w:snapToGrid w:val="0"/>
              <w:jc w:val="center"/>
              <w:rPr>
                <w:rFonts w:ascii="Times New Roman" w:hAnsi="Times New Roman"/>
                <w:kern w:val="21"/>
              </w:rPr>
            </w:pPr>
            <w:r>
              <w:rPr>
                <w:rFonts w:ascii="Times New Roman" w:hAnsi="Times New Roman"/>
                <w:kern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85" w:type="pct"/>
            <w:tcBorders>
              <w:tl2br w:val="nil"/>
              <w:tr2bl w:val="nil"/>
            </w:tcBorders>
            <w:vAlign w:val="center"/>
          </w:tcPr>
          <w:p>
            <w:pPr>
              <w:widowControl/>
              <w:adjustRightInd w:val="0"/>
              <w:snapToGrid w:val="0"/>
              <w:jc w:val="center"/>
              <w:rPr>
                <w:rFonts w:ascii="Times New Roman" w:hAnsi="Times New Roman"/>
                <w:kern w:val="21"/>
              </w:rPr>
            </w:pPr>
            <w:r>
              <w:rPr>
                <w:rFonts w:ascii="Times New Roman" w:hAnsi="Times New Roman"/>
                <w:kern w:val="21"/>
              </w:rPr>
              <w:t>2</w:t>
            </w:r>
          </w:p>
        </w:tc>
        <w:tc>
          <w:tcPr>
            <w:tcW w:w="1258" w:type="pct"/>
            <w:tcBorders>
              <w:tl2br w:val="nil"/>
              <w:tr2bl w:val="nil"/>
            </w:tcBorders>
            <w:vAlign w:val="center"/>
          </w:tcPr>
          <w:p>
            <w:pPr>
              <w:overflowPunct w:val="0"/>
              <w:adjustRightInd w:val="0"/>
              <w:snapToGrid w:val="0"/>
              <w:jc w:val="center"/>
              <w:rPr>
                <w:rFonts w:ascii="Times New Roman" w:hAnsi="Times New Roman"/>
                <w:kern w:val="21"/>
              </w:rPr>
            </w:pPr>
            <w:r>
              <w:rPr>
                <w:rFonts w:hint="eastAsia" w:ascii="Times New Roman" w:hAnsi="Times New Roman"/>
                <w:kern w:val="21"/>
              </w:rPr>
              <w:t>冷却用水</w:t>
            </w:r>
          </w:p>
        </w:tc>
        <w:tc>
          <w:tcPr>
            <w:tcW w:w="54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8.4</w:t>
            </w:r>
          </w:p>
        </w:tc>
        <w:tc>
          <w:tcPr>
            <w:tcW w:w="657"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0.4</w:t>
            </w:r>
          </w:p>
        </w:tc>
        <w:tc>
          <w:tcPr>
            <w:tcW w:w="72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5%</w:t>
            </w:r>
          </w:p>
        </w:tc>
        <w:tc>
          <w:tcPr>
            <w:tcW w:w="71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8</w:t>
            </w:r>
          </w:p>
        </w:tc>
        <w:tc>
          <w:tcPr>
            <w:tcW w:w="715" w:type="pct"/>
            <w:tcBorders>
              <w:tl2br w:val="nil"/>
              <w:tr2bl w:val="nil"/>
            </w:tcBorders>
            <w:vAlign w:val="center"/>
          </w:tcPr>
          <w:p>
            <w:pPr>
              <w:widowControl/>
              <w:adjustRightInd w:val="0"/>
              <w:snapToGrid w:val="0"/>
              <w:jc w:val="center"/>
              <w:rPr>
                <w:rFonts w:ascii="Times New Roman" w:hAnsi="Times New Roman"/>
                <w:kern w:val="21"/>
              </w:rPr>
            </w:pPr>
            <w:r>
              <w:rPr>
                <w:rFonts w:ascii="Times New Roman" w:hAnsi="Times New Roman"/>
                <w:kern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85" w:type="pct"/>
            <w:tcBorders>
              <w:tl2br w:val="nil"/>
              <w:tr2bl w:val="nil"/>
            </w:tcBorders>
            <w:vAlign w:val="center"/>
          </w:tcPr>
          <w:p>
            <w:pPr>
              <w:widowControl/>
              <w:adjustRightInd w:val="0"/>
              <w:snapToGrid w:val="0"/>
              <w:jc w:val="center"/>
              <w:rPr>
                <w:rFonts w:ascii="Times New Roman" w:hAnsi="Times New Roman"/>
                <w:kern w:val="21"/>
              </w:rPr>
            </w:pPr>
            <w:r>
              <w:rPr>
                <w:rFonts w:ascii="Times New Roman" w:hAnsi="Times New Roman"/>
                <w:kern w:val="21"/>
              </w:rPr>
              <w:t>3</w:t>
            </w:r>
          </w:p>
        </w:tc>
        <w:tc>
          <w:tcPr>
            <w:tcW w:w="1258" w:type="pct"/>
            <w:tcBorders>
              <w:tl2br w:val="nil"/>
              <w:tr2bl w:val="nil"/>
            </w:tcBorders>
            <w:vAlign w:val="center"/>
          </w:tcPr>
          <w:p>
            <w:pPr>
              <w:autoSpaceDE w:val="0"/>
              <w:autoSpaceDN w:val="0"/>
              <w:adjustRightInd w:val="0"/>
              <w:snapToGrid w:val="0"/>
              <w:jc w:val="center"/>
              <w:rPr>
                <w:rFonts w:ascii="Times New Roman" w:hAnsi="Times New Roman"/>
                <w:kern w:val="21"/>
              </w:rPr>
            </w:pPr>
            <w:r>
              <w:rPr>
                <w:rFonts w:hint="eastAsia" w:ascii="Times New Roman" w:hAnsi="Times New Roman"/>
                <w:kern w:val="21"/>
              </w:rPr>
              <w:t>生活</w:t>
            </w:r>
            <w:r>
              <w:rPr>
                <w:rFonts w:ascii="Times New Roman" w:hAnsi="Times New Roman"/>
                <w:kern w:val="21"/>
              </w:rPr>
              <w:t>用水</w:t>
            </w:r>
          </w:p>
        </w:tc>
        <w:tc>
          <w:tcPr>
            <w:tcW w:w="54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3</w:t>
            </w:r>
          </w:p>
        </w:tc>
        <w:tc>
          <w:tcPr>
            <w:tcW w:w="657"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3</w:t>
            </w:r>
          </w:p>
        </w:tc>
        <w:tc>
          <w:tcPr>
            <w:tcW w:w="72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20%</w:t>
            </w:r>
          </w:p>
        </w:tc>
        <w:tc>
          <w:tcPr>
            <w:tcW w:w="715"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0</w:t>
            </w:r>
          </w:p>
        </w:tc>
        <w:tc>
          <w:tcPr>
            <w:tcW w:w="715" w:type="pct"/>
            <w:tcBorders>
              <w:tl2br w:val="nil"/>
              <w:tr2bl w:val="nil"/>
            </w:tcBorders>
            <w:vAlign w:val="center"/>
          </w:tcPr>
          <w:p>
            <w:pPr>
              <w:widowControl/>
              <w:adjustRightInd w:val="0"/>
              <w:snapToGrid w:val="0"/>
              <w:jc w:val="center"/>
              <w:textAlignment w:val="center"/>
              <w:rPr>
                <w:rFonts w:ascii="Times New Roman" w:hAnsi="Times New Roman"/>
                <w:kern w:val="21"/>
              </w:rPr>
            </w:pPr>
            <w:r>
              <w:rPr>
                <w:rFonts w:ascii="Times New Roman" w:hAnsi="Times New Roman"/>
                <w:kern w:val="21"/>
              </w:rPr>
              <w:t>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85" w:type="pct"/>
            <w:tcBorders>
              <w:tl2br w:val="nil"/>
              <w:tr2bl w:val="nil"/>
            </w:tcBorders>
            <w:vAlign w:val="center"/>
          </w:tcPr>
          <w:p>
            <w:pPr>
              <w:widowControl/>
              <w:adjustRightInd w:val="0"/>
              <w:snapToGrid w:val="0"/>
              <w:jc w:val="center"/>
              <w:rPr>
                <w:rFonts w:ascii="Times New Roman" w:hAnsi="Times New Roman"/>
                <w:kern w:val="21"/>
              </w:rPr>
            </w:pPr>
            <w:r>
              <w:rPr>
                <w:rFonts w:ascii="Times New Roman" w:hAnsi="Times New Roman"/>
                <w:kern w:val="21"/>
              </w:rPr>
              <w:t>4</w:t>
            </w:r>
          </w:p>
        </w:tc>
        <w:tc>
          <w:tcPr>
            <w:tcW w:w="1258"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合计</w:t>
            </w:r>
          </w:p>
        </w:tc>
        <w:tc>
          <w:tcPr>
            <w:tcW w:w="545" w:type="pct"/>
            <w:tcBorders>
              <w:tl2br w:val="nil"/>
              <w:tr2bl w:val="nil"/>
            </w:tcBorders>
            <w:vAlign w:val="center"/>
          </w:tcPr>
          <w:p>
            <w:pPr>
              <w:overflowPunct w:val="0"/>
              <w:adjustRightInd w:val="0"/>
              <w:snapToGrid w:val="0"/>
              <w:jc w:val="center"/>
              <w:rPr>
                <w:rFonts w:ascii="Times New Roman" w:hAnsi="Times New Roman"/>
                <w:kern w:val="21"/>
              </w:rPr>
            </w:pPr>
            <w:r>
              <w:rPr>
                <w:rFonts w:hint="eastAsia" w:ascii="Times New Roman" w:hAnsi="Times New Roman"/>
                <w:kern w:val="21"/>
              </w:rPr>
              <w:t>4</w:t>
            </w:r>
            <w:r>
              <w:rPr>
                <w:rFonts w:ascii="Times New Roman" w:hAnsi="Times New Roman"/>
                <w:kern w:val="21"/>
              </w:rPr>
              <w:t>2.3</w:t>
            </w:r>
          </w:p>
        </w:tc>
        <w:tc>
          <w:tcPr>
            <w:tcW w:w="657" w:type="pct"/>
            <w:tcBorders>
              <w:tl2br w:val="nil"/>
              <w:tr2bl w:val="nil"/>
            </w:tcBorders>
            <w:vAlign w:val="center"/>
          </w:tcPr>
          <w:p>
            <w:pPr>
              <w:overflowPunct w:val="0"/>
              <w:adjustRightInd w:val="0"/>
              <w:snapToGrid w:val="0"/>
              <w:jc w:val="center"/>
              <w:rPr>
                <w:rFonts w:ascii="Times New Roman" w:hAnsi="Times New Roman"/>
                <w:kern w:val="21"/>
              </w:rPr>
            </w:pPr>
            <w:r>
              <w:rPr>
                <w:rFonts w:ascii="Times New Roman" w:hAnsi="Times New Roman"/>
                <w:kern w:val="21"/>
              </w:rPr>
              <w:t>6.5</w:t>
            </w:r>
          </w:p>
        </w:tc>
        <w:tc>
          <w:tcPr>
            <w:tcW w:w="725" w:type="pct"/>
            <w:tcBorders>
              <w:tl2br w:val="nil"/>
              <w:tr2bl w:val="nil"/>
            </w:tcBorders>
            <w:vAlign w:val="center"/>
          </w:tcPr>
          <w:p>
            <w:pPr>
              <w:overflowPunct w:val="0"/>
              <w:adjustRightInd w:val="0"/>
              <w:snapToGrid w:val="0"/>
              <w:jc w:val="center"/>
              <w:rPr>
                <w:rFonts w:ascii="Times New Roman" w:hAnsi="Times New Roman"/>
                <w:kern w:val="21"/>
              </w:rPr>
            </w:pPr>
            <w:r>
              <w:rPr>
                <w:rFonts w:hint="eastAsia" w:ascii="Times New Roman" w:hAnsi="Times New Roman"/>
                <w:kern w:val="21"/>
              </w:rPr>
              <w:t>-</w:t>
            </w:r>
          </w:p>
        </w:tc>
        <w:tc>
          <w:tcPr>
            <w:tcW w:w="715" w:type="pct"/>
            <w:tcBorders>
              <w:tl2br w:val="nil"/>
              <w:tr2bl w:val="nil"/>
            </w:tcBorders>
            <w:vAlign w:val="center"/>
          </w:tcPr>
          <w:p>
            <w:pPr>
              <w:overflowPunct w:val="0"/>
              <w:adjustRightInd w:val="0"/>
              <w:snapToGrid w:val="0"/>
              <w:jc w:val="center"/>
              <w:rPr>
                <w:rFonts w:ascii="Times New Roman" w:hAnsi="Times New Roman"/>
                <w:kern w:val="21"/>
              </w:rPr>
            </w:pPr>
            <w:r>
              <w:rPr>
                <w:rFonts w:hint="eastAsia" w:ascii="Times New Roman" w:hAnsi="Times New Roman"/>
                <w:kern w:val="21"/>
              </w:rPr>
              <w:t>3</w:t>
            </w:r>
            <w:r>
              <w:rPr>
                <w:rFonts w:ascii="Times New Roman" w:hAnsi="Times New Roman"/>
                <w:kern w:val="21"/>
              </w:rPr>
              <w:t>5.8</w:t>
            </w:r>
          </w:p>
        </w:tc>
        <w:tc>
          <w:tcPr>
            <w:tcW w:w="715" w:type="pct"/>
            <w:tcBorders>
              <w:tl2br w:val="nil"/>
              <w:tr2bl w:val="nil"/>
            </w:tcBorders>
            <w:vAlign w:val="center"/>
          </w:tcPr>
          <w:p>
            <w:pPr>
              <w:widowControl/>
              <w:adjustRightInd w:val="0"/>
              <w:snapToGrid w:val="0"/>
              <w:jc w:val="center"/>
              <w:textAlignment w:val="center"/>
              <w:rPr>
                <w:rFonts w:ascii="Times New Roman" w:hAnsi="Times New Roman"/>
                <w:kern w:val="21"/>
              </w:rPr>
            </w:pPr>
            <w:r>
              <w:rPr>
                <w:rFonts w:hint="eastAsia" w:ascii="Times New Roman" w:hAnsi="Times New Roman"/>
                <w:kern w:val="21"/>
              </w:rPr>
              <w:t>2</w:t>
            </w:r>
            <w:r>
              <w:rPr>
                <w:rFonts w:ascii="Times New Roman" w:hAnsi="Times New Roman"/>
                <w:kern w:val="21"/>
              </w:rPr>
              <w:t>.4</w:t>
            </w:r>
          </w:p>
        </w:tc>
      </w:tr>
    </w:tbl>
    <w:p>
      <w:pPr>
        <w:pStyle w:val="4"/>
        <w:spacing w:before="156" w:after="156"/>
        <w:rPr>
          <w:rFonts w:eastAsia="宋体"/>
        </w:rPr>
      </w:pPr>
      <w:bookmarkStart w:id="60" w:name="_Toc18367"/>
      <w:r>
        <w:rPr>
          <w:rFonts w:eastAsia="宋体"/>
        </w:rPr>
        <w:t>污染源源强核算</w:t>
      </w:r>
      <w:bookmarkEnd w:id="60"/>
    </w:p>
    <w:p>
      <w:pPr>
        <w:pStyle w:val="5"/>
        <w:rPr>
          <w:rFonts w:cs="Times New Roman"/>
        </w:rPr>
      </w:pPr>
      <w:r>
        <w:rPr>
          <w:rFonts w:cs="Times New Roman"/>
        </w:rPr>
        <w:t>施工期污染源强核算</w:t>
      </w:r>
    </w:p>
    <w:p>
      <w:pPr>
        <w:pStyle w:val="7"/>
        <w:ind w:firstLine="480"/>
        <w:rPr>
          <w:rFonts w:cs="Times New Roman"/>
          <w:lang w:val="zh-CN"/>
        </w:rPr>
      </w:pPr>
      <w:r>
        <w:rPr>
          <w:rFonts w:cs="Times New Roman"/>
          <w:lang w:val="zh-CN"/>
        </w:rPr>
        <w:t>项目建设施工期计划约为</w:t>
      </w:r>
      <w:r>
        <w:rPr>
          <w:rFonts w:hint="eastAsia" w:cs="Times New Roman"/>
          <w:lang w:val="zh-CN"/>
        </w:rPr>
        <w:t>6</w:t>
      </w:r>
      <w:r>
        <w:rPr>
          <w:rFonts w:cs="Times New Roman"/>
          <w:lang w:val="zh-CN"/>
        </w:rPr>
        <w:t>个月，项目施工期施工、管理人员约</w:t>
      </w:r>
      <w:r>
        <w:rPr>
          <w:rFonts w:hint="eastAsia" w:cs="Times New Roman"/>
          <w:lang w:val="zh-CN"/>
        </w:rPr>
        <w:t>20</w:t>
      </w:r>
      <w:r>
        <w:rPr>
          <w:rFonts w:cs="Times New Roman"/>
          <w:lang w:val="zh-CN"/>
        </w:rPr>
        <w:t>人，在施工场地食宿。项目在建设期间，需要消耗一定的钢材、水泥、木材、砂石、砖等建筑材料。本项目施工所需土石料，从符合相关规定的合法采石场购买，钢材、水泥、木材、建筑机械、工程设备等由汽车运输进入施工现场。各项施工活动不可避免的将会对周围的环境造成破坏和产生影响。主要包括废气和粉尘、噪声、固体废物、废水等对周围环境的影响，而且以粉尘和施工噪声尤为明显。</w:t>
      </w:r>
    </w:p>
    <w:p>
      <w:pPr>
        <w:pStyle w:val="6"/>
        <w:spacing w:after="0" w:afterLines="0"/>
        <w:ind w:left="0" w:firstLine="0"/>
      </w:pPr>
      <w:r>
        <w:t>废气</w:t>
      </w:r>
    </w:p>
    <w:p>
      <w:pPr>
        <w:pStyle w:val="7"/>
        <w:ind w:firstLine="480"/>
        <w:rPr>
          <w:rFonts w:cs="Times New Roman"/>
          <w:lang w:val="zh-CN"/>
        </w:rPr>
      </w:pPr>
      <w:r>
        <w:rPr>
          <w:rFonts w:cs="Times New Roman"/>
          <w:lang w:val="zh-CN"/>
        </w:rPr>
        <w:t>施工期的主要废气污染物是施工粉尘和运输扬尘及一些施工机械产生的燃料燃烧废气。</w:t>
      </w:r>
      <w:r>
        <w:rPr>
          <w:rFonts w:hint="eastAsia" w:cs="Times New Roman"/>
          <w:lang w:val="zh-CN"/>
        </w:rPr>
        <w:t>同时，</w:t>
      </w:r>
      <w:r>
        <w:rPr>
          <w:rFonts w:cs="Times New Roman"/>
          <w:lang w:val="zh-CN"/>
        </w:rPr>
        <w:t>在基础开挖、粉状建筑物料堆放等过程中会产生粉尘。在项目建设阶段，要进行物料运输、平整场地等，在各过程中都存在着扬尘的污染，施工现场起尘量与物料的干湿程度、文明作业程度和风力大小有关。主要影响区域为施工现场及下风向局部区域。物料运输过程，物料沿途洒落会引起二次扬尘，另外，运输车辆轮胎上的泥土带入施工现场和公路等其它区域，也会引起扬尘，污染环境。项目施工过程中用到的施工机械主要有挖掘机、推土机、装载机等，这些机械以柴油为燃料，会产生少量的废气，主要污染物是NOx、CO等。</w:t>
      </w:r>
    </w:p>
    <w:p>
      <w:pPr>
        <w:pStyle w:val="7"/>
        <w:ind w:firstLine="480"/>
        <w:rPr>
          <w:rFonts w:cs="Times New Roman"/>
          <w:lang w:val="zh-CN"/>
        </w:rPr>
      </w:pPr>
      <w:r>
        <w:rPr>
          <w:rFonts w:cs="Times New Roman"/>
          <w:lang w:val="zh-CN"/>
        </w:rPr>
        <w:t>施工时拟采用以下措施控制扬尘：</w:t>
      </w:r>
    </w:p>
    <w:p>
      <w:pPr>
        <w:pStyle w:val="7"/>
        <w:ind w:firstLine="480"/>
        <w:rPr>
          <w:rFonts w:cs="Times New Roman"/>
          <w:lang w:val="zh-CN"/>
        </w:rPr>
      </w:pPr>
      <w:r>
        <w:rPr>
          <w:rFonts w:ascii="Cambria Math" w:hAnsi="Cambria Math" w:cs="Cambria Math"/>
          <w:lang w:val="zh-CN"/>
        </w:rPr>
        <w:t>①</w:t>
      </w:r>
      <w:r>
        <w:rPr>
          <w:rFonts w:cs="Times New Roman"/>
          <w:lang w:val="zh-CN"/>
        </w:rPr>
        <w:t>对可加湿的物品、工序采用加湿作业，定期给施工道路洒水；</w:t>
      </w:r>
    </w:p>
    <w:p>
      <w:pPr>
        <w:pStyle w:val="7"/>
        <w:ind w:firstLine="480"/>
        <w:rPr>
          <w:rFonts w:cs="Times New Roman"/>
          <w:lang w:val="zh-CN"/>
        </w:rPr>
      </w:pPr>
      <w:r>
        <w:rPr>
          <w:rFonts w:ascii="Cambria Math" w:hAnsi="Cambria Math" w:cs="Cambria Math"/>
          <w:lang w:val="zh-CN"/>
        </w:rPr>
        <w:t>②</w:t>
      </w:r>
      <w:r>
        <w:rPr>
          <w:rFonts w:cs="Times New Roman"/>
          <w:lang w:val="zh-CN"/>
        </w:rPr>
        <w:t>施工现场堆土及时回填或清运、施工场地周围及时清扫；控制干散材料的堆存时间及堆存量，采取篷布遮盖减少起尘；</w:t>
      </w:r>
    </w:p>
    <w:p>
      <w:pPr>
        <w:pStyle w:val="7"/>
        <w:ind w:firstLine="480"/>
        <w:rPr>
          <w:rFonts w:cs="Times New Roman"/>
          <w:lang w:val="zh-CN"/>
        </w:rPr>
      </w:pPr>
      <w:r>
        <w:rPr>
          <w:rFonts w:ascii="Cambria Math" w:hAnsi="Cambria Math" w:cs="Cambria Math"/>
          <w:lang w:val="zh-CN"/>
        </w:rPr>
        <w:t>③</w:t>
      </w:r>
      <w:r>
        <w:rPr>
          <w:rFonts w:cs="Times New Roman"/>
          <w:lang w:val="zh-CN"/>
        </w:rPr>
        <w:t>运输砂土等干散材料的车辆使用篷布遮盖，出施工现场的车辆冲洗车轮；</w:t>
      </w:r>
    </w:p>
    <w:p>
      <w:pPr>
        <w:pStyle w:val="7"/>
        <w:ind w:firstLine="480"/>
        <w:rPr>
          <w:rFonts w:cs="Times New Roman"/>
          <w:lang w:val="zh-CN"/>
        </w:rPr>
      </w:pPr>
      <w:r>
        <w:rPr>
          <w:rFonts w:ascii="Cambria Math" w:hAnsi="Cambria Math" w:cs="Cambria Math"/>
          <w:lang w:val="zh-CN"/>
        </w:rPr>
        <w:t>④</w:t>
      </w:r>
      <w:r>
        <w:rPr>
          <w:rFonts w:cs="Times New Roman"/>
          <w:lang w:val="zh-CN"/>
        </w:rPr>
        <w:t>科学规范施工车辆行驶道路；施工时设置路障及施工安全标识。</w:t>
      </w:r>
    </w:p>
    <w:p>
      <w:pPr>
        <w:pStyle w:val="6"/>
        <w:spacing w:after="0" w:afterLines="0"/>
        <w:ind w:left="0" w:firstLine="0"/>
      </w:pPr>
      <w:r>
        <w:t>废水</w:t>
      </w:r>
    </w:p>
    <w:p>
      <w:pPr>
        <w:pStyle w:val="7"/>
        <w:ind w:firstLine="480"/>
        <w:rPr>
          <w:rFonts w:cs="Times New Roman"/>
          <w:lang w:val="zh-CN"/>
        </w:rPr>
      </w:pPr>
      <w:r>
        <w:rPr>
          <w:rFonts w:cs="Times New Roman"/>
          <w:lang w:val="zh-CN"/>
        </w:rPr>
        <w:t>施工期废水来源主要为施工人员生活污水、施工废水等。</w:t>
      </w:r>
    </w:p>
    <w:p>
      <w:pPr>
        <w:pStyle w:val="7"/>
        <w:ind w:firstLine="480"/>
        <w:rPr>
          <w:rFonts w:cs="Times New Roman"/>
          <w:lang w:val="zh-CN"/>
        </w:rPr>
      </w:pPr>
      <w:r>
        <w:rPr>
          <w:rFonts w:cs="Times New Roman"/>
          <w:lang w:val="zh-CN"/>
        </w:rPr>
        <w:t>施工废水主要来自车辆清洗、水泥混凝土工程养护，主要污染因子为SS</w:t>
      </w:r>
      <w:r>
        <w:rPr>
          <w:rFonts w:hint="eastAsia" w:cs="Times New Roman"/>
          <w:lang w:val="zh-CN"/>
        </w:rPr>
        <w:t>，</w:t>
      </w:r>
      <w:r>
        <w:rPr>
          <w:rFonts w:cs="Times New Roman"/>
          <w:lang w:val="zh-CN"/>
        </w:rPr>
        <w:t>这部分废水量不大，废水中污染物成份相对比较简单，浓度低，收集沉淀后用于施工现场和道路降尘洒水。</w:t>
      </w:r>
    </w:p>
    <w:p>
      <w:pPr>
        <w:pStyle w:val="7"/>
        <w:ind w:firstLine="480"/>
        <w:rPr>
          <w:rFonts w:cs="Times New Roman"/>
          <w:lang w:val="zh-CN"/>
        </w:rPr>
      </w:pPr>
      <w:r>
        <w:rPr>
          <w:rFonts w:cs="Times New Roman"/>
          <w:lang w:val="zh-CN"/>
        </w:rPr>
        <w:t>项目施工现场约有各类工人、管理人员</w:t>
      </w:r>
      <w:r>
        <w:rPr>
          <w:rFonts w:hint="eastAsia" w:cs="Times New Roman"/>
          <w:lang w:val="zh-CN"/>
        </w:rPr>
        <w:t>20</w:t>
      </w:r>
      <w:r>
        <w:rPr>
          <w:rFonts w:cs="Times New Roman"/>
          <w:lang w:val="zh-CN"/>
        </w:rPr>
        <w:t>人。根据建筑施工场地生活用水定额及同类项目施工人员用水量类比调查，按100L/人计算，施工人员的生活用水量为</w:t>
      </w:r>
      <w:r>
        <w:rPr>
          <w:rFonts w:hint="eastAsia" w:cs="Times New Roman"/>
          <w:lang w:val="zh-CN"/>
        </w:rPr>
        <w:t>2</w:t>
      </w:r>
      <w:r>
        <w:rPr>
          <w:rFonts w:cs="Times New Roman"/>
          <w:lang w:val="zh-CN"/>
        </w:rPr>
        <w:t>m</w:t>
      </w:r>
      <w:r>
        <w:rPr>
          <w:rFonts w:cs="Times New Roman"/>
          <w:vertAlign w:val="superscript"/>
          <w:lang w:val="zh-CN"/>
        </w:rPr>
        <w:t>3</w:t>
      </w:r>
      <w:r>
        <w:rPr>
          <w:rFonts w:cs="Times New Roman"/>
          <w:lang w:val="zh-CN"/>
        </w:rPr>
        <w:t>/d，整个施工期生活用水量约为</w:t>
      </w:r>
      <w:r>
        <w:rPr>
          <w:rFonts w:hint="eastAsia" w:cs="Times New Roman"/>
          <w:lang w:val="zh-CN"/>
        </w:rPr>
        <w:t>360m</w:t>
      </w:r>
      <w:r>
        <w:rPr>
          <w:rFonts w:cs="Times New Roman"/>
          <w:vertAlign w:val="superscript"/>
          <w:lang w:val="zh-CN"/>
        </w:rPr>
        <w:t>3</w:t>
      </w:r>
      <w:r>
        <w:rPr>
          <w:rFonts w:cs="Times New Roman"/>
          <w:lang w:val="zh-CN"/>
        </w:rPr>
        <w:t>（施工期以</w:t>
      </w:r>
      <w:r>
        <w:rPr>
          <w:rFonts w:hint="eastAsia" w:cs="Times New Roman"/>
          <w:lang w:val="zh-CN"/>
        </w:rPr>
        <w:t>180</w:t>
      </w:r>
      <w:r>
        <w:rPr>
          <w:rFonts w:cs="Times New Roman"/>
          <w:lang w:val="zh-CN"/>
        </w:rPr>
        <w:t>天计）。排水量按用水量的80%计，则施工期生活污水产生量为</w:t>
      </w:r>
      <w:r>
        <w:rPr>
          <w:rFonts w:hint="eastAsia" w:cs="Times New Roman"/>
          <w:lang w:val="zh-CN"/>
        </w:rPr>
        <w:t>1.6</w:t>
      </w:r>
      <w:r>
        <w:rPr>
          <w:rFonts w:cs="Times New Roman"/>
          <w:lang w:val="zh-CN"/>
        </w:rPr>
        <w:t>m</w:t>
      </w:r>
      <w:r>
        <w:rPr>
          <w:rFonts w:cs="Times New Roman"/>
          <w:vertAlign w:val="superscript"/>
          <w:lang w:val="zh-CN"/>
        </w:rPr>
        <w:t>3</w:t>
      </w:r>
      <w:r>
        <w:rPr>
          <w:rFonts w:cs="Times New Roman"/>
          <w:lang w:val="zh-CN"/>
        </w:rPr>
        <w:t>/d，即</w:t>
      </w:r>
      <w:r>
        <w:rPr>
          <w:rFonts w:hint="eastAsia" w:cs="Times New Roman"/>
          <w:lang w:val="zh-CN"/>
        </w:rPr>
        <w:t>288</w:t>
      </w:r>
      <w:r>
        <w:rPr>
          <w:rFonts w:cs="Times New Roman"/>
          <w:lang w:val="zh-CN"/>
        </w:rPr>
        <w:t>m</w:t>
      </w:r>
      <w:r>
        <w:rPr>
          <w:rFonts w:cs="Times New Roman"/>
          <w:vertAlign w:val="superscript"/>
          <w:lang w:val="zh-CN"/>
        </w:rPr>
        <w:t>3</w:t>
      </w:r>
      <w:r>
        <w:rPr>
          <w:rFonts w:cs="Times New Roman"/>
          <w:lang w:val="zh-CN"/>
        </w:rPr>
        <w:t>/施工期。</w:t>
      </w:r>
      <w:r>
        <w:rPr>
          <w:rFonts w:hint="eastAsia" w:cs="Times New Roman"/>
          <w:lang w:val="zh-CN"/>
        </w:rPr>
        <w:t>施工期先行建设防渗化粪池，施工生活污水暂存于防渗化粪池内，定期由环卫部门拉运处理。施工期结束后防渗化粪池不拆除，运营期继续使用</w:t>
      </w:r>
      <w:r>
        <w:rPr>
          <w:rFonts w:cs="Times New Roman"/>
          <w:lang w:val="zh-CN"/>
        </w:rPr>
        <w:t>。</w:t>
      </w:r>
    </w:p>
    <w:p>
      <w:pPr>
        <w:pStyle w:val="6"/>
        <w:spacing w:after="0" w:afterLines="0"/>
        <w:ind w:left="0" w:firstLine="0"/>
      </w:pPr>
      <w:r>
        <w:t>噪声</w:t>
      </w:r>
    </w:p>
    <w:p>
      <w:pPr>
        <w:pStyle w:val="7"/>
        <w:ind w:firstLine="480"/>
        <w:rPr>
          <w:rFonts w:cs="Times New Roman"/>
          <w:lang w:val="zh-CN"/>
        </w:rPr>
      </w:pPr>
      <w:r>
        <w:rPr>
          <w:rFonts w:cs="Times New Roman"/>
          <w:lang w:val="zh-CN"/>
        </w:rPr>
        <w:t>施工期主要噪声源为各施工机械及运输车辆，噪声值在70-120dB（A）之间。施工期不同施工环节噪声源强见</w:t>
      </w:r>
      <w:r>
        <w:rPr>
          <w:rFonts w:hint="eastAsia" w:cs="Times New Roman"/>
        </w:rPr>
        <w:t>表3.2-4</w:t>
      </w:r>
      <w:r>
        <w:rPr>
          <w:rFonts w:cs="Times New Roman"/>
          <w:lang w:val="zh-CN"/>
        </w:rPr>
        <w:t>。</w:t>
      </w:r>
    </w:p>
    <w:p>
      <w:pPr>
        <w:pStyle w:val="36"/>
        <w:spacing w:before="156"/>
        <w:rPr>
          <w:rFonts w:eastAsia="宋体"/>
        </w:rPr>
      </w:pPr>
      <w:r>
        <w:rPr>
          <w:rFonts w:eastAsia="宋体"/>
        </w:rPr>
        <w:t>表3.2-</w:t>
      </w:r>
      <w:r>
        <w:rPr>
          <w:rFonts w:hint="eastAsia" w:eastAsia="宋体"/>
        </w:rPr>
        <w:t>4</w:t>
      </w:r>
      <w:r>
        <w:rPr>
          <w:rFonts w:eastAsia="宋体"/>
        </w:rPr>
        <w:t xml:space="preserve">  施工期不同施工环节噪声源强</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449"/>
        <w:gridCol w:w="1753"/>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tcBorders>
              <w:tl2br w:val="nil"/>
              <w:tr2bl w:val="nil"/>
            </w:tcBorders>
            <w:vAlign w:val="center"/>
          </w:tcPr>
          <w:p>
            <w:pPr>
              <w:pStyle w:val="34"/>
            </w:pPr>
            <w:r>
              <w:t>施工阶段</w:t>
            </w:r>
          </w:p>
        </w:tc>
        <w:tc>
          <w:tcPr>
            <w:tcW w:w="1435" w:type="pct"/>
            <w:tcBorders>
              <w:tl2br w:val="nil"/>
              <w:tr2bl w:val="nil"/>
            </w:tcBorders>
            <w:vAlign w:val="center"/>
          </w:tcPr>
          <w:p>
            <w:pPr>
              <w:pStyle w:val="34"/>
            </w:pPr>
            <w:r>
              <w:t>主要噪声源</w:t>
            </w:r>
          </w:p>
        </w:tc>
        <w:tc>
          <w:tcPr>
            <w:tcW w:w="1027" w:type="pct"/>
            <w:tcBorders>
              <w:tl2br w:val="nil"/>
              <w:tr2bl w:val="nil"/>
            </w:tcBorders>
            <w:vAlign w:val="center"/>
          </w:tcPr>
          <w:p>
            <w:pPr>
              <w:pStyle w:val="34"/>
            </w:pPr>
            <w:r>
              <w:t>噪声级[dB（A）]</w:t>
            </w:r>
          </w:p>
        </w:tc>
        <w:tc>
          <w:tcPr>
            <w:tcW w:w="1342" w:type="pct"/>
            <w:tcBorders>
              <w:tl2br w:val="nil"/>
              <w:tr2bl w:val="nil"/>
            </w:tcBorders>
            <w:vAlign w:val="center"/>
          </w:tcPr>
          <w:p>
            <w:pPr>
              <w:pStyle w:val="34"/>
            </w:pPr>
            <w:r>
              <w:t>声源性质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restart"/>
            <w:tcBorders>
              <w:tl2br w:val="nil"/>
              <w:tr2bl w:val="nil"/>
            </w:tcBorders>
            <w:vAlign w:val="center"/>
          </w:tcPr>
          <w:p>
            <w:pPr>
              <w:pStyle w:val="34"/>
            </w:pPr>
            <w:r>
              <w:t>土方阶段</w:t>
            </w:r>
          </w:p>
        </w:tc>
        <w:tc>
          <w:tcPr>
            <w:tcW w:w="1435" w:type="pct"/>
            <w:tcBorders>
              <w:tl2br w:val="nil"/>
              <w:tr2bl w:val="nil"/>
            </w:tcBorders>
            <w:vAlign w:val="center"/>
          </w:tcPr>
          <w:p>
            <w:pPr>
              <w:pStyle w:val="34"/>
            </w:pPr>
            <w:r>
              <w:t>推土机</w:t>
            </w:r>
          </w:p>
        </w:tc>
        <w:tc>
          <w:tcPr>
            <w:tcW w:w="1027" w:type="pct"/>
            <w:tcBorders>
              <w:tl2br w:val="nil"/>
              <w:tr2bl w:val="nil"/>
            </w:tcBorders>
            <w:vAlign w:val="center"/>
          </w:tcPr>
          <w:p>
            <w:pPr>
              <w:pStyle w:val="34"/>
            </w:pPr>
            <w:r>
              <w:t>90～100</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continue"/>
            <w:tcBorders>
              <w:tl2br w:val="nil"/>
              <w:tr2bl w:val="nil"/>
            </w:tcBorders>
            <w:vAlign w:val="center"/>
          </w:tcPr>
          <w:p>
            <w:pPr>
              <w:pStyle w:val="34"/>
            </w:pPr>
          </w:p>
        </w:tc>
        <w:tc>
          <w:tcPr>
            <w:tcW w:w="1435" w:type="pct"/>
            <w:tcBorders>
              <w:tl2br w:val="nil"/>
              <w:tr2bl w:val="nil"/>
            </w:tcBorders>
            <w:vAlign w:val="center"/>
          </w:tcPr>
          <w:p>
            <w:pPr>
              <w:pStyle w:val="34"/>
            </w:pPr>
            <w:r>
              <w:t>挖掘机</w:t>
            </w:r>
          </w:p>
        </w:tc>
        <w:tc>
          <w:tcPr>
            <w:tcW w:w="1027" w:type="pct"/>
            <w:tcBorders>
              <w:tl2br w:val="nil"/>
              <w:tr2bl w:val="nil"/>
            </w:tcBorders>
            <w:vAlign w:val="center"/>
          </w:tcPr>
          <w:p>
            <w:pPr>
              <w:pStyle w:val="34"/>
            </w:pPr>
            <w:r>
              <w:t>100～120</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continue"/>
            <w:tcBorders>
              <w:tl2br w:val="nil"/>
              <w:tr2bl w:val="nil"/>
            </w:tcBorders>
            <w:vAlign w:val="center"/>
          </w:tcPr>
          <w:p>
            <w:pPr>
              <w:pStyle w:val="34"/>
            </w:pPr>
          </w:p>
        </w:tc>
        <w:tc>
          <w:tcPr>
            <w:tcW w:w="1435" w:type="pct"/>
            <w:tcBorders>
              <w:tl2br w:val="nil"/>
              <w:tr2bl w:val="nil"/>
            </w:tcBorders>
            <w:vAlign w:val="center"/>
          </w:tcPr>
          <w:p>
            <w:pPr>
              <w:pStyle w:val="34"/>
            </w:pPr>
            <w:r>
              <w:t>装载机</w:t>
            </w:r>
          </w:p>
        </w:tc>
        <w:tc>
          <w:tcPr>
            <w:tcW w:w="1027" w:type="pct"/>
            <w:tcBorders>
              <w:tl2br w:val="nil"/>
              <w:tr2bl w:val="nil"/>
            </w:tcBorders>
            <w:vAlign w:val="center"/>
          </w:tcPr>
          <w:p>
            <w:pPr>
              <w:pStyle w:val="34"/>
            </w:pPr>
            <w:r>
              <w:t>90～110</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continue"/>
            <w:tcBorders>
              <w:tl2br w:val="nil"/>
              <w:tr2bl w:val="nil"/>
            </w:tcBorders>
            <w:vAlign w:val="center"/>
          </w:tcPr>
          <w:p>
            <w:pPr>
              <w:pStyle w:val="34"/>
            </w:pPr>
          </w:p>
        </w:tc>
        <w:tc>
          <w:tcPr>
            <w:tcW w:w="1435" w:type="pct"/>
            <w:tcBorders>
              <w:tl2br w:val="nil"/>
              <w:tr2bl w:val="nil"/>
            </w:tcBorders>
            <w:vAlign w:val="center"/>
          </w:tcPr>
          <w:p>
            <w:pPr>
              <w:pStyle w:val="34"/>
            </w:pPr>
            <w:r>
              <w:t>各种车辆</w:t>
            </w:r>
          </w:p>
        </w:tc>
        <w:tc>
          <w:tcPr>
            <w:tcW w:w="1027" w:type="pct"/>
            <w:tcBorders>
              <w:tl2br w:val="nil"/>
              <w:tr2bl w:val="nil"/>
            </w:tcBorders>
            <w:vAlign w:val="center"/>
          </w:tcPr>
          <w:p>
            <w:pPr>
              <w:pStyle w:val="34"/>
            </w:pPr>
            <w:r>
              <w:t>70～95</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tcBorders>
              <w:tl2br w:val="nil"/>
              <w:tr2bl w:val="nil"/>
            </w:tcBorders>
            <w:vAlign w:val="center"/>
          </w:tcPr>
          <w:p>
            <w:pPr>
              <w:pStyle w:val="34"/>
            </w:pPr>
            <w:r>
              <w:t>基础施工阶段</w:t>
            </w:r>
          </w:p>
        </w:tc>
        <w:tc>
          <w:tcPr>
            <w:tcW w:w="1435" w:type="pct"/>
            <w:tcBorders>
              <w:tl2br w:val="nil"/>
              <w:tr2bl w:val="nil"/>
            </w:tcBorders>
            <w:vAlign w:val="center"/>
          </w:tcPr>
          <w:p>
            <w:pPr>
              <w:pStyle w:val="34"/>
            </w:pPr>
            <w:r>
              <w:t>各种打桩机</w:t>
            </w:r>
          </w:p>
        </w:tc>
        <w:tc>
          <w:tcPr>
            <w:tcW w:w="1027" w:type="pct"/>
            <w:tcBorders>
              <w:tl2br w:val="nil"/>
              <w:tr2bl w:val="nil"/>
            </w:tcBorders>
            <w:vAlign w:val="center"/>
          </w:tcPr>
          <w:p>
            <w:pPr>
              <w:pStyle w:val="34"/>
            </w:pPr>
            <w:r>
              <w:t>95～105</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restart"/>
            <w:tcBorders>
              <w:tl2br w:val="nil"/>
              <w:tr2bl w:val="nil"/>
            </w:tcBorders>
            <w:vAlign w:val="center"/>
          </w:tcPr>
          <w:p>
            <w:pPr>
              <w:pStyle w:val="34"/>
            </w:pPr>
            <w:r>
              <w:t>结构阶段</w:t>
            </w:r>
          </w:p>
        </w:tc>
        <w:tc>
          <w:tcPr>
            <w:tcW w:w="1435" w:type="pct"/>
            <w:tcBorders>
              <w:tl2br w:val="nil"/>
              <w:tr2bl w:val="nil"/>
            </w:tcBorders>
            <w:vAlign w:val="center"/>
          </w:tcPr>
          <w:p>
            <w:pPr>
              <w:pStyle w:val="34"/>
            </w:pPr>
            <w:r>
              <w:t>振捣棒</w:t>
            </w:r>
          </w:p>
        </w:tc>
        <w:tc>
          <w:tcPr>
            <w:tcW w:w="1027" w:type="pct"/>
            <w:tcBorders>
              <w:tl2br w:val="nil"/>
              <w:tr2bl w:val="nil"/>
            </w:tcBorders>
            <w:vAlign w:val="center"/>
          </w:tcPr>
          <w:p>
            <w:pPr>
              <w:pStyle w:val="34"/>
            </w:pPr>
            <w:r>
              <w:t>85～100</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continue"/>
            <w:tcBorders>
              <w:tl2br w:val="nil"/>
              <w:tr2bl w:val="nil"/>
            </w:tcBorders>
            <w:vAlign w:val="center"/>
          </w:tcPr>
          <w:p>
            <w:pPr>
              <w:pStyle w:val="34"/>
            </w:pPr>
          </w:p>
        </w:tc>
        <w:tc>
          <w:tcPr>
            <w:tcW w:w="1435" w:type="pct"/>
            <w:tcBorders>
              <w:tl2br w:val="nil"/>
              <w:tr2bl w:val="nil"/>
            </w:tcBorders>
            <w:vAlign w:val="center"/>
          </w:tcPr>
          <w:p>
            <w:pPr>
              <w:pStyle w:val="34"/>
            </w:pPr>
            <w:r>
              <w:t>电锯</w:t>
            </w:r>
          </w:p>
        </w:tc>
        <w:tc>
          <w:tcPr>
            <w:tcW w:w="1027" w:type="pct"/>
            <w:tcBorders>
              <w:tl2br w:val="nil"/>
              <w:tr2bl w:val="nil"/>
            </w:tcBorders>
            <w:vAlign w:val="center"/>
          </w:tcPr>
          <w:p>
            <w:pPr>
              <w:pStyle w:val="34"/>
            </w:pPr>
            <w:r>
              <w:t>100～110</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restart"/>
            <w:tcBorders>
              <w:tl2br w:val="nil"/>
              <w:tr2bl w:val="nil"/>
            </w:tcBorders>
            <w:vAlign w:val="center"/>
          </w:tcPr>
          <w:p>
            <w:pPr>
              <w:pStyle w:val="34"/>
            </w:pPr>
            <w:r>
              <w:t>装修阶段</w:t>
            </w:r>
          </w:p>
        </w:tc>
        <w:tc>
          <w:tcPr>
            <w:tcW w:w="1435" w:type="pct"/>
            <w:tcBorders>
              <w:tl2br w:val="nil"/>
              <w:tr2bl w:val="nil"/>
            </w:tcBorders>
            <w:vAlign w:val="center"/>
          </w:tcPr>
          <w:p>
            <w:pPr>
              <w:pStyle w:val="34"/>
            </w:pPr>
            <w:r>
              <w:t>吊车</w:t>
            </w:r>
          </w:p>
        </w:tc>
        <w:tc>
          <w:tcPr>
            <w:tcW w:w="1027" w:type="pct"/>
            <w:tcBorders>
              <w:tl2br w:val="nil"/>
              <w:tr2bl w:val="nil"/>
            </w:tcBorders>
            <w:vAlign w:val="center"/>
          </w:tcPr>
          <w:p>
            <w:pPr>
              <w:pStyle w:val="34"/>
            </w:pPr>
            <w:r>
              <w:t>90～100</w:t>
            </w:r>
          </w:p>
        </w:tc>
        <w:tc>
          <w:tcPr>
            <w:tcW w:w="1342" w:type="pct"/>
            <w:tcBorders>
              <w:tl2br w:val="nil"/>
              <w:tr2bl w:val="nil"/>
            </w:tcBorders>
            <w:vAlign w:val="center"/>
          </w:tcPr>
          <w:p>
            <w:pPr>
              <w:pStyle w:val="34"/>
            </w:pPr>
            <w:r>
              <w:t>间隙性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pct"/>
            <w:vMerge w:val="continue"/>
            <w:tcBorders>
              <w:tl2br w:val="nil"/>
              <w:tr2bl w:val="nil"/>
            </w:tcBorders>
            <w:vAlign w:val="center"/>
          </w:tcPr>
          <w:p>
            <w:pPr>
              <w:pStyle w:val="34"/>
            </w:pPr>
          </w:p>
        </w:tc>
        <w:tc>
          <w:tcPr>
            <w:tcW w:w="1435" w:type="pct"/>
            <w:tcBorders>
              <w:tl2br w:val="nil"/>
              <w:tr2bl w:val="nil"/>
            </w:tcBorders>
            <w:vAlign w:val="center"/>
          </w:tcPr>
          <w:p>
            <w:pPr>
              <w:pStyle w:val="34"/>
            </w:pPr>
            <w:r>
              <w:t>升降机</w:t>
            </w:r>
          </w:p>
        </w:tc>
        <w:tc>
          <w:tcPr>
            <w:tcW w:w="1027" w:type="pct"/>
            <w:tcBorders>
              <w:tl2br w:val="nil"/>
              <w:tr2bl w:val="nil"/>
            </w:tcBorders>
            <w:vAlign w:val="center"/>
          </w:tcPr>
          <w:p>
            <w:pPr>
              <w:pStyle w:val="34"/>
            </w:pPr>
            <w:r>
              <w:t>90～100</w:t>
            </w:r>
          </w:p>
        </w:tc>
        <w:tc>
          <w:tcPr>
            <w:tcW w:w="1342" w:type="pct"/>
            <w:tcBorders>
              <w:tl2br w:val="nil"/>
              <w:tr2bl w:val="nil"/>
            </w:tcBorders>
            <w:vAlign w:val="center"/>
          </w:tcPr>
          <w:p>
            <w:pPr>
              <w:pStyle w:val="34"/>
            </w:pPr>
            <w:r>
              <w:t>间隙性</w:t>
            </w:r>
          </w:p>
        </w:tc>
      </w:tr>
    </w:tbl>
    <w:p>
      <w:pPr>
        <w:pStyle w:val="40"/>
      </w:pPr>
      <w:r>
        <w:t>注：测点距离15m</w:t>
      </w:r>
    </w:p>
    <w:p>
      <w:pPr>
        <w:pStyle w:val="7"/>
        <w:ind w:firstLine="480"/>
        <w:rPr>
          <w:rFonts w:cs="Times New Roman"/>
          <w:lang w:val="zh-CN"/>
        </w:rPr>
      </w:pPr>
      <w:r>
        <w:rPr>
          <w:rFonts w:cs="Times New Roman"/>
          <w:lang w:val="zh-CN"/>
        </w:rPr>
        <w:t>为减小施工噪声对周围环境的影响，施工时采用低噪声机械设备，错开高噪声设备的使用时间。</w:t>
      </w:r>
    </w:p>
    <w:p>
      <w:pPr>
        <w:pStyle w:val="6"/>
        <w:spacing w:after="0" w:afterLines="0"/>
        <w:ind w:left="0" w:firstLine="0"/>
      </w:pPr>
      <w:r>
        <w:t>固体废物</w:t>
      </w:r>
    </w:p>
    <w:p>
      <w:pPr>
        <w:pStyle w:val="7"/>
        <w:ind w:firstLine="480"/>
        <w:rPr>
          <w:rFonts w:cs="Times New Roman"/>
          <w:lang w:val="zh-CN"/>
        </w:rPr>
      </w:pPr>
      <w:r>
        <w:rPr>
          <w:rFonts w:cs="Times New Roman"/>
          <w:lang w:val="zh-CN"/>
        </w:rPr>
        <w:t>施工垃圾主要来自施工产生的建筑垃圾和施工队伍产生的生活垃圾。</w:t>
      </w:r>
    </w:p>
    <w:p>
      <w:pPr>
        <w:pStyle w:val="7"/>
        <w:ind w:firstLine="480"/>
        <w:rPr>
          <w:rFonts w:cs="Times New Roman"/>
          <w:lang w:val="zh-CN"/>
        </w:rPr>
      </w:pPr>
      <w:r>
        <w:rPr>
          <w:rFonts w:cs="Times New Roman"/>
          <w:lang w:val="zh-CN"/>
        </w:rPr>
        <w:t>建筑垃圾为各类建筑材料使用时产生的废边角余料。按每建筑1万m</w:t>
      </w:r>
      <w:r>
        <w:rPr>
          <w:rFonts w:cs="Times New Roman"/>
          <w:vertAlign w:val="superscript"/>
          <w:lang w:val="zh-CN"/>
        </w:rPr>
        <w:t>2</w:t>
      </w:r>
      <w:r>
        <w:rPr>
          <w:rFonts w:cs="Times New Roman"/>
          <w:lang w:val="zh-CN"/>
        </w:rPr>
        <w:t>产生500t的建筑垃圾计算，项目建筑面积为</w:t>
      </w:r>
      <w:r>
        <w:rPr>
          <w:rFonts w:hint="eastAsia" w:cs="Times New Roman"/>
          <w:lang w:val="zh-CN"/>
        </w:rPr>
        <w:t>9000</w:t>
      </w:r>
      <w:r>
        <w:rPr>
          <w:rFonts w:cs="Times New Roman"/>
          <w:lang w:val="zh-CN"/>
        </w:rPr>
        <w:t>m</w:t>
      </w:r>
      <w:r>
        <w:rPr>
          <w:rFonts w:cs="Times New Roman"/>
          <w:vertAlign w:val="superscript"/>
          <w:lang w:val="zh-CN"/>
        </w:rPr>
        <w:t>2</w:t>
      </w:r>
      <w:r>
        <w:rPr>
          <w:rFonts w:cs="Times New Roman"/>
          <w:lang w:val="zh-CN"/>
        </w:rPr>
        <w:t>，则产生的建筑垃圾约为</w:t>
      </w:r>
      <w:r>
        <w:rPr>
          <w:rFonts w:hint="eastAsia" w:cs="Times New Roman"/>
          <w:lang w:val="zh-CN"/>
        </w:rPr>
        <w:t>450</w:t>
      </w:r>
      <w:r>
        <w:rPr>
          <w:rFonts w:cs="Times New Roman"/>
          <w:lang w:val="zh-CN"/>
        </w:rPr>
        <w:t>t，需按照园区有关规定送建筑垃圾填埋场妥善处置。</w:t>
      </w:r>
    </w:p>
    <w:p>
      <w:pPr>
        <w:pStyle w:val="7"/>
        <w:ind w:firstLine="480"/>
      </w:pPr>
      <w:r>
        <w:rPr>
          <w:rFonts w:cs="Times New Roman"/>
          <w:lang w:val="zh-CN"/>
        </w:rPr>
        <w:t>施工工期</w:t>
      </w:r>
      <w:r>
        <w:rPr>
          <w:rFonts w:hint="eastAsia" w:cs="Times New Roman"/>
          <w:lang w:val="zh-CN"/>
        </w:rPr>
        <w:t>180</w:t>
      </w:r>
      <w:r>
        <w:rPr>
          <w:rFonts w:cs="Times New Roman"/>
          <w:lang w:val="zh-CN"/>
        </w:rPr>
        <w:t>天，施工人员</w:t>
      </w:r>
      <w:r>
        <w:rPr>
          <w:rFonts w:hint="eastAsia" w:cs="Times New Roman"/>
          <w:lang w:val="zh-CN"/>
        </w:rPr>
        <w:t>20</w:t>
      </w:r>
      <w:r>
        <w:rPr>
          <w:rFonts w:cs="Times New Roman"/>
          <w:lang w:val="zh-CN"/>
        </w:rPr>
        <w:t>人，生活垃圾产生量以</w:t>
      </w:r>
      <w:r>
        <w:rPr>
          <w:rFonts w:hint="eastAsia" w:cs="Times New Roman"/>
          <w:lang w:val="zh-CN"/>
        </w:rPr>
        <w:t>1</w:t>
      </w:r>
      <w:r>
        <w:rPr>
          <w:rFonts w:cs="Times New Roman"/>
          <w:lang w:val="zh-CN"/>
        </w:rPr>
        <w:t>kg/人d计，则生活垃圾量产生量</w:t>
      </w:r>
      <w:r>
        <w:rPr>
          <w:rFonts w:hint="eastAsia" w:cs="Times New Roman"/>
          <w:lang w:val="zh-CN"/>
        </w:rPr>
        <w:t>20</w:t>
      </w:r>
      <w:r>
        <w:rPr>
          <w:rFonts w:cs="Times New Roman"/>
          <w:lang w:val="zh-CN"/>
        </w:rPr>
        <w:t>kg/d，施工期生活垃圾产生总量</w:t>
      </w:r>
      <w:r>
        <w:rPr>
          <w:rFonts w:hint="eastAsia" w:cs="Times New Roman"/>
          <w:lang w:val="zh-CN"/>
        </w:rPr>
        <w:t>3.6</w:t>
      </w:r>
      <w:r>
        <w:rPr>
          <w:rFonts w:cs="Times New Roman"/>
          <w:lang w:val="zh-CN"/>
        </w:rPr>
        <w:t>t。项目施工期生活垃圾集中存放，统一收集暂存后交由园区环卫部门清理。</w:t>
      </w:r>
    </w:p>
    <w:p>
      <w:pPr>
        <w:pStyle w:val="6"/>
        <w:spacing w:after="0" w:afterLines="0"/>
        <w:ind w:left="0" w:firstLine="0"/>
      </w:pPr>
      <w:r>
        <w:rPr>
          <w:rFonts w:hint="eastAsia"/>
        </w:rPr>
        <w:t>生态影响</w:t>
      </w:r>
    </w:p>
    <w:p>
      <w:pPr>
        <w:pStyle w:val="7"/>
        <w:ind w:firstLine="480"/>
        <w:rPr>
          <w:rFonts w:cs="Times New Roman"/>
          <w:lang w:val="zh-CN"/>
        </w:rPr>
      </w:pPr>
      <w:r>
        <w:rPr>
          <w:rFonts w:hint="eastAsia" w:cs="Times New Roman"/>
          <w:lang w:val="zh-CN"/>
        </w:rPr>
        <w:t>施工期人为活动，如：路基的铺筑、施工机械的碾压、施工人员的践踏等，将使施工作业区周围的灌木和草本植被遭受到直接的破坏作用，从而使群落的生物多样性降低。</w:t>
      </w:r>
    </w:p>
    <w:p>
      <w:pPr>
        <w:pStyle w:val="7"/>
        <w:ind w:firstLine="480"/>
        <w:rPr>
          <w:rFonts w:cs="Times New Roman"/>
          <w:lang w:val="zh-CN"/>
        </w:rPr>
      </w:pPr>
      <w:r>
        <w:rPr>
          <w:rFonts w:hint="eastAsia" w:cs="Times New Roman"/>
          <w:lang w:val="zh-CN"/>
        </w:rPr>
        <w:t>项目区域主要为农田生态系统，区域人迹活动频繁，项目区域生态系统不敏感。本项目不涉及占用基本农田保护区，目前项目区域为建设用地，在工程影响范围内，受工程影响的植物均属一般常见种，其生长范围广，适应性强，因此施工活动不会影响项目区所在区域的生态系统稳定性和完整性。</w:t>
      </w:r>
    </w:p>
    <w:p>
      <w:pPr>
        <w:pStyle w:val="6"/>
        <w:spacing w:after="0" w:afterLines="0"/>
        <w:ind w:left="0" w:firstLine="0"/>
      </w:pPr>
      <w:r>
        <w:rPr>
          <w:rFonts w:hint="eastAsia"/>
        </w:rPr>
        <w:t>水土流失影响</w:t>
      </w:r>
    </w:p>
    <w:p>
      <w:pPr>
        <w:pStyle w:val="7"/>
        <w:ind w:firstLine="480"/>
        <w:rPr>
          <w:rFonts w:cs="Times New Roman"/>
          <w:lang w:val="zh-CN"/>
        </w:rPr>
      </w:pPr>
      <w:r>
        <w:rPr>
          <w:rFonts w:hint="eastAsia" w:cs="Times New Roman"/>
          <w:lang w:val="zh-CN"/>
        </w:rPr>
        <w:t>施工期水土流失主要来源于工程建设区和弃渣流失，建设过程中将扰动当地的原生地貌，损坏土地，破坏植被，造成水土流失。建议施工期采取如下措施：对于土质较好的地段，建议采用深挖、表土回覆的方式；对于砾石土，建议将石土分离，土层覆于地表，易于植被恢复。应避开风季、暴雨季施工，减少水土流失。如此</w:t>
      </w:r>
      <w:r>
        <w:rPr>
          <w:rFonts w:cs="Times New Roman"/>
        </w:rPr>
        <w:t>能够有效减轻项目施工造成的水土流水影</w:t>
      </w:r>
      <w:r>
        <w:rPr>
          <w:rFonts w:hint="eastAsia" w:cs="Times New Roman"/>
        </w:rPr>
        <w:t>响。</w:t>
      </w:r>
    </w:p>
    <w:p>
      <w:pPr>
        <w:pStyle w:val="5"/>
        <w:rPr>
          <w:rFonts w:cs="Times New Roman"/>
        </w:rPr>
      </w:pPr>
      <w:r>
        <w:rPr>
          <w:rFonts w:cs="Times New Roman"/>
          <w:lang w:val="en-US"/>
        </w:rPr>
        <w:t>运营期污染源强核算</w:t>
      </w:r>
    </w:p>
    <w:p>
      <w:pPr>
        <w:pStyle w:val="6"/>
        <w:rPr>
          <w:lang w:val="en-US"/>
        </w:rPr>
      </w:pPr>
      <w:r>
        <w:rPr>
          <w:lang w:val="en-US"/>
        </w:rPr>
        <w:t>废气</w:t>
      </w:r>
    </w:p>
    <w:p>
      <w:pPr>
        <w:pStyle w:val="7"/>
        <w:adjustRightInd w:val="0"/>
        <w:snapToGrid w:val="0"/>
        <w:ind w:firstLine="480"/>
        <w:rPr>
          <w:rFonts w:cs="Times New Roman"/>
          <w:lang w:val="zh-CN"/>
        </w:rPr>
      </w:pPr>
      <w:r>
        <w:rPr>
          <w:rFonts w:cs="Times New Roman"/>
          <w:lang w:val="zh-CN"/>
        </w:rPr>
        <w:t>废旧塑料经过抽拉和运输，使得废滴灌带沾的泥土几乎都掉了，而附在滴灌带上的泥土量极少，且堆放过程不易扬尘，因此不考虑堆放扬尘排放及核算；且《排放源统计调查产排污核算方法和系数手册》中“附表2 工业源固体物料堆场颗粒物核算系数手册”中物料堆放也是指块状、粉状等粒径在一定范围内的物料堆放才考虑颗粒物排放，因此不考虑滴灌带堆放的扬尘。项目废旧滴灌带</w:t>
      </w:r>
      <w:r>
        <w:rPr>
          <w:rFonts w:hint="eastAsia" w:cs="Times New Roman"/>
          <w:lang w:val="zh-CN"/>
        </w:rPr>
        <w:t>及废水带</w:t>
      </w:r>
      <w:r>
        <w:rPr>
          <w:rFonts w:cs="Times New Roman"/>
          <w:lang w:val="zh-CN"/>
        </w:rPr>
        <w:t>采用湿式破碎，破碎直径约为10cm的碎片，废旧滴灌带</w:t>
      </w:r>
      <w:r>
        <w:rPr>
          <w:rFonts w:hint="eastAsia" w:cs="Times New Roman"/>
          <w:lang w:val="zh-CN"/>
        </w:rPr>
        <w:t>及废水带</w:t>
      </w:r>
      <w:r>
        <w:rPr>
          <w:rFonts w:cs="Times New Roman"/>
          <w:lang w:val="zh-CN"/>
        </w:rPr>
        <w:t>碎片直径较大，且破碎采用湿式破碎，因此破碎过程中几乎不产生粉尘。</w:t>
      </w:r>
    </w:p>
    <w:p>
      <w:pPr>
        <w:pStyle w:val="7"/>
        <w:adjustRightInd w:val="0"/>
        <w:snapToGrid w:val="0"/>
        <w:ind w:firstLine="480"/>
        <w:rPr>
          <w:rFonts w:cs="Times New Roman"/>
        </w:rPr>
      </w:pPr>
      <w:r>
        <w:rPr>
          <w:rFonts w:cs="Times New Roman"/>
        </w:rPr>
        <w:t>造粒工段再生塑料经水冷后切粒，故再生塑料颗粒表面有一定水分，在滴灌带生产工段配料工序需对物料进行预热以除去物料携带的水分。另外再生塑料颗粒粒径较大，不属于粉末状易起尘物料，因此湿的再生塑料颗粒投料、搅拌工序颗粒物产生量极少，故不进行核算。</w:t>
      </w:r>
    </w:p>
    <w:p>
      <w:pPr>
        <w:pStyle w:val="7"/>
        <w:adjustRightInd w:val="0"/>
        <w:snapToGrid w:val="0"/>
        <w:ind w:firstLine="480"/>
        <w:rPr>
          <w:rFonts w:cs="Times New Roman"/>
          <w:lang w:val="zh-CN"/>
        </w:rPr>
      </w:pPr>
      <w:r>
        <w:rPr>
          <w:rFonts w:cs="Times New Roman"/>
          <w:lang w:val="zh-CN"/>
        </w:rPr>
        <w:t>因此，项目运营期废气污染物主要为造粒工序、滴灌带</w:t>
      </w:r>
      <w:r>
        <w:rPr>
          <w:rFonts w:hint="eastAsia" w:cs="Times New Roman"/>
          <w:lang w:val="zh-CN"/>
        </w:rPr>
        <w:t>水带</w:t>
      </w:r>
      <w:r>
        <w:rPr>
          <w:rFonts w:cs="Times New Roman"/>
          <w:lang w:val="zh-CN"/>
        </w:rPr>
        <w:t>生产工序产生的挥发性有机废气，以非甲烷总烃计。</w:t>
      </w:r>
    </w:p>
    <w:p>
      <w:pPr>
        <w:pStyle w:val="7"/>
        <w:adjustRightInd w:val="0"/>
        <w:snapToGrid w:val="0"/>
        <w:ind w:firstLine="482"/>
        <w:rPr>
          <w:rFonts w:cs="Times New Roman"/>
          <w:b/>
          <w:bCs/>
          <w:lang w:val="zh-CN"/>
        </w:rPr>
      </w:pPr>
      <w:r>
        <w:rPr>
          <w:rFonts w:cs="Times New Roman"/>
          <w:b/>
          <w:bCs/>
          <w:lang w:val="zh-CN"/>
        </w:rPr>
        <w:t>（</w:t>
      </w:r>
      <w:r>
        <w:rPr>
          <w:rFonts w:cs="Times New Roman"/>
          <w:b/>
          <w:bCs/>
        </w:rPr>
        <w:t>1</w:t>
      </w:r>
      <w:r>
        <w:rPr>
          <w:rFonts w:cs="Times New Roman"/>
          <w:b/>
          <w:bCs/>
          <w:lang w:val="zh-CN"/>
        </w:rPr>
        <w:t>）有组织废气</w:t>
      </w:r>
    </w:p>
    <w:p>
      <w:pPr>
        <w:pStyle w:val="7"/>
        <w:adjustRightInd w:val="0"/>
        <w:snapToGrid w:val="0"/>
        <w:ind w:firstLine="480"/>
        <w:rPr>
          <w:rFonts w:cs="Times New Roman"/>
          <w:lang w:val="zh-CN"/>
        </w:rPr>
      </w:pPr>
      <w:r>
        <w:rPr>
          <w:rFonts w:cs="Times New Roman"/>
          <w:lang w:val="zh-CN"/>
        </w:rPr>
        <w:t>本项目废旧塑料主要成分为聚乙烯，经清洗后进入热熔挤塑工序，加热温度为</w:t>
      </w:r>
      <w:r>
        <w:rPr>
          <w:rFonts w:hint="eastAsia" w:cs="Times New Roman"/>
          <w:lang w:val="zh-CN"/>
        </w:rPr>
        <w:t>2</w:t>
      </w:r>
      <w:r>
        <w:rPr>
          <w:rFonts w:cs="Times New Roman"/>
          <w:lang w:val="zh-CN"/>
        </w:rPr>
        <w:t>00℃</w:t>
      </w:r>
      <w:r>
        <w:rPr>
          <w:rFonts w:hint="eastAsia" w:cs="Times New Roman"/>
          <w:lang w:val="zh-CN"/>
        </w:rPr>
        <w:t>左右</w:t>
      </w:r>
      <w:r>
        <w:rPr>
          <w:rFonts w:cs="Times New Roman"/>
          <w:lang w:val="zh-CN"/>
        </w:rPr>
        <w:t>，低于聚乙烯（300℃）分解温度</w:t>
      </w:r>
      <w:r>
        <w:rPr>
          <w:rFonts w:hint="eastAsia" w:cs="Times New Roman"/>
          <w:lang w:val="zh-CN"/>
        </w:rPr>
        <w:t>，</w:t>
      </w:r>
      <w:r>
        <w:rPr>
          <w:rFonts w:cs="Times New Roman"/>
          <w:lang w:val="zh-CN"/>
        </w:rPr>
        <w:t>不会导致聚乙烯塑料分解。根据原料理化性质，在高温条件下会有少量有机废气产生，项目所使用的设备均为电加热设备，聚乙烯塑料仅发生物理变化，不会使原料改性</w:t>
      </w:r>
      <w:r>
        <w:rPr>
          <w:rFonts w:hint="eastAsia" w:cs="Times New Roman"/>
          <w:lang w:val="zh-CN"/>
        </w:rPr>
        <w:t>，</w:t>
      </w:r>
      <w:r>
        <w:rPr>
          <w:rFonts w:cs="Times New Roman"/>
          <w:lang w:val="zh-CN"/>
        </w:rPr>
        <w:t>废气的主要成分为乙烯单体及其聚合物</w:t>
      </w:r>
      <w:r>
        <w:rPr>
          <w:rFonts w:hint="eastAsia" w:cs="Times New Roman"/>
          <w:lang w:val="zh-CN"/>
        </w:rPr>
        <w:t>。故</w:t>
      </w:r>
      <w:r>
        <w:rPr>
          <w:rFonts w:cs="Times New Roman"/>
          <w:lang w:val="zh-CN"/>
        </w:rPr>
        <w:t>本项目造粒工序、滴灌带</w:t>
      </w:r>
      <w:r>
        <w:rPr>
          <w:rFonts w:cs="Times New Roman"/>
        </w:rPr>
        <w:t>及水带</w:t>
      </w:r>
      <w:r>
        <w:rPr>
          <w:rFonts w:cs="Times New Roman"/>
          <w:lang w:val="zh-CN"/>
        </w:rPr>
        <w:t>生产挤出成型工序产生的有机废气</w:t>
      </w:r>
      <w:r>
        <w:rPr>
          <w:rFonts w:cs="Times New Roman"/>
        </w:rPr>
        <w:t>，</w:t>
      </w:r>
      <w:r>
        <w:rPr>
          <w:rFonts w:cs="Times New Roman"/>
          <w:lang w:val="zh-CN"/>
        </w:rPr>
        <w:t>以非甲烷总烃计。</w:t>
      </w:r>
    </w:p>
    <w:p>
      <w:pPr>
        <w:adjustRightInd w:val="0"/>
        <w:snapToGrid w:val="0"/>
        <w:spacing w:line="360" w:lineRule="auto"/>
        <w:ind w:firstLine="480" w:firstLineChars="200"/>
        <w:rPr>
          <w:rFonts w:ascii="Times New Roman" w:hAnsi="Times New Roman"/>
          <w:sz w:val="24"/>
          <w:szCs w:val="20"/>
          <w:lang w:val="zh-CN"/>
        </w:rPr>
      </w:pPr>
      <w:r>
        <w:rPr>
          <w:rFonts w:ascii="Times New Roman" w:hAnsi="Times New Roman"/>
          <w:sz w:val="24"/>
          <w:szCs w:val="20"/>
          <w:lang w:val="zh-CN"/>
        </w:rPr>
        <w:t>项目废旧滴灌带及水带造粒过程属于废旧资源综合利用，其源强参考《排放源统计调查产排污核算方法和系数手册》42废弃资源综合利用行业系数手册</w:t>
      </w:r>
      <w:r>
        <w:rPr>
          <w:rFonts w:hint="eastAsia" w:ascii="Times New Roman" w:hAnsi="Times New Roman"/>
          <w:sz w:val="24"/>
          <w:szCs w:val="20"/>
          <w:lang w:val="zh-CN"/>
        </w:rPr>
        <w:t>；</w:t>
      </w:r>
      <w:r>
        <w:rPr>
          <w:rFonts w:ascii="Times New Roman" w:hAnsi="Times New Roman"/>
          <w:sz w:val="24"/>
          <w:szCs w:val="20"/>
        </w:rPr>
        <w:t>项目</w:t>
      </w:r>
      <w:r>
        <w:rPr>
          <w:rFonts w:ascii="Times New Roman" w:hAnsi="Times New Roman"/>
          <w:sz w:val="24"/>
          <w:szCs w:val="20"/>
          <w:lang w:val="zh-CN"/>
        </w:rPr>
        <w:t>滴灌带、</w:t>
      </w:r>
      <w:r>
        <w:rPr>
          <w:rFonts w:hint="eastAsia" w:ascii="Times New Roman" w:hAnsi="Times New Roman"/>
          <w:sz w:val="24"/>
          <w:szCs w:val="20"/>
        </w:rPr>
        <w:t>水带</w:t>
      </w:r>
      <w:r>
        <w:rPr>
          <w:rFonts w:ascii="Times New Roman" w:hAnsi="Times New Roman"/>
          <w:sz w:val="24"/>
          <w:szCs w:val="20"/>
          <w:lang w:val="zh-CN"/>
        </w:rPr>
        <w:t>的生产属于塑料制品行业，其源强参考《排放源统计调查产排污核算方法和系数手册》292塑料制品行业排污系数手册。</w:t>
      </w:r>
    </w:p>
    <w:p>
      <w:pPr>
        <w:adjustRightInd w:val="0"/>
        <w:snapToGrid w:val="0"/>
        <w:spacing w:line="360" w:lineRule="auto"/>
        <w:ind w:firstLine="480" w:firstLineChars="200"/>
        <w:rPr>
          <w:rFonts w:ascii="Times New Roman" w:hAnsi="Times New Roman"/>
          <w:sz w:val="24"/>
          <w:szCs w:val="20"/>
          <w:lang w:val="zh-CN"/>
        </w:rPr>
      </w:pPr>
      <w:r>
        <w:rPr>
          <w:rFonts w:ascii="Times New Roman" w:hAnsi="Times New Roman"/>
          <w:sz w:val="24"/>
          <w:szCs w:val="20"/>
          <w:lang w:val="zh-CN"/>
        </w:rPr>
        <w:t>经查询</w:t>
      </w:r>
      <w:r>
        <w:rPr>
          <w:rFonts w:hint="eastAsia" w:ascii="Times New Roman" w:hAnsi="Times New Roman"/>
          <w:sz w:val="24"/>
          <w:szCs w:val="20"/>
          <w:lang w:val="zh-CN"/>
        </w:rPr>
        <w:t>，</w:t>
      </w:r>
      <w:r>
        <w:rPr>
          <w:rFonts w:ascii="Times New Roman" w:hAnsi="Times New Roman"/>
          <w:sz w:val="24"/>
          <w:szCs w:val="20"/>
          <w:lang w:val="zh-CN"/>
        </w:rPr>
        <w:t>结果如下：</w:t>
      </w:r>
    </w:p>
    <w:p>
      <w:pPr>
        <w:pStyle w:val="36"/>
        <w:spacing w:before="156"/>
        <w:rPr>
          <w:rFonts w:eastAsia="宋体"/>
        </w:rPr>
      </w:pPr>
      <w:r>
        <w:rPr>
          <w:rFonts w:eastAsia="宋体"/>
        </w:rPr>
        <w:t>表</w:t>
      </w:r>
      <w:r>
        <w:rPr>
          <w:rFonts w:hint="eastAsia" w:eastAsia="宋体"/>
        </w:rPr>
        <w:t>3.3-1</w:t>
      </w:r>
      <w:r>
        <w:rPr>
          <w:rFonts w:eastAsia="宋体"/>
        </w:rPr>
        <w:t xml:space="preserve">  项目废气源强核算依据</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297"/>
        <w:gridCol w:w="1118"/>
        <w:gridCol w:w="695"/>
        <w:gridCol w:w="1038"/>
        <w:gridCol w:w="1377"/>
        <w:gridCol w:w="18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1" w:type="pct"/>
            <w:tcBorders>
              <w:tl2br w:val="nil"/>
              <w:tr2bl w:val="nil"/>
            </w:tcBorders>
            <w:vAlign w:val="center"/>
          </w:tcPr>
          <w:p>
            <w:pPr>
              <w:adjustRightInd w:val="0"/>
              <w:snapToGrid w:val="0"/>
              <w:jc w:val="center"/>
              <w:rPr>
                <w:rFonts w:ascii="Times New Roman" w:hAnsi="Times New Roman"/>
              </w:rPr>
            </w:pPr>
            <w:r>
              <w:rPr>
                <w:rFonts w:hint="eastAsia" w:ascii="Times New Roman" w:hAnsi="Times New Roman"/>
              </w:rPr>
              <w:t>原料/</w:t>
            </w:r>
            <w:r>
              <w:rPr>
                <w:rFonts w:ascii="Times New Roman" w:hAnsi="Times New Roman"/>
              </w:rPr>
              <w:t>产品名称</w:t>
            </w:r>
          </w:p>
        </w:tc>
        <w:tc>
          <w:tcPr>
            <w:tcW w:w="760"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污染物</w:t>
            </w:r>
          </w:p>
        </w:tc>
        <w:tc>
          <w:tcPr>
            <w:tcW w:w="655"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系数单位</w:t>
            </w:r>
          </w:p>
        </w:tc>
        <w:tc>
          <w:tcPr>
            <w:tcW w:w="407"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产污系数</w:t>
            </w:r>
          </w:p>
        </w:tc>
        <w:tc>
          <w:tcPr>
            <w:tcW w:w="608"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末端治理技术</w:t>
            </w:r>
          </w:p>
        </w:tc>
        <w:tc>
          <w:tcPr>
            <w:tcW w:w="807"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处理效率</w:t>
            </w:r>
          </w:p>
        </w:tc>
        <w:tc>
          <w:tcPr>
            <w:tcW w:w="1069"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源强系数出处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691"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废PE/PP</w:t>
            </w:r>
          </w:p>
        </w:tc>
        <w:tc>
          <w:tcPr>
            <w:tcW w:w="760"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非甲烷总烃</w:t>
            </w:r>
          </w:p>
        </w:tc>
        <w:tc>
          <w:tcPr>
            <w:tcW w:w="655" w:type="pct"/>
            <w:tcBorders>
              <w:tl2br w:val="nil"/>
              <w:tr2bl w:val="nil"/>
            </w:tcBorders>
            <w:vAlign w:val="center"/>
          </w:tcPr>
          <w:p>
            <w:pPr>
              <w:adjustRightInd w:val="0"/>
              <w:snapToGrid w:val="0"/>
              <w:jc w:val="center"/>
              <w:rPr>
                <w:rFonts w:ascii="Times New Roman" w:hAnsi="Times New Roman"/>
              </w:rPr>
            </w:pPr>
            <w:r>
              <w:rPr>
                <w:rFonts w:hint="eastAsia" w:ascii="Times New Roman" w:hAnsi="Times New Roman"/>
              </w:rPr>
              <w:t>k</w:t>
            </w:r>
            <w:r>
              <w:rPr>
                <w:rFonts w:ascii="Times New Roman" w:hAnsi="Times New Roman"/>
              </w:rPr>
              <w:t>g/t</w:t>
            </w:r>
            <w:r>
              <w:rPr>
                <w:rFonts w:hint="eastAsia" w:ascii="Times New Roman" w:hAnsi="Times New Roman"/>
              </w:rPr>
              <w:t>-</w:t>
            </w:r>
            <w:r>
              <w:rPr>
                <w:rFonts w:ascii="Times New Roman" w:hAnsi="Times New Roman"/>
              </w:rPr>
              <w:t>原料</w:t>
            </w:r>
          </w:p>
        </w:tc>
        <w:tc>
          <w:tcPr>
            <w:tcW w:w="407" w:type="pct"/>
            <w:tcBorders>
              <w:tl2br w:val="nil"/>
              <w:tr2bl w:val="nil"/>
            </w:tcBorders>
            <w:vAlign w:val="center"/>
          </w:tcPr>
          <w:p>
            <w:pPr>
              <w:adjustRightInd w:val="0"/>
              <w:snapToGrid w:val="0"/>
              <w:jc w:val="center"/>
              <w:rPr>
                <w:rFonts w:ascii="Times New Roman" w:hAnsi="Times New Roman"/>
              </w:rPr>
            </w:pPr>
            <w:r>
              <w:rPr>
                <w:rFonts w:hint="eastAsia" w:ascii="Times New Roman" w:hAnsi="Times New Roman"/>
              </w:rPr>
              <w:t>0.35</w:t>
            </w:r>
          </w:p>
        </w:tc>
        <w:tc>
          <w:tcPr>
            <w:tcW w:w="608" w:type="pct"/>
            <w:vMerge w:val="restart"/>
            <w:tcBorders>
              <w:tl2br w:val="nil"/>
              <w:tr2bl w:val="nil"/>
            </w:tcBorders>
            <w:vAlign w:val="center"/>
          </w:tcPr>
          <w:p>
            <w:pPr>
              <w:adjustRightInd w:val="0"/>
              <w:snapToGrid w:val="0"/>
              <w:jc w:val="center"/>
              <w:rPr>
                <w:rFonts w:ascii="Times New Roman" w:hAnsi="Times New Roman"/>
              </w:rPr>
            </w:pPr>
            <w:r>
              <w:rPr>
                <w:rFonts w:ascii="Times New Roman" w:hAnsi="Times New Roman"/>
              </w:rPr>
              <w:t>光氧化+活性炭吸附</w:t>
            </w:r>
          </w:p>
        </w:tc>
        <w:tc>
          <w:tcPr>
            <w:tcW w:w="807" w:type="pct"/>
            <w:vMerge w:val="restart"/>
            <w:tcBorders>
              <w:tl2br w:val="nil"/>
              <w:tr2bl w:val="nil"/>
            </w:tcBorders>
            <w:vAlign w:val="center"/>
          </w:tcPr>
          <w:p>
            <w:pPr>
              <w:adjustRightInd w:val="0"/>
              <w:snapToGrid w:val="0"/>
              <w:jc w:val="center"/>
              <w:rPr>
                <w:rFonts w:ascii="Times New Roman" w:hAnsi="Times New Roman"/>
              </w:rPr>
            </w:pPr>
            <w:r>
              <w:rPr>
                <w:rFonts w:ascii="Times New Roman" w:hAnsi="Times New Roman"/>
              </w:rPr>
              <w:t>光氧化</w:t>
            </w:r>
          </w:p>
          <w:p>
            <w:pPr>
              <w:adjustRightInd w:val="0"/>
              <w:snapToGrid w:val="0"/>
              <w:jc w:val="center"/>
              <w:rPr>
                <w:rFonts w:ascii="Times New Roman" w:hAnsi="Times New Roman"/>
              </w:rPr>
            </w:pPr>
            <w:r>
              <w:rPr>
                <w:rFonts w:ascii="Times New Roman" w:hAnsi="Times New Roman"/>
              </w:rPr>
              <w:t>（10%）</w:t>
            </w:r>
          </w:p>
          <w:p>
            <w:pPr>
              <w:adjustRightInd w:val="0"/>
              <w:snapToGrid w:val="0"/>
              <w:jc w:val="center"/>
              <w:rPr>
                <w:rFonts w:ascii="Times New Roman" w:hAnsi="Times New Roman"/>
              </w:rPr>
            </w:pPr>
            <w:r>
              <w:rPr>
                <w:rFonts w:ascii="Times New Roman" w:hAnsi="Times New Roman"/>
              </w:rPr>
              <w:t>活性炭吸附（30%）</w:t>
            </w:r>
          </w:p>
          <w:p>
            <w:pPr>
              <w:adjustRightInd w:val="0"/>
              <w:snapToGrid w:val="0"/>
              <w:jc w:val="center"/>
              <w:rPr>
                <w:rFonts w:ascii="Times New Roman" w:hAnsi="Times New Roman"/>
              </w:rPr>
            </w:pPr>
            <w:r>
              <w:rPr>
                <w:rFonts w:ascii="Times New Roman" w:hAnsi="Times New Roman"/>
              </w:rPr>
              <w:t>综合（37%）</w:t>
            </w:r>
          </w:p>
        </w:tc>
        <w:tc>
          <w:tcPr>
            <w:tcW w:w="1069"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4220非金属废料和碎屑加工处理行业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1"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滴灌带</w:t>
            </w:r>
            <w:r>
              <w:rPr>
                <w:rFonts w:hint="eastAsia" w:ascii="Times New Roman" w:hAnsi="Times New Roman"/>
              </w:rPr>
              <w:t>、</w:t>
            </w:r>
          </w:p>
          <w:p>
            <w:pPr>
              <w:adjustRightInd w:val="0"/>
              <w:snapToGrid w:val="0"/>
              <w:jc w:val="center"/>
              <w:rPr>
                <w:rFonts w:ascii="Times New Roman" w:hAnsi="Times New Roman"/>
              </w:rPr>
            </w:pPr>
            <w:r>
              <w:rPr>
                <w:rFonts w:hint="eastAsia" w:ascii="Times New Roman" w:hAnsi="Times New Roman"/>
              </w:rPr>
              <w:t>水带</w:t>
            </w:r>
          </w:p>
        </w:tc>
        <w:tc>
          <w:tcPr>
            <w:tcW w:w="760"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非甲烷总烃</w:t>
            </w:r>
          </w:p>
        </w:tc>
        <w:tc>
          <w:tcPr>
            <w:tcW w:w="655"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kg/t</w:t>
            </w:r>
            <w:r>
              <w:rPr>
                <w:rFonts w:hint="eastAsia" w:ascii="Times New Roman" w:hAnsi="Times New Roman"/>
              </w:rPr>
              <w:t>-</w:t>
            </w:r>
            <w:r>
              <w:rPr>
                <w:rFonts w:ascii="Times New Roman" w:hAnsi="Times New Roman"/>
              </w:rPr>
              <w:t>产品</w:t>
            </w:r>
          </w:p>
        </w:tc>
        <w:tc>
          <w:tcPr>
            <w:tcW w:w="407"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1.5</w:t>
            </w:r>
            <w:r>
              <w:rPr>
                <w:rFonts w:hint="eastAsia" w:ascii="Times New Roman" w:hAnsi="Times New Roman"/>
              </w:rPr>
              <w:t>0</w:t>
            </w:r>
          </w:p>
        </w:tc>
        <w:tc>
          <w:tcPr>
            <w:tcW w:w="608" w:type="pct"/>
            <w:vMerge w:val="continue"/>
            <w:tcBorders>
              <w:tl2br w:val="nil"/>
              <w:tr2bl w:val="nil"/>
            </w:tcBorders>
            <w:vAlign w:val="center"/>
          </w:tcPr>
          <w:p>
            <w:pPr>
              <w:adjustRightInd w:val="0"/>
              <w:snapToGrid w:val="0"/>
              <w:jc w:val="center"/>
              <w:rPr>
                <w:rFonts w:ascii="Times New Roman" w:hAnsi="Times New Roman"/>
              </w:rPr>
            </w:pPr>
          </w:p>
        </w:tc>
        <w:tc>
          <w:tcPr>
            <w:tcW w:w="807" w:type="pct"/>
            <w:vMerge w:val="continue"/>
            <w:tcBorders>
              <w:tl2br w:val="nil"/>
              <w:tr2bl w:val="nil"/>
            </w:tcBorders>
            <w:vAlign w:val="center"/>
          </w:tcPr>
          <w:p>
            <w:pPr>
              <w:adjustRightInd w:val="0"/>
              <w:snapToGrid w:val="0"/>
              <w:jc w:val="center"/>
              <w:rPr>
                <w:rFonts w:ascii="Times New Roman" w:hAnsi="Times New Roman"/>
              </w:rPr>
            </w:pPr>
          </w:p>
        </w:tc>
        <w:tc>
          <w:tcPr>
            <w:tcW w:w="1069"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2922塑料板、管、型材制造行业</w:t>
            </w:r>
          </w:p>
        </w:tc>
      </w:tr>
    </w:tbl>
    <w:p>
      <w:pPr>
        <w:pStyle w:val="7"/>
        <w:ind w:firstLine="480"/>
        <w:rPr>
          <w:rFonts w:cs="Times New Roman"/>
          <w:lang w:val="zh-CN"/>
        </w:rPr>
      </w:pPr>
      <w:r>
        <w:rPr>
          <w:rFonts w:cs="Times New Roman"/>
          <w:lang w:val="zh-CN"/>
        </w:rPr>
        <w:t>1）</w:t>
      </w:r>
      <w:r>
        <w:rPr>
          <w:rFonts w:hint="eastAsia" w:cs="Times New Roman"/>
          <w:lang w:val="zh-CN"/>
        </w:rPr>
        <w:t>废塑料挤出</w:t>
      </w:r>
      <w:r>
        <w:rPr>
          <w:rFonts w:cs="Times New Roman"/>
          <w:lang w:val="zh-CN"/>
        </w:rPr>
        <w:t>造粒生产线非甲烷总烃</w:t>
      </w:r>
    </w:p>
    <w:p>
      <w:pPr>
        <w:pStyle w:val="7"/>
        <w:ind w:firstLine="480"/>
        <w:rPr>
          <w:rFonts w:cs="Times New Roman"/>
          <w:lang w:val="zh-CN"/>
        </w:rPr>
      </w:pPr>
      <w:r>
        <w:rPr>
          <w:rFonts w:cs="Times New Roman"/>
          <w:lang w:val="zh-CN"/>
        </w:rPr>
        <w:t>根据平衡分析，本项目造粒工段原料共</w:t>
      </w:r>
      <w:r>
        <w:rPr>
          <w:rFonts w:cs="Times New Roman"/>
        </w:rPr>
        <w:t>5005.25</w:t>
      </w:r>
      <w:r>
        <w:rPr>
          <w:rFonts w:cs="Times New Roman"/>
          <w:lang w:val="zh-CN"/>
        </w:rPr>
        <w:t>t/a，则造粒工段非甲烷总烃产生量约为</w:t>
      </w:r>
      <w:r>
        <w:rPr>
          <w:rFonts w:cs="Times New Roman"/>
        </w:rPr>
        <w:t>1.75</w:t>
      </w:r>
      <w:r>
        <w:rPr>
          <w:rFonts w:cs="Times New Roman"/>
          <w:lang w:val="zh-CN"/>
        </w:rPr>
        <w:t>t/a。</w:t>
      </w:r>
    </w:p>
    <w:p>
      <w:pPr>
        <w:pStyle w:val="7"/>
        <w:ind w:firstLine="480"/>
        <w:rPr>
          <w:rFonts w:cs="Times New Roman"/>
          <w:lang w:val="zh-CN"/>
        </w:rPr>
      </w:pPr>
      <w:r>
        <w:rPr>
          <w:rFonts w:cs="Times New Roman"/>
          <w:lang w:val="zh-CN"/>
        </w:rPr>
        <w:t>2）</w:t>
      </w:r>
      <w:r>
        <w:rPr>
          <w:rFonts w:hint="eastAsia" w:cs="Times New Roman"/>
          <w:lang w:val="zh-CN"/>
        </w:rPr>
        <w:t>滴灌带/水带生产线</w:t>
      </w:r>
      <w:r>
        <w:rPr>
          <w:rFonts w:cs="Times New Roman"/>
          <w:lang w:val="zh-CN"/>
        </w:rPr>
        <w:t>非甲烷总烃</w:t>
      </w:r>
    </w:p>
    <w:p>
      <w:pPr>
        <w:pStyle w:val="7"/>
        <w:ind w:firstLine="480"/>
        <w:rPr>
          <w:rFonts w:cs="Times New Roman"/>
          <w:lang w:val="zh-CN"/>
        </w:rPr>
      </w:pPr>
      <w:r>
        <w:rPr>
          <w:rFonts w:cs="Times New Roman"/>
          <w:lang w:val="zh-CN"/>
        </w:rPr>
        <w:t>根据平衡分析，本项目</w:t>
      </w:r>
      <w:r>
        <w:rPr>
          <w:rFonts w:hint="eastAsia" w:cs="Times New Roman"/>
          <w:lang w:val="zh-CN"/>
        </w:rPr>
        <w:t>滴灌带和水带产量合计</w:t>
      </w:r>
      <w:r>
        <w:rPr>
          <w:rFonts w:cs="Times New Roman"/>
        </w:rPr>
        <w:t>5000</w:t>
      </w:r>
      <w:r>
        <w:rPr>
          <w:rFonts w:cs="Times New Roman"/>
          <w:lang w:val="zh-CN"/>
        </w:rPr>
        <w:t>t/a，则项目挤出工段非甲烷总烃产生量约为</w:t>
      </w:r>
      <w:r>
        <w:rPr>
          <w:rFonts w:hint="eastAsia" w:cs="Times New Roman"/>
        </w:rPr>
        <w:t>7.5</w:t>
      </w:r>
      <w:r>
        <w:rPr>
          <w:rFonts w:cs="Times New Roman"/>
          <w:lang w:val="zh-CN"/>
        </w:rPr>
        <w:t>t/a。</w:t>
      </w:r>
    </w:p>
    <w:p>
      <w:pPr>
        <w:pStyle w:val="7"/>
        <w:ind w:firstLine="480"/>
        <w:rPr>
          <w:rFonts w:cs="Times New Roman"/>
          <w:lang w:val="zh-CN"/>
        </w:rPr>
      </w:pPr>
      <w:r>
        <w:rPr>
          <w:rFonts w:cs="Times New Roman"/>
          <w:lang w:val="zh-CN"/>
        </w:rPr>
        <w:t>综上，本项目非甲烷总烃产生量详见</w:t>
      </w:r>
      <w:r>
        <w:rPr>
          <w:rFonts w:hint="eastAsia" w:cs="Times New Roman"/>
        </w:rPr>
        <w:t>表3.3-2</w:t>
      </w:r>
      <w:r>
        <w:rPr>
          <w:rFonts w:cs="Times New Roman"/>
          <w:lang w:val="zh-CN"/>
        </w:rPr>
        <w:t>。</w:t>
      </w:r>
    </w:p>
    <w:p>
      <w:pPr>
        <w:pStyle w:val="36"/>
        <w:spacing w:before="156"/>
        <w:rPr>
          <w:rFonts w:eastAsia="宋体"/>
        </w:rPr>
      </w:pPr>
      <w:bookmarkStart w:id="61" w:name="_Ref111410212"/>
    </w:p>
    <w:p>
      <w:pPr>
        <w:pStyle w:val="36"/>
        <w:spacing w:before="156"/>
        <w:rPr>
          <w:rFonts w:eastAsia="宋体"/>
        </w:rPr>
      </w:pPr>
    </w:p>
    <w:p>
      <w:pPr>
        <w:pStyle w:val="36"/>
        <w:spacing w:before="156"/>
        <w:rPr>
          <w:rFonts w:eastAsia="宋体"/>
        </w:rPr>
      </w:pPr>
      <w:r>
        <w:rPr>
          <w:rFonts w:eastAsia="宋体"/>
        </w:rPr>
        <w:t>表</w:t>
      </w:r>
      <w:r>
        <w:rPr>
          <w:rFonts w:hint="eastAsia" w:eastAsia="宋体"/>
        </w:rPr>
        <w:t>3.3-</w:t>
      </w:r>
      <w:bookmarkEnd w:id="61"/>
      <w:r>
        <w:rPr>
          <w:rFonts w:hint="eastAsia" w:eastAsia="宋体"/>
        </w:rPr>
        <w:t>2</w:t>
      </w:r>
      <w:r>
        <w:rPr>
          <w:rFonts w:eastAsia="宋体"/>
        </w:rPr>
        <w:t xml:space="preserve">  本项目非甲烷总烃产生情况一览表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892"/>
        <w:gridCol w:w="1984"/>
        <w:gridCol w:w="1417"/>
        <w:gridCol w:w="2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8" w:type="pct"/>
            <w:tcBorders>
              <w:tl2br w:val="nil"/>
              <w:tr2bl w:val="nil"/>
            </w:tcBorders>
            <w:vAlign w:val="center"/>
          </w:tcPr>
          <w:p>
            <w:pPr>
              <w:pStyle w:val="34"/>
            </w:pPr>
            <w:r>
              <w:t>序号</w:t>
            </w:r>
          </w:p>
        </w:tc>
        <w:tc>
          <w:tcPr>
            <w:tcW w:w="1109" w:type="pct"/>
            <w:tcBorders>
              <w:tl2br w:val="nil"/>
              <w:tr2bl w:val="nil"/>
            </w:tcBorders>
            <w:vAlign w:val="center"/>
          </w:tcPr>
          <w:p>
            <w:pPr>
              <w:pStyle w:val="34"/>
            </w:pPr>
            <w:r>
              <w:t>工序</w:t>
            </w:r>
          </w:p>
        </w:tc>
        <w:tc>
          <w:tcPr>
            <w:tcW w:w="1163" w:type="pct"/>
            <w:tcBorders>
              <w:tl2br w:val="nil"/>
              <w:tr2bl w:val="nil"/>
            </w:tcBorders>
            <w:vAlign w:val="center"/>
          </w:tcPr>
          <w:p>
            <w:pPr>
              <w:pStyle w:val="34"/>
            </w:pPr>
            <w:r>
              <w:t>原料（t/a）</w:t>
            </w:r>
          </w:p>
        </w:tc>
        <w:tc>
          <w:tcPr>
            <w:tcW w:w="831" w:type="pct"/>
            <w:tcBorders>
              <w:tl2br w:val="nil"/>
              <w:tr2bl w:val="nil"/>
            </w:tcBorders>
            <w:vAlign w:val="center"/>
          </w:tcPr>
          <w:p>
            <w:pPr>
              <w:pStyle w:val="34"/>
            </w:pPr>
            <w:r>
              <w:t>产污系数</w:t>
            </w:r>
          </w:p>
        </w:tc>
        <w:tc>
          <w:tcPr>
            <w:tcW w:w="1529" w:type="pct"/>
            <w:tcBorders>
              <w:tl2br w:val="nil"/>
              <w:tr2bl w:val="nil"/>
            </w:tcBorders>
            <w:vAlign w:val="center"/>
          </w:tcPr>
          <w:p>
            <w:pPr>
              <w:pStyle w:val="34"/>
            </w:pPr>
            <w:r>
              <w:t>非甲烷总烃产生量（t/a）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8" w:type="pct"/>
            <w:tcBorders>
              <w:tl2br w:val="nil"/>
              <w:tr2bl w:val="nil"/>
            </w:tcBorders>
            <w:vAlign w:val="center"/>
          </w:tcPr>
          <w:p>
            <w:pPr>
              <w:pStyle w:val="34"/>
            </w:pPr>
            <w:r>
              <w:t>1</w:t>
            </w:r>
          </w:p>
        </w:tc>
        <w:tc>
          <w:tcPr>
            <w:tcW w:w="1109" w:type="pct"/>
            <w:tcBorders>
              <w:tl2br w:val="nil"/>
              <w:tr2bl w:val="nil"/>
            </w:tcBorders>
            <w:vAlign w:val="center"/>
          </w:tcPr>
          <w:p>
            <w:pPr>
              <w:pStyle w:val="34"/>
            </w:pPr>
            <w:r>
              <w:rPr>
                <w:rFonts w:hint="eastAsia"/>
              </w:rPr>
              <w:t>废塑料挤出</w:t>
            </w:r>
            <w:r>
              <w:t>造粒工序</w:t>
            </w:r>
          </w:p>
        </w:tc>
        <w:tc>
          <w:tcPr>
            <w:tcW w:w="1163" w:type="pct"/>
            <w:tcBorders>
              <w:tl2br w:val="nil"/>
              <w:tr2bl w:val="nil"/>
            </w:tcBorders>
            <w:vAlign w:val="center"/>
          </w:tcPr>
          <w:p>
            <w:pPr>
              <w:pStyle w:val="34"/>
            </w:pPr>
            <w:r>
              <w:t>5005.25</w:t>
            </w:r>
          </w:p>
        </w:tc>
        <w:tc>
          <w:tcPr>
            <w:tcW w:w="831" w:type="pct"/>
            <w:tcBorders>
              <w:tl2br w:val="nil"/>
              <w:tr2bl w:val="nil"/>
            </w:tcBorders>
            <w:vAlign w:val="center"/>
          </w:tcPr>
          <w:p>
            <w:pPr>
              <w:pStyle w:val="34"/>
            </w:pPr>
            <w:r>
              <w:t>0.35kg/t-原料</w:t>
            </w:r>
          </w:p>
        </w:tc>
        <w:tc>
          <w:tcPr>
            <w:tcW w:w="1529" w:type="pct"/>
            <w:tcBorders>
              <w:tl2br w:val="nil"/>
              <w:tr2bl w:val="nil"/>
            </w:tcBorders>
            <w:vAlign w:val="center"/>
          </w:tcPr>
          <w:p>
            <w:pPr>
              <w:pStyle w:val="34"/>
            </w:pPr>
            <w:r>
              <w:t>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68" w:type="pct"/>
            <w:tcBorders>
              <w:tl2br w:val="nil"/>
              <w:tr2bl w:val="nil"/>
            </w:tcBorders>
            <w:vAlign w:val="center"/>
          </w:tcPr>
          <w:p>
            <w:pPr>
              <w:pStyle w:val="34"/>
            </w:pPr>
            <w:r>
              <w:t>2</w:t>
            </w:r>
          </w:p>
        </w:tc>
        <w:tc>
          <w:tcPr>
            <w:tcW w:w="1109" w:type="pct"/>
            <w:tcBorders>
              <w:tl2br w:val="nil"/>
              <w:tr2bl w:val="nil"/>
            </w:tcBorders>
            <w:vAlign w:val="center"/>
          </w:tcPr>
          <w:p>
            <w:pPr>
              <w:pStyle w:val="34"/>
            </w:pPr>
            <w:r>
              <w:rPr>
                <w:rFonts w:hint="eastAsia"/>
              </w:rPr>
              <w:t>滴灌带、水带生产</w:t>
            </w:r>
            <w:r>
              <w:t>工序</w:t>
            </w:r>
          </w:p>
        </w:tc>
        <w:tc>
          <w:tcPr>
            <w:tcW w:w="1163" w:type="pct"/>
            <w:tcBorders>
              <w:tl2br w:val="nil"/>
              <w:tr2bl w:val="nil"/>
            </w:tcBorders>
            <w:vAlign w:val="center"/>
          </w:tcPr>
          <w:p>
            <w:pPr>
              <w:pStyle w:val="34"/>
            </w:pPr>
            <w:r>
              <w:t>5000</w:t>
            </w:r>
          </w:p>
        </w:tc>
        <w:tc>
          <w:tcPr>
            <w:tcW w:w="831" w:type="pct"/>
            <w:tcBorders>
              <w:tl2br w:val="nil"/>
              <w:tr2bl w:val="nil"/>
            </w:tcBorders>
            <w:vAlign w:val="center"/>
          </w:tcPr>
          <w:p>
            <w:pPr>
              <w:pStyle w:val="34"/>
            </w:pPr>
            <w:r>
              <w:rPr>
                <w:rFonts w:hint="eastAsia"/>
              </w:rPr>
              <w:t>1.5</w:t>
            </w:r>
            <w:r>
              <w:t>kg/t-</w:t>
            </w:r>
            <w:r>
              <w:rPr>
                <w:rFonts w:hint="eastAsia"/>
              </w:rPr>
              <w:t>产品</w:t>
            </w:r>
          </w:p>
        </w:tc>
        <w:tc>
          <w:tcPr>
            <w:tcW w:w="1529" w:type="pct"/>
            <w:tcBorders>
              <w:tl2br w:val="nil"/>
              <w:tr2bl w:val="nil"/>
            </w:tcBorders>
            <w:vAlign w:val="center"/>
          </w:tcPr>
          <w:p>
            <w:pPr>
              <w:pStyle w:val="34"/>
            </w:pPr>
            <w:r>
              <w:rPr>
                <w:rFonts w:hint="eastAsia"/>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471" w:type="pct"/>
            <w:gridSpan w:val="4"/>
            <w:tcBorders>
              <w:tl2br w:val="nil"/>
              <w:tr2bl w:val="nil"/>
            </w:tcBorders>
            <w:vAlign w:val="center"/>
          </w:tcPr>
          <w:p>
            <w:pPr>
              <w:pStyle w:val="34"/>
            </w:pPr>
            <w:r>
              <w:t>合计</w:t>
            </w:r>
          </w:p>
        </w:tc>
        <w:tc>
          <w:tcPr>
            <w:tcW w:w="1529" w:type="pct"/>
            <w:tcBorders>
              <w:tl2br w:val="nil"/>
              <w:tr2bl w:val="nil"/>
            </w:tcBorders>
            <w:vAlign w:val="center"/>
          </w:tcPr>
          <w:p>
            <w:pPr>
              <w:pStyle w:val="34"/>
            </w:pPr>
            <w:r>
              <w:rPr>
                <w:rFonts w:hint="eastAsia"/>
              </w:rPr>
              <w:t>9.25</w:t>
            </w:r>
          </w:p>
        </w:tc>
      </w:tr>
    </w:tbl>
    <w:p>
      <w:pPr>
        <w:pStyle w:val="7"/>
        <w:ind w:firstLine="480"/>
        <w:rPr>
          <w:rFonts w:cs="Times New Roman"/>
          <w:lang w:val="zh-CN"/>
        </w:rPr>
      </w:pPr>
      <w:r>
        <w:rPr>
          <w:rFonts w:cs="Times New Roman"/>
          <w:lang w:val="zh-CN"/>
        </w:rPr>
        <w:t>本项目造粒工段及滴灌带</w:t>
      </w:r>
      <w:r>
        <w:rPr>
          <w:rFonts w:cs="Times New Roman"/>
        </w:rPr>
        <w:t>/水带</w:t>
      </w:r>
      <w:r>
        <w:rPr>
          <w:rFonts w:cs="Times New Roman"/>
          <w:lang w:val="zh-CN"/>
        </w:rPr>
        <w:t>生产中挤出成型工段熔融挤出设备上方安装密闭式集气罩收集废气。各工段收集的废气通过引风机进入UV光氧催化+活性炭吸附装置净化处理，处理后的废气经15m高排气筒（DA001）排放。集气罩收集效率90%以上，未收集的废气以无组织排放。</w:t>
      </w:r>
    </w:p>
    <w:p>
      <w:pPr>
        <w:pStyle w:val="7"/>
        <w:ind w:firstLine="480"/>
        <w:rPr>
          <w:rFonts w:cs="Times New Roman"/>
          <w:lang w:val="zh-CN"/>
        </w:rPr>
      </w:pPr>
      <w:r>
        <w:rPr>
          <w:rFonts w:cs="Times New Roman"/>
          <w:lang w:val="zh-CN"/>
        </w:rPr>
        <w:t>根据《</w:t>
      </w:r>
      <w:r>
        <w:rPr>
          <w:rFonts w:hint="eastAsia" w:cs="Times New Roman"/>
          <w:lang w:val="zh-CN"/>
        </w:rPr>
        <w:t>主要污染物总量减排核算技术指南</w:t>
      </w:r>
      <w:r>
        <w:rPr>
          <w:rFonts w:cs="Times New Roman"/>
          <w:lang w:val="zh-CN"/>
        </w:rPr>
        <w:t>》</w:t>
      </w:r>
      <w:r>
        <w:rPr>
          <w:rFonts w:hint="eastAsia" w:cs="Times New Roman"/>
          <w:lang w:val="zh-CN"/>
        </w:rPr>
        <w:t>（2022 年修订）</w:t>
      </w:r>
      <w:r>
        <w:rPr>
          <w:rFonts w:cs="Times New Roman"/>
          <w:lang w:val="zh-CN"/>
        </w:rPr>
        <w:t>中“表2-</w:t>
      </w:r>
      <w:r>
        <w:rPr>
          <w:rFonts w:hint="eastAsia" w:cs="Times New Roman"/>
          <w:lang w:val="zh-CN"/>
        </w:rPr>
        <w:t>3</w:t>
      </w:r>
      <w:r>
        <w:rPr>
          <w:rFonts w:cs="Times New Roman"/>
          <w:lang w:val="zh-CN"/>
        </w:rPr>
        <w:t xml:space="preserve"> VOCs 废气收集率和治理设施去除率通用系数”，光催化VOCs去除效率10%，</w:t>
      </w:r>
      <w:r>
        <w:rPr>
          <w:rFonts w:cs="Times New Roman"/>
        </w:rPr>
        <w:t>一次性活性炭吸附</w:t>
      </w:r>
      <w:r>
        <w:rPr>
          <w:rFonts w:cs="Times New Roman"/>
          <w:lang w:val="zh-CN"/>
        </w:rPr>
        <w:t>去除效率30%，本项目采用的UV光氧催化+活性炭吸附综合去除效率为37%，本项目年生产时间4320h。项目非甲烷总烃净化处理设施配套风机风量为20000m³/h。根据物料平衡分析，本项目有组织非甲烷总烃产生及排放情况详见</w:t>
      </w:r>
      <w:r>
        <w:rPr>
          <w:rFonts w:hint="eastAsia" w:cs="Times New Roman"/>
        </w:rPr>
        <w:t>表3.3-3</w:t>
      </w:r>
      <w:r>
        <w:rPr>
          <w:rFonts w:cs="Times New Roman"/>
          <w:lang w:val="zh-CN"/>
        </w:rPr>
        <w:t>。</w:t>
      </w:r>
    </w:p>
    <w:p>
      <w:pPr>
        <w:pStyle w:val="36"/>
        <w:spacing w:before="156"/>
        <w:rPr>
          <w:rFonts w:eastAsia="宋体"/>
        </w:rPr>
      </w:pPr>
      <w:bookmarkStart w:id="62" w:name="_Ref111410647"/>
      <w:r>
        <w:rPr>
          <w:rFonts w:eastAsia="宋体"/>
        </w:rPr>
        <w:t>表</w:t>
      </w:r>
      <w:r>
        <w:rPr>
          <w:rFonts w:hint="eastAsia" w:eastAsia="宋体"/>
        </w:rPr>
        <w:t>3.3-3</w:t>
      </w:r>
      <w:bookmarkEnd w:id="62"/>
      <w:r>
        <w:rPr>
          <w:rFonts w:eastAsia="宋体"/>
        </w:rPr>
        <w:t xml:space="preserve">  本项目有组织废气产排情况一览表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5"/>
        <w:gridCol w:w="351"/>
        <w:gridCol w:w="792"/>
        <w:gridCol w:w="810"/>
        <w:gridCol w:w="721"/>
        <w:gridCol w:w="629"/>
        <w:gridCol w:w="467"/>
        <w:gridCol w:w="676"/>
        <w:gridCol w:w="373"/>
        <w:gridCol w:w="795"/>
        <w:gridCol w:w="689"/>
        <w:gridCol w:w="631"/>
        <w:gridCol w:w="569"/>
        <w:gridCol w:w="5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84" w:type="pct"/>
            <w:vMerge w:val="restart"/>
            <w:tcBorders>
              <w:tl2br w:val="nil"/>
              <w:tr2bl w:val="nil"/>
            </w:tcBorders>
            <w:vAlign w:val="center"/>
          </w:tcPr>
          <w:p>
            <w:pPr>
              <w:pStyle w:val="34"/>
            </w:pPr>
            <w:bookmarkStart w:id="63" w:name="_Hlk517558038"/>
            <w:r>
              <w:t>污染源</w:t>
            </w:r>
          </w:p>
        </w:tc>
        <w:tc>
          <w:tcPr>
            <w:tcW w:w="205" w:type="pct"/>
            <w:vMerge w:val="restart"/>
            <w:tcBorders>
              <w:tl2br w:val="nil"/>
              <w:tr2bl w:val="nil"/>
            </w:tcBorders>
            <w:vAlign w:val="center"/>
          </w:tcPr>
          <w:p>
            <w:pPr>
              <w:pStyle w:val="34"/>
            </w:pPr>
            <w:r>
              <w:t>污染物</w:t>
            </w:r>
          </w:p>
        </w:tc>
        <w:tc>
          <w:tcPr>
            <w:tcW w:w="464" w:type="pct"/>
            <w:vMerge w:val="restart"/>
            <w:tcBorders>
              <w:tl2br w:val="nil"/>
              <w:tr2bl w:val="nil"/>
            </w:tcBorders>
            <w:vAlign w:val="center"/>
          </w:tcPr>
          <w:p>
            <w:pPr>
              <w:pStyle w:val="34"/>
            </w:pPr>
            <w:r>
              <w:t>废气量</w:t>
            </w:r>
            <w:r>
              <w:rPr>
                <w:rFonts w:hint="eastAsia"/>
              </w:rPr>
              <w:t>(</w:t>
            </w:r>
            <w:r>
              <w:rPr>
                <w:lang w:val="zh-CN"/>
              </w:rPr>
              <w:t>m³/h</w:t>
            </w:r>
            <w:r>
              <w:rPr>
                <w:rFonts w:hint="eastAsia"/>
              </w:rPr>
              <w:t>)</w:t>
            </w:r>
          </w:p>
        </w:tc>
        <w:tc>
          <w:tcPr>
            <w:tcW w:w="1264" w:type="pct"/>
            <w:gridSpan w:val="3"/>
            <w:tcBorders>
              <w:tl2br w:val="nil"/>
              <w:tr2bl w:val="nil"/>
            </w:tcBorders>
            <w:vAlign w:val="center"/>
          </w:tcPr>
          <w:p>
            <w:pPr>
              <w:pStyle w:val="34"/>
            </w:pPr>
            <w:r>
              <w:t>产生情况</w:t>
            </w:r>
          </w:p>
        </w:tc>
        <w:tc>
          <w:tcPr>
            <w:tcW w:w="273" w:type="pct"/>
            <w:vMerge w:val="restart"/>
            <w:tcBorders>
              <w:tl2br w:val="nil"/>
              <w:tr2bl w:val="nil"/>
            </w:tcBorders>
            <w:vAlign w:val="center"/>
          </w:tcPr>
          <w:p>
            <w:pPr>
              <w:pStyle w:val="34"/>
            </w:pPr>
            <w:r>
              <w:rPr>
                <w:rFonts w:hint="eastAsia"/>
              </w:rPr>
              <w:t>收集效率</w:t>
            </w:r>
          </w:p>
        </w:tc>
        <w:tc>
          <w:tcPr>
            <w:tcW w:w="396" w:type="pct"/>
            <w:vMerge w:val="restart"/>
            <w:tcBorders>
              <w:tl2br w:val="nil"/>
              <w:tr2bl w:val="nil"/>
            </w:tcBorders>
            <w:vAlign w:val="center"/>
          </w:tcPr>
          <w:p>
            <w:pPr>
              <w:pStyle w:val="34"/>
            </w:pPr>
            <w:r>
              <w:t>处理措施</w:t>
            </w:r>
          </w:p>
        </w:tc>
        <w:tc>
          <w:tcPr>
            <w:tcW w:w="219" w:type="pct"/>
            <w:vMerge w:val="restart"/>
            <w:tcBorders>
              <w:tl2br w:val="nil"/>
              <w:tr2bl w:val="nil"/>
            </w:tcBorders>
            <w:vAlign w:val="center"/>
          </w:tcPr>
          <w:p>
            <w:pPr>
              <w:pStyle w:val="34"/>
            </w:pPr>
            <w:r>
              <w:t>去除效率</w:t>
            </w:r>
          </w:p>
        </w:tc>
        <w:tc>
          <w:tcPr>
            <w:tcW w:w="1240" w:type="pct"/>
            <w:gridSpan w:val="3"/>
            <w:tcBorders>
              <w:tl2br w:val="nil"/>
              <w:tr2bl w:val="nil"/>
            </w:tcBorders>
            <w:vAlign w:val="center"/>
          </w:tcPr>
          <w:p>
            <w:pPr>
              <w:pStyle w:val="34"/>
            </w:pPr>
            <w:r>
              <w:t>排放情况</w:t>
            </w:r>
          </w:p>
        </w:tc>
        <w:tc>
          <w:tcPr>
            <w:tcW w:w="650" w:type="pct"/>
            <w:gridSpan w:val="2"/>
            <w:tcBorders>
              <w:tl2br w:val="nil"/>
              <w:tr2bl w:val="nil"/>
            </w:tcBorders>
            <w:vAlign w:val="center"/>
          </w:tcPr>
          <w:p>
            <w:pPr>
              <w:pStyle w:val="34"/>
            </w:pPr>
            <w:r>
              <w:t>排气筒</w:t>
            </w:r>
          </w:p>
          <w:p>
            <w:pPr>
              <w:pStyle w:val="34"/>
            </w:pPr>
            <w: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4" w:type="pct"/>
            <w:vMerge w:val="continue"/>
            <w:tcBorders>
              <w:tl2br w:val="nil"/>
              <w:tr2bl w:val="nil"/>
            </w:tcBorders>
            <w:vAlign w:val="center"/>
          </w:tcPr>
          <w:p>
            <w:pPr>
              <w:pStyle w:val="34"/>
            </w:pPr>
          </w:p>
        </w:tc>
        <w:tc>
          <w:tcPr>
            <w:tcW w:w="205" w:type="pct"/>
            <w:vMerge w:val="continue"/>
            <w:tcBorders>
              <w:tl2br w:val="nil"/>
              <w:tr2bl w:val="nil"/>
            </w:tcBorders>
            <w:vAlign w:val="center"/>
          </w:tcPr>
          <w:p>
            <w:pPr>
              <w:pStyle w:val="34"/>
            </w:pPr>
          </w:p>
        </w:tc>
        <w:tc>
          <w:tcPr>
            <w:tcW w:w="464" w:type="pct"/>
            <w:vMerge w:val="continue"/>
            <w:tcBorders>
              <w:tl2br w:val="nil"/>
              <w:tr2bl w:val="nil"/>
            </w:tcBorders>
            <w:vAlign w:val="center"/>
          </w:tcPr>
          <w:p>
            <w:pPr>
              <w:pStyle w:val="34"/>
            </w:pPr>
          </w:p>
        </w:tc>
        <w:tc>
          <w:tcPr>
            <w:tcW w:w="474" w:type="pct"/>
            <w:tcBorders>
              <w:tl2br w:val="nil"/>
              <w:tr2bl w:val="nil"/>
            </w:tcBorders>
            <w:vAlign w:val="center"/>
          </w:tcPr>
          <w:p>
            <w:pPr>
              <w:pStyle w:val="34"/>
            </w:pPr>
            <w:r>
              <w:t>产生速率</w:t>
            </w:r>
            <w:r>
              <w:rPr>
                <w:rFonts w:hint="eastAsia"/>
              </w:rPr>
              <w:t>(</w:t>
            </w:r>
            <w:r>
              <w:t>kg/h</w:t>
            </w:r>
            <w:r>
              <w:rPr>
                <w:rFonts w:hint="eastAsia"/>
              </w:rPr>
              <w:t>)</w:t>
            </w:r>
          </w:p>
        </w:tc>
        <w:tc>
          <w:tcPr>
            <w:tcW w:w="422" w:type="pct"/>
            <w:tcBorders>
              <w:tl2br w:val="nil"/>
              <w:tr2bl w:val="nil"/>
            </w:tcBorders>
            <w:vAlign w:val="center"/>
          </w:tcPr>
          <w:p>
            <w:pPr>
              <w:pStyle w:val="34"/>
            </w:pPr>
            <w:r>
              <w:t>产生浓度</w:t>
            </w:r>
            <w:r>
              <w:rPr>
                <w:rFonts w:hint="eastAsia"/>
              </w:rPr>
              <w:t>(</w:t>
            </w:r>
            <w:r>
              <w:t>mg/m</w:t>
            </w:r>
            <w:r>
              <w:rPr>
                <w:vertAlign w:val="superscript"/>
              </w:rPr>
              <w:t>3</w:t>
            </w:r>
            <w:r>
              <w:rPr>
                <w:rFonts w:hint="eastAsia"/>
              </w:rPr>
              <w:t>)</w:t>
            </w:r>
          </w:p>
        </w:tc>
        <w:tc>
          <w:tcPr>
            <w:tcW w:w="367" w:type="pct"/>
            <w:tcBorders>
              <w:tl2br w:val="nil"/>
              <w:tr2bl w:val="nil"/>
            </w:tcBorders>
            <w:vAlign w:val="center"/>
          </w:tcPr>
          <w:p>
            <w:pPr>
              <w:pStyle w:val="34"/>
            </w:pPr>
            <w:r>
              <w:t>产生量</w:t>
            </w:r>
          </w:p>
          <w:p>
            <w:pPr>
              <w:pStyle w:val="34"/>
            </w:pPr>
            <w:r>
              <w:rPr>
                <w:rFonts w:hint="eastAsia"/>
              </w:rPr>
              <w:t>(</w:t>
            </w:r>
            <w:r>
              <w:t>t/a</w:t>
            </w:r>
            <w:r>
              <w:rPr>
                <w:rFonts w:hint="eastAsia"/>
              </w:rPr>
              <w:t>)</w:t>
            </w:r>
          </w:p>
        </w:tc>
        <w:tc>
          <w:tcPr>
            <w:tcW w:w="273" w:type="pct"/>
            <w:vMerge w:val="continue"/>
            <w:tcBorders>
              <w:tl2br w:val="nil"/>
              <w:tr2bl w:val="nil"/>
            </w:tcBorders>
            <w:vAlign w:val="center"/>
          </w:tcPr>
          <w:p>
            <w:pPr>
              <w:pStyle w:val="34"/>
            </w:pPr>
          </w:p>
        </w:tc>
        <w:tc>
          <w:tcPr>
            <w:tcW w:w="396" w:type="pct"/>
            <w:vMerge w:val="continue"/>
            <w:tcBorders>
              <w:tl2br w:val="nil"/>
              <w:tr2bl w:val="nil"/>
            </w:tcBorders>
            <w:vAlign w:val="center"/>
          </w:tcPr>
          <w:p>
            <w:pPr>
              <w:pStyle w:val="34"/>
            </w:pPr>
          </w:p>
        </w:tc>
        <w:tc>
          <w:tcPr>
            <w:tcW w:w="219" w:type="pct"/>
            <w:vMerge w:val="continue"/>
            <w:tcBorders>
              <w:tl2br w:val="nil"/>
              <w:tr2bl w:val="nil"/>
            </w:tcBorders>
            <w:vAlign w:val="center"/>
          </w:tcPr>
          <w:p>
            <w:pPr>
              <w:pStyle w:val="34"/>
            </w:pPr>
          </w:p>
        </w:tc>
        <w:tc>
          <w:tcPr>
            <w:tcW w:w="466" w:type="pct"/>
            <w:tcBorders>
              <w:tl2br w:val="nil"/>
              <w:tr2bl w:val="nil"/>
            </w:tcBorders>
            <w:vAlign w:val="center"/>
          </w:tcPr>
          <w:p>
            <w:pPr>
              <w:pStyle w:val="34"/>
            </w:pPr>
            <w:r>
              <w:t>排放速率</w:t>
            </w:r>
            <w:r>
              <w:rPr>
                <w:rFonts w:hint="eastAsia"/>
              </w:rPr>
              <w:t>(</w:t>
            </w:r>
            <w:r>
              <w:t>kg/h</w:t>
            </w:r>
            <w:r>
              <w:rPr>
                <w:rFonts w:hint="eastAsia"/>
              </w:rPr>
              <w:t>)</w:t>
            </w:r>
          </w:p>
        </w:tc>
        <w:tc>
          <w:tcPr>
            <w:tcW w:w="404" w:type="pct"/>
            <w:tcBorders>
              <w:tl2br w:val="nil"/>
              <w:tr2bl w:val="nil"/>
            </w:tcBorders>
            <w:vAlign w:val="center"/>
          </w:tcPr>
          <w:p>
            <w:pPr>
              <w:pStyle w:val="34"/>
            </w:pPr>
            <w:r>
              <w:t>排放浓度</w:t>
            </w:r>
            <w:r>
              <w:rPr>
                <w:rFonts w:hint="eastAsia"/>
              </w:rPr>
              <w:t>(</w:t>
            </w:r>
            <w:r>
              <w:t>mg/m</w:t>
            </w:r>
            <w:r>
              <w:rPr>
                <w:vertAlign w:val="superscript"/>
              </w:rPr>
              <w:t>3</w:t>
            </w:r>
            <w:r>
              <w:rPr>
                <w:rFonts w:hint="eastAsia"/>
              </w:rPr>
              <w:t>)</w:t>
            </w:r>
          </w:p>
        </w:tc>
        <w:tc>
          <w:tcPr>
            <w:tcW w:w="369" w:type="pct"/>
            <w:tcBorders>
              <w:tl2br w:val="nil"/>
              <w:tr2bl w:val="nil"/>
            </w:tcBorders>
            <w:vAlign w:val="center"/>
          </w:tcPr>
          <w:p>
            <w:pPr>
              <w:pStyle w:val="34"/>
            </w:pPr>
            <w:r>
              <w:t>排放量</w:t>
            </w:r>
          </w:p>
          <w:p>
            <w:pPr>
              <w:pStyle w:val="34"/>
            </w:pPr>
            <w:r>
              <w:rPr>
                <w:rFonts w:hint="eastAsia"/>
              </w:rPr>
              <w:t>(</w:t>
            </w:r>
            <w:r>
              <w:t>t/a</w:t>
            </w:r>
            <w:r>
              <w:rPr>
                <w:rFonts w:hint="eastAsia"/>
              </w:rPr>
              <w:t>)</w:t>
            </w:r>
          </w:p>
        </w:tc>
        <w:tc>
          <w:tcPr>
            <w:tcW w:w="334" w:type="pct"/>
            <w:tcBorders>
              <w:tl2br w:val="nil"/>
              <w:tr2bl w:val="nil"/>
            </w:tcBorders>
            <w:vAlign w:val="center"/>
          </w:tcPr>
          <w:p>
            <w:pPr>
              <w:pStyle w:val="34"/>
            </w:pPr>
            <w:r>
              <w:t>高度</w:t>
            </w:r>
            <w:r>
              <w:rPr>
                <w:rFonts w:hint="eastAsia"/>
              </w:rPr>
              <w:t>(</w:t>
            </w:r>
            <w:r>
              <w:t>m</w:t>
            </w:r>
            <w:r>
              <w:rPr>
                <w:rFonts w:hint="eastAsia"/>
              </w:rPr>
              <w:t>)</w:t>
            </w:r>
          </w:p>
        </w:tc>
        <w:tc>
          <w:tcPr>
            <w:tcW w:w="316" w:type="pct"/>
            <w:tcBorders>
              <w:tl2br w:val="nil"/>
              <w:tr2bl w:val="nil"/>
            </w:tcBorders>
            <w:vAlign w:val="center"/>
          </w:tcPr>
          <w:p>
            <w:pPr>
              <w:pStyle w:val="34"/>
            </w:pPr>
            <w:r>
              <w:t>出口内径</w:t>
            </w:r>
            <w:r>
              <w:rPr>
                <w:rFonts w:hint="eastAsia"/>
              </w:rPr>
              <w:t>(</w:t>
            </w:r>
            <w:r>
              <w:t>m</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tcBorders>
              <w:tl2br w:val="nil"/>
              <w:tr2bl w:val="nil"/>
            </w:tcBorders>
            <w:vAlign w:val="center"/>
          </w:tcPr>
          <w:p>
            <w:pPr>
              <w:pStyle w:val="34"/>
            </w:pPr>
            <w:r>
              <w:t>造粒、滴灌带</w:t>
            </w:r>
            <w:r>
              <w:rPr>
                <w:rFonts w:hint="eastAsia"/>
              </w:rPr>
              <w:t>水带</w:t>
            </w:r>
            <w:r>
              <w:t>生产线</w:t>
            </w:r>
          </w:p>
        </w:tc>
        <w:tc>
          <w:tcPr>
            <w:tcW w:w="205" w:type="pct"/>
            <w:tcBorders>
              <w:tl2br w:val="nil"/>
              <w:tr2bl w:val="nil"/>
            </w:tcBorders>
            <w:vAlign w:val="center"/>
          </w:tcPr>
          <w:p>
            <w:pPr>
              <w:pStyle w:val="34"/>
            </w:pPr>
            <w:r>
              <w:t>非甲烷总烃</w:t>
            </w:r>
          </w:p>
        </w:tc>
        <w:tc>
          <w:tcPr>
            <w:tcW w:w="464" w:type="pct"/>
            <w:tcBorders>
              <w:tl2br w:val="nil"/>
              <w:tr2bl w:val="nil"/>
            </w:tcBorders>
            <w:vAlign w:val="center"/>
          </w:tcPr>
          <w:p>
            <w:pPr>
              <w:pStyle w:val="34"/>
            </w:pPr>
            <w:r>
              <w:t>20000</w:t>
            </w:r>
          </w:p>
        </w:tc>
        <w:tc>
          <w:tcPr>
            <w:tcW w:w="474" w:type="pct"/>
            <w:tcBorders>
              <w:tl2br w:val="nil"/>
              <w:tr2bl w:val="nil"/>
            </w:tcBorders>
            <w:vAlign w:val="center"/>
          </w:tcPr>
          <w:p>
            <w:pPr>
              <w:pStyle w:val="34"/>
            </w:pPr>
            <w:r>
              <w:rPr>
                <w:rFonts w:hint="eastAsia"/>
              </w:rPr>
              <w:t>2.14</w:t>
            </w:r>
          </w:p>
        </w:tc>
        <w:tc>
          <w:tcPr>
            <w:tcW w:w="422" w:type="pct"/>
            <w:tcBorders>
              <w:tl2br w:val="nil"/>
              <w:tr2bl w:val="nil"/>
            </w:tcBorders>
            <w:vAlign w:val="center"/>
          </w:tcPr>
          <w:p>
            <w:pPr>
              <w:pStyle w:val="34"/>
            </w:pPr>
            <w:r>
              <w:rPr>
                <w:rFonts w:hint="eastAsia"/>
              </w:rPr>
              <w:t>107</w:t>
            </w:r>
          </w:p>
        </w:tc>
        <w:tc>
          <w:tcPr>
            <w:tcW w:w="367" w:type="pct"/>
            <w:tcBorders>
              <w:tl2br w:val="nil"/>
              <w:tr2bl w:val="nil"/>
            </w:tcBorders>
            <w:vAlign w:val="center"/>
          </w:tcPr>
          <w:p>
            <w:pPr>
              <w:pStyle w:val="34"/>
            </w:pPr>
            <w:r>
              <w:rPr>
                <w:rFonts w:hint="eastAsia"/>
              </w:rPr>
              <w:t>9.25</w:t>
            </w:r>
          </w:p>
        </w:tc>
        <w:tc>
          <w:tcPr>
            <w:tcW w:w="273" w:type="pct"/>
            <w:tcBorders>
              <w:tl2br w:val="nil"/>
              <w:tr2bl w:val="nil"/>
            </w:tcBorders>
            <w:vAlign w:val="center"/>
          </w:tcPr>
          <w:p>
            <w:pPr>
              <w:pStyle w:val="34"/>
            </w:pPr>
            <w:r>
              <w:rPr>
                <w:rFonts w:hint="eastAsia"/>
              </w:rPr>
              <w:t>90%</w:t>
            </w:r>
          </w:p>
        </w:tc>
        <w:tc>
          <w:tcPr>
            <w:tcW w:w="396" w:type="pct"/>
            <w:tcBorders>
              <w:tl2br w:val="nil"/>
              <w:tr2bl w:val="nil"/>
            </w:tcBorders>
            <w:vAlign w:val="center"/>
          </w:tcPr>
          <w:p>
            <w:pPr>
              <w:pStyle w:val="34"/>
            </w:pPr>
            <w:r>
              <w:t>UV光氧催化+活性炭吸附</w:t>
            </w:r>
          </w:p>
        </w:tc>
        <w:tc>
          <w:tcPr>
            <w:tcW w:w="219" w:type="pct"/>
            <w:tcBorders>
              <w:tl2br w:val="nil"/>
              <w:tr2bl w:val="nil"/>
            </w:tcBorders>
            <w:vAlign w:val="center"/>
          </w:tcPr>
          <w:p>
            <w:pPr>
              <w:pStyle w:val="34"/>
            </w:pPr>
            <w:r>
              <w:t>37%</w:t>
            </w:r>
          </w:p>
        </w:tc>
        <w:tc>
          <w:tcPr>
            <w:tcW w:w="466" w:type="pct"/>
            <w:tcBorders>
              <w:tl2br w:val="nil"/>
              <w:tr2bl w:val="nil"/>
            </w:tcBorders>
            <w:vAlign w:val="center"/>
          </w:tcPr>
          <w:p>
            <w:pPr>
              <w:pStyle w:val="34"/>
            </w:pPr>
            <w:r>
              <w:rPr>
                <w:rFonts w:hint="eastAsia"/>
              </w:rPr>
              <w:t>1.22</w:t>
            </w:r>
          </w:p>
        </w:tc>
        <w:tc>
          <w:tcPr>
            <w:tcW w:w="404" w:type="pct"/>
            <w:tcBorders>
              <w:tl2br w:val="nil"/>
              <w:tr2bl w:val="nil"/>
            </w:tcBorders>
            <w:vAlign w:val="center"/>
          </w:tcPr>
          <w:p>
            <w:pPr>
              <w:pStyle w:val="34"/>
            </w:pPr>
            <w:r>
              <w:rPr>
                <w:rFonts w:hint="eastAsia"/>
              </w:rPr>
              <w:t>61</w:t>
            </w:r>
          </w:p>
        </w:tc>
        <w:tc>
          <w:tcPr>
            <w:tcW w:w="369" w:type="pct"/>
            <w:tcBorders>
              <w:tl2br w:val="nil"/>
              <w:tr2bl w:val="nil"/>
            </w:tcBorders>
            <w:vAlign w:val="center"/>
          </w:tcPr>
          <w:p>
            <w:pPr>
              <w:pStyle w:val="34"/>
            </w:pPr>
            <w:r>
              <w:rPr>
                <w:rFonts w:hint="eastAsia"/>
              </w:rPr>
              <w:t>5.25</w:t>
            </w:r>
          </w:p>
        </w:tc>
        <w:tc>
          <w:tcPr>
            <w:tcW w:w="334" w:type="pct"/>
            <w:tcBorders>
              <w:tl2br w:val="nil"/>
              <w:tr2bl w:val="nil"/>
            </w:tcBorders>
            <w:vAlign w:val="center"/>
          </w:tcPr>
          <w:p>
            <w:pPr>
              <w:pStyle w:val="34"/>
            </w:pPr>
            <w:r>
              <w:t>15</w:t>
            </w:r>
          </w:p>
        </w:tc>
        <w:tc>
          <w:tcPr>
            <w:tcW w:w="316" w:type="pct"/>
            <w:tcBorders>
              <w:tl2br w:val="nil"/>
              <w:tr2bl w:val="nil"/>
            </w:tcBorders>
            <w:vAlign w:val="center"/>
          </w:tcPr>
          <w:p>
            <w:pPr>
              <w:pStyle w:val="34"/>
            </w:pPr>
            <w:r>
              <w:rPr>
                <w:rFonts w:hint="eastAsia"/>
              </w:rPr>
              <w:t>0.5</w:t>
            </w:r>
          </w:p>
        </w:tc>
      </w:tr>
      <w:bookmarkEnd w:id="63"/>
    </w:tbl>
    <w:p>
      <w:pPr>
        <w:pStyle w:val="7"/>
        <w:ind w:firstLine="480"/>
        <w:rPr>
          <w:rFonts w:cs="Times New Roman"/>
          <w:lang w:val="zh-CN"/>
        </w:rPr>
      </w:pPr>
      <w:r>
        <w:rPr>
          <w:rFonts w:cs="Times New Roman"/>
          <w:lang w:val="zh-CN"/>
        </w:rPr>
        <w:t>由上表可知，本项目有组织非甲烷总烃经“UV光氧催化+活性炭吸附装置”处理后的排放浓度为</w:t>
      </w:r>
      <w:r>
        <w:rPr>
          <w:rFonts w:hint="eastAsia" w:cs="Times New Roman"/>
        </w:rPr>
        <w:t>61</w:t>
      </w:r>
      <w:r>
        <w:rPr>
          <w:rFonts w:cs="Times New Roman"/>
          <w:lang w:val="zh-CN"/>
        </w:rPr>
        <w:t>mg/m³，排放浓度满足</w:t>
      </w:r>
      <w:r>
        <w:rPr>
          <w:rFonts w:hint="eastAsia" w:cs="Times New Roman"/>
          <w:lang w:val="zh-CN"/>
        </w:rPr>
        <w:t>《合成树脂工业污染物排放标准》（GB 31572-2015，含2024年修改单）</w:t>
      </w:r>
      <w:r>
        <w:rPr>
          <w:rFonts w:cs="Times New Roman"/>
          <w:lang w:val="zh-CN"/>
        </w:rPr>
        <w:t>中表4大气污染物非甲烷总烃排放限值要求（100mg/m</w:t>
      </w:r>
      <w:r>
        <w:rPr>
          <w:rFonts w:cs="Times New Roman"/>
          <w:vertAlign w:val="superscript"/>
          <w:lang w:val="zh-CN"/>
        </w:rPr>
        <w:t>3</w:t>
      </w:r>
      <w:r>
        <w:rPr>
          <w:rFonts w:cs="Times New Roman"/>
          <w:lang w:val="zh-CN"/>
        </w:rPr>
        <w:t>）。</w:t>
      </w:r>
    </w:p>
    <w:p>
      <w:pPr>
        <w:pStyle w:val="7"/>
        <w:adjustRightInd w:val="0"/>
        <w:snapToGrid w:val="0"/>
        <w:ind w:firstLine="482"/>
        <w:rPr>
          <w:rFonts w:cs="Times New Roman"/>
          <w:b/>
          <w:bCs/>
          <w:lang w:val="zh-CN"/>
        </w:rPr>
      </w:pPr>
      <w:r>
        <w:rPr>
          <w:rFonts w:cs="Times New Roman"/>
          <w:b/>
          <w:bCs/>
          <w:lang w:val="zh-CN"/>
        </w:rPr>
        <w:t>（</w:t>
      </w:r>
      <w:r>
        <w:rPr>
          <w:rFonts w:cs="Times New Roman"/>
          <w:b/>
          <w:bCs/>
        </w:rPr>
        <w:t>2</w:t>
      </w:r>
      <w:r>
        <w:rPr>
          <w:rFonts w:cs="Times New Roman"/>
          <w:b/>
          <w:bCs/>
          <w:lang w:val="zh-CN"/>
        </w:rPr>
        <w:t>）无组织废气</w:t>
      </w:r>
    </w:p>
    <w:p>
      <w:pPr>
        <w:pStyle w:val="7"/>
        <w:ind w:firstLine="480"/>
        <w:rPr>
          <w:rFonts w:cs="Times New Roman"/>
          <w:lang w:val="zh-CN"/>
        </w:rPr>
      </w:pPr>
      <w:r>
        <w:rPr>
          <w:rFonts w:cs="Times New Roman"/>
          <w:lang w:val="zh-CN"/>
        </w:rPr>
        <w:t>本项目未经集气系统收集的废气约10%，则无组织非甲烷总烃排放量为</w:t>
      </w:r>
      <w:r>
        <w:rPr>
          <w:rFonts w:cs="Times New Roman"/>
        </w:rPr>
        <w:t>0.</w:t>
      </w:r>
      <w:r>
        <w:rPr>
          <w:rFonts w:hint="eastAsia" w:cs="Times New Roman"/>
        </w:rPr>
        <w:t>925</w:t>
      </w:r>
      <w:r>
        <w:rPr>
          <w:rFonts w:cs="Times New Roman"/>
          <w:lang w:val="zh-CN"/>
        </w:rPr>
        <w:t>t/a，由车间门窗等排入外环境，无组织废气产排情况详见</w:t>
      </w:r>
      <w:r>
        <w:rPr>
          <w:rFonts w:hint="eastAsia" w:cs="Times New Roman"/>
        </w:rPr>
        <w:t>表3.3-4</w:t>
      </w:r>
      <w:r>
        <w:rPr>
          <w:rFonts w:cs="Times New Roman"/>
          <w:lang w:val="zh-CN"/>
        </w:rPr>
        <w:t>。</w:t>
      </w:r>
    </w:p>
    <w:p>
      <w:pPr>
        <w:pStyle w:val="36"/>
        <w:spacing w:before="156"/>
        <w:rPr>
          <w:rFonts w:eastAsia="宋体"/>
        </w:rPr>
      </w:pPr>
      <w:bookmarkStart w:id="64" w:name="_Ref111411525"/>
      <w:r>
        <w:rPr>
          <w:rFonts w:eastAsia="宋体"/>
        </w:rPr>
        <w:t>表</w:t>
      </w:r>
      <w:r>
        <w:rPr>
          <w:rFonts w:hint="eastAsia" w:eastAsia="宋体"/>
        </w:rPr>
        <w:t>3.3-</w:t>
      </w:r>
      <w:bookmarkEnd w:id="64"/>
      <w:r>
        <w:rPr>
          <w:rFonts w:hint="eastAsia" w:eastAsia="宋体"/>
        </w:rPr>
        <w:t>4</w:t>
      </w:r>
      <w:r>
        <w:rPr>
          <w:rFonts w:eastAsia="宋体"/>
        </w:rPr>
        <w:t xml:space="preserve">  本项目无组织非甲烷总烃产排情况一览表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1596"/>
        <w:gridCol w:w="1107"/>
        <w:gridCol w:w="1228"/>
        <w:gridCol w:w="1228"/>
        <w:gridCol w:w="1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6" w:type="pct"/>
            <w:tcBorders>
              <w:tl2br w:val="nil"/>
              <w:tr2bl w:val="nil"/>
            </w:tcBorders>
            <w:vAlign w:val="center"/>
          </w:tcPr>
          <w:p>
            <w:pPr>
              <w:pStyle w:val="34"/>
              <w:rPr>
                <w:spacing w:val="-2"/>
              </w:rPr>
            </w:pPr>
            <w:r>
              <w:t>污染源</w:t>
            </w:r>
          </w:p>
        </w:tc>
        <w:tc>
          <w:tcPr>
            <w:tcW w:w="936" w:type="pct"/>
            <w:tcBorders>
              <w:tl2br w:val="nil"/>
              <w:tr2bl w:val="nil"/>
            </w:tcBorders>
            <w:vAlign w:val="center"/>
          </w:tcPr>
          <w:p>
            <w:pPr>
              <w:pStyle w:val="34"/>
              <w:rPr>
                <w:spacing w:val="-2"/>
              </w:rPr>
            </w:pPr>
            <w:r>
              <w:t>污染物</w:t>
            </w:r>
          </w:p>
        </w:tc>
        <w:tc>
          <w:tcPr>
            <w:tcW w:w="649" w:type="pct"/>
            <w:tcBorders>
              <w:tl2br w:val="nil"/>
              <w:tr2bl w:val="nil"/>
            </w:tcBorders>
            <w:vAlign w:val="center"/>
          </w:tcPr>
          <w:p>
            <w:pPr>
              <w:pStyle w:val="34"/>
              <w:rPr>
                <w:spacing w:val="-2"/>
              </w:rPr>
            </w:pPr>
            <w:r>
              <w:t>产生量（t/a）</w:t>
            </w:r>
          </w:p>
        </w:tc>
        <w:tc>
          <w:tcPr>
            <w:tcW w:w="720" w:type="pct"/>
            <w:tcBorders>
              <w:tl2br w:val="nil"/>
              <w:tr2bl w:val="nil"/>
            </w:tcBorders>
            <w:vAlign w:val="center"/>
          </w:tcPr>
          <w:p>
            <w:pPr>
              <w:pStyle w:val="34"/>
            </w:pPr>
            <w:r>
              <w:t>产生速率</w:t>
            </w:r>
          </w:p>
          <w:p>
            <w:pPr>
              <w:pStyle w:val="34"/>
            </w:pPr>
            <w:r>
              <w:t>（kg/h）</w:t>
            </w:r>
          </w:p>
        </w:tc>
        <w:tc>
          <w:tcPr>
            <w:tcW w:w="720" w:type="pct"/>
            <w:tcBorders>
              <w:tl2br w:val="nil"/>
              <w:tr2bl w:val="nil"/>
            </w:tcBorders>
            <w:vAlign w:val="center"/>
          </w:tcPr>
          <w:p>
            <w:pPr>
              <w:pStyle w:val="34"/>
              <w:rPr>
                <w:spacing w:val="-2"/>
              </w:rPr>
            </w:pPr>
            <w:r>
              <w:t>排放量（t/a）</w:t>
            </w:r>
          </w:p>
        </w:tc>
        <w:tc>
          <w:tcPr>
            <w:tcW w:w="649" w:type="pct"/>
            <w:tcBorders>
              <w:tl2br w:val="nil"/>
              <w:tr2bl w:val="nil"/>
            </w:tcBorders>
            <w:vAlign w:val="center"/>
          </w:tcPr>
          <w:p>
            <w:pPr>
              <w:pStyle w:val="34"/>
            </w:pPr>
            <w:r>
              <w:t>排放速率</w:t>
            </w:r>
          </w:p>
          <w:p>
            <w:pPr>
              <w:pStyle w:val="34"/>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326" w:type="pct"/>
            <w:tcBorders>
              <w:tl2br w:val="nil"/>
              <w:tr2bl w:val="nil"/>
            </w:tcBorders>
            <w:vAlign w:val="center"/>
          </w:tcPr>
          <w:p>
            <w:pPr>
              <w:pStyle w:val="34"/>
              <w:rPr>
                <w:spacing w:val="-2"/>
              </w:rPr>
            </w:pPr>
            <w:r>
              <w:t>造粒车间</w:t>
            </w:r>
          </w:p>
        </w:tc>
        <w:tc>
          <w:tcPr>
            <w:tcW w:w="936" w:type="pct"/>
            <w:vMerge w:val="restart"/>
            <w:tcBorders>
              <w:tl2br w:val="nil"/>
              <w:tr2bl w:val="nil"/>
            </w:tcBorders>
            <w:vAlign w:val="center"/>
          </w:tcPr>
          <w:p>
            <w:pPr>
              <w:pStyle w:val="34"/>
              <w:rPr>
                <w:spacing w:val="-2"/>
              </w:rPr>
            </w:pPr>
            <w:r>
              <w:t>非甲烷总烃</w:t>
            </w:r>
          </w:p>
        </w:tc>
        <w:tc>
          <w:tcPr>
            <w:tcW w:w="649" w:type="pct"/>
            <w:tcBorders>
              <w:tl2br w:val="nil"/>
              <w:tr2bl w:val="nil"/>
            </w:tcBorders>
            <w:vAlign w:val="center"/>
          </w:tcPr>
          <w:p>
            <w:pPr>
              <w:pStyle w:val="34"/>
            </w:pPr>
            <w:r>
              <w:t>0.175</w:t>
            </w:r>
          </w:p>
        </w:tc>
        <w:tc>
          <w:tcPr>
            <w:tcW w:w="720" w:type="pct"/>
            <w:tcBorders>
              <w:tl2br w:val="nil"/>
              <w:tr2bl w:val="nil"/>
            </w:tcBorders>
            <w:vAlign w:val="center"/>
          </w:tcPr>
          <w:p>
            <w:pPr>
              <w:pStyle w:val="34"/>
            </w:pPr>
            <w:r>
              <w:t>0.04</w:t>
            </w:r>
          </w:p>
        </w:tc>
        <w:tc>
          <w:tcPr>
            <w:tcW w:w="1228" w:type="dxa"/>
            <w:tcBorders>
              <w:tl2br w:val="nil"/>
              <w:tr2bl w:val="nil"/>
            </w:tcBorders>
            <w:vAlign w:val="center"/>
          </w:tcPr>
          <w:p>
            <w:pPr>
              <w:pStyle w:val="34"/>
            </w:pPr>
            <w:r>
              <w:t>0.175</w:t>
            </w:r>
          </w:p>
        </w:tc>
        <w:tc>
          <w:tcPr>
            <w:tcW w:w="1107" w:type="dxa"/>
            <w:tcBorders>
              <w:tl2br w:val="nil"/>
              <w:tr2bl w:val="nil"/>
            </w:tcBorders>
            <w:vAlign w:val="center"/>
          </w:tcPr>
          <w:p>
            <w:pPr>
              <w:pStyle w:val="34"/>
            </w:pPr>
            <w: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326" w:type="pct"/>
            <w:tcBorders>
              <w:tl2br w:val="nil"/>
              <w:tr2bl w:val="nil"/>
            </w:tcBorders>
            <w:vAlign w:val="center"/>
          </w:tcPr>
          <w:p>
            <w:pPr>
              <w:pStyle w:val="34"/>
            </w:pPr>
            <w:r>
              <w:t>成品生产车间</w:t>
            </w:r>
          </w:p>
        </w:tc>
        <w:tc>
          <w:tcPr>
            <w:tcW w:w="936" w:type="pct"/>
            <w:vMerge w:val="continue"/>
            <w:tcBorders>
              <w:tl2br w:val="nil"/>
              <w:tr2bl w:val="nil"/>
            </w:tcBorders>
            <w:vAlign w:val="center"/>
          </w:tcPr>
          <w:p>
            <w:pPr>
              <w:pStyle w:val="34"/>
            </w:pPr>
          </w:p>
        </w:tc>
        <w:tc>
          <w:tcPr>
            <w:tcW w:w="649" w:type="pct"/>
            <w:tcBorders>
              <w:tl2br w:val="nil"/>
              <w:tr2bl w:val="nil"/>
            </w:tcBorders>
            <w:vAlign w:val="center"/>
          </w:tcPr>
          <w:p>
            <w:pPr>
              <w:pStyle w:val="34"/>
            </w:pPr>
            <w:r>
              <w:t>0.</w:t>
            </w:r>
            <w:r>
              <w:rPr>
                <w:rFonts w:hint="eastAsia"/>
              </w:rPr>
              <w:t>75</w:t>
            </w:r>
          </w:p>
        </w:tc>
        <w:tc>
          <w:tcPr>
            <w:tcW w:w="720" w:type="pct"/>
            <w:tcBorders>
              <w:tl2br w:val="nil"/>
              <w:tr2bl w:val="nil"/>
            </w:tcBorders>
            <w:vAlign w:val="center"/>
          </w:tcPr>
          <w:p>
            <w:pPr>
              <w:pStyle w:val="34"/>
            </w:pPr>
            <w:r>
              <w:rPr>
                <w:rFonts w:hint="eastAsia"/>
              </w:rPr>
              <w:t>0.17</w:t>
            </w:r>
          </w:p>
        </w:tc>
        <w:tc>
          <w:tcPr>
            <w:tcW w:w="1228" w:type="dxa"/>
            <w:tcBorders>
              <w:tl2br w:val="nil"/>
              <w:tr2bl w:val="nil"/>
            </w:tcBorders>
            <w:vAlign w:val="center"/>
          </w:tcPr>
          <w:p>
            <w:pPr>
              <w:pStyle w:val="34"/>
            </w:pPr>
            <w:r>
              <w:t>0.</w:t>
            </w:r>
            <w:r>
              <w:rPr>
                <w:rFonts w:hint="eastAsia"/>
              </w:rPr>
              <w:t>75</w:t>
            </w:r>
          </w:p>
        </w:tc>
        <w:tc>
          <w:tcPr>
            <w:tcW w:w="1107" w:type="dxa"/>
            <w:tcBorders>
              <w:tl2br w:val="nil"/>
              <w:tr2bl w:val="nil"/>
            </w:tcBorders>
            <w:vAlign w:val="center"/>
          </w:tcPr>
          <w:p>
            <w:pPr>
              <w:pStyle w:val="34"/>
            </w:pPr>
            <w:r>
              <w:rPr>
                <w:rFonts w:hint="eastAsia"/>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326" w:type="pct"/>
            <w:tcBorders>
              <w:tl2br w:val="nil"/>
              <w:tr2bl w:val="nil"/>
            </w:tcBorders>
            <w:vAlign w:val="center"/>
          </w:tcPr>
          <w:p>
            <w:pPr>
              <w:pStyle w:val="34"/>
            </w:pPr>
            <w:r>
              <w:t>合计</w:t>
            </w:r>
          </w:p>
        </w:tc>
        <w:tc>
          <w:tcPr>
            <w:tcW w:w="936" w:type="pct"/>
            <w:vMerge w:val="continue"/>
            <w:tcBorders>
              <w:tl2br w:val="nil"/>
              <w:tr2bl w:val="nil"/>
            </w:tcBorders>
            <w:vAlign w:val="center"/>
          </w:tcPr>
          <w:p>
            <w:pPr>
              <w:pStyle w:val="34"/>
            </w:pPr>
          </w:p>
        </w:tc>
        <w:tc>
          <w:tcPr>
            <w:tcW w:w="649" w:type="pct"/>
            <w:tcBorders>
              <w:tl2br w:val="nil"/>
              <w:tr2bl w:val="nil"/>
            </w:tcBorders>
            <w:vAlign w:val="center"/>
          </w:tcPr>
          <w:p>
            <w:pPr>
              <w:pStyle w:val="34"/>
            </w:pPr>
            <w:r>
              <w:rPr>
                <w:rFonts w:hint="eastAsia"/>
              </w:rPr>
              <w:t>0.925</w:t>
            </w:r>
          </w:p>
        </w:tc>
        <w:tc>
          <w:tcPr>
            <w:tcW w:w="720" w:type="pct"/>
            <w:tcBorders>
              <w:tl2br w:val="nil"/>
              <w:tr2bl w:val="nil"/>
            </w:tcBorders>
            <w:vAlign w:val="center"/>
          </w:tcPr>
          <w:p>
            <w:pPr>
              <w:pStyle w:val="34"/>
            </w:pPr>
            <w:r>
              <w:rPr>
                <w:rFonts w:hint="eastAsia"/>
              </w:rPr>
              <w:t>-</w:t>
            </w:r>
          </w:p>
        </w:tc>
        <w:tc>
          <w:tcPr>
            <w:tcW w:w="1228" w:type="dxa"/>
            <w:tcBorders>
              <w:tl2br w:val="nil"/>
              <w:tr2bl w:val="nil"/>
            </w:tcBorders>
            <w:vAlign w:val="center"/>
          </w:tcPr>
          <w:p>
            <w:pPr>
              <w:pStyle w:val="34"/>
            </w:pPr>
            <w:r>
              <w:rPr>
                <w:rFonts w:hint="eastAsia"/>
              </w:rPr>
              <w:t>0.925</w:t>
            </w:r>
          </w:p>
        </w:tc>
        <w:tc>
          <w:tcPr>
            <w:tcW w:w="1107" w:type="dxa"/>
            <w:tcBorders>
              <w:tl2br w:val="nil"/>
              <w:tr2bl w:val="nil"/>
            </w:tcBorders>
            <w:vAlign w:val="center"/>
          </w:tcPr>
          <w:p>
            <w:pPr>
              <w:pStyle w:val="34"/>
            </w:pPr>
            <w:r>
              <w:rPr>
                <w:rFonts w:hint="eastAsia"/>
              </w:rPr>
              <w:t>-</w:t>
            </w:r>
          </w:p>
        </w:tc>
      </w:tr>
    </w:tbl>
    <w:p>
      <w:pPr>
        <w:pStyle w:val="7"/>
        <w:ind w:firstLine="480"/>
        <w:rPr>
          <w:rFonts w:cs="Times New Roman"/>
          <w:lang w:val="zh-CN"/>
        </w:rPr>
      </w:pPr>
      <w:r>
        <w:rPr>
          <w:rFonts w:cs="Times New Roman"/>
          <w:lang w:val="zh-CN"/>
        </w:rPr>
        <w:t>根据《挥发性有机物无组织排放控制标准》(GB37822-2019)中关于有机聚合产品用于制品生产过程的要求，加工成型等工序需要在密闭设备或密闭空间内操作，废气排至VOCs废气收集处理系统，无法密闭的，应采取局部气体收集措施，废气排至VOCs废气收集处理系统。本项目造粒工序、滴灌带</w:t>
      </w:r>
      <w:r>
        <w:rPr>
          <w:rFonts w:cs="Times New Roman"/>
        </w:rPr>
        <w:t>/水带</w:t>
      </w:r>
      <w:r>
        <w:rPr>
          <w:rFonts w:cs="Times New Roman"/>
          <w:lang w:val="zh-CN"/>
        </w:rPr>
        <w:t>生产工序产气设备设置密闭集气罩收集废气，经收集后的废气进入“UV光氧催化+活性炭吸附装置”净化处理。对造粒及成品生产车间按照工程设计要求加装换气扇，加强车间通风，制定运行控制要求，厂界非甲烷总烃浓度可满足</w:t>
      </w:r>
      <w:r>
        <w:rPr>
          <w:rFonts w:hint="eastAsia" w:cs="Times New Roman"/>
          <w:lang w:val="zh-CN"/>
        </w:rPr>
        <w:t>《合成树脂工业污染物排放标准》（GB 31572-2015，含2024年修改单）</w:t>
      </w:r>
      <w:r>
        <w:rPr>
          <w:rFonts w:cs="Times New Roman"/>
          <w:lang w:val="zh-CN"/>
        </w:rPr>
        <w:t>表9企业边界大气污染物浓度限值（</w:t>
      </w:r>
      <w:r>
        <w:rPr>
          <w:rFonts w:hint="eastAsia" w:cs="Times New Roman"/>
          <w:lang w:val="zh-CN"/>
        </w:rPr>
        <w:t>4.0</w:t>
      </w:r>
      <w:r>
        <w:rPr>
          <w:rFonts w:cs="Times New Roman"/>
          <w:lang w:val="zh-CN"/>
        </w:rPr>
        <w:t>mg/m</w:t>
      </w:r>
      <w:r>
        <w:rPr>
          <w:rFonts w:cs="Times New Roman"/>
          <w:vertAlign w:val="superscript"/>
          <w:lang w:val="zh-CN"/>
        </w:rPr>
        <w:t>3</w:t>
      </w:r>
      <w:r>
        <w:rPr>
          <w:rFonts w:cs="Times New Roman"/>
          <w:lang w:val="zh-CN"/>
        </w:rPr>
        <w:t>），厂区内车间外非甲烷总烃浓度可满足《挥发性有机物无组织排放控制标准》（GB37822-2019）中表A.1厂区内VOC</w:t>
      </w:r>
      <w:r>
        <w:rPr>
          <w:rFonts w:cs="Times New Roman"/>
          <w:vertAlign w:val="subscript"/>
          <w:lang w:val="zh-CN"/>
        </w:rPr>
        <w:t>S</w:t>
      </w:r>
      <w:r>
        <w:rPr>
          <w:rFonts w:cs="Times New Roman"/>
          <w:lang w:val="zh-CN"/>
        </w:rPr>
        <w:t>无组织排放限值。</w:t>
      </w:r>
    </w:p>
    <w:p>
      <w:pPr>
        <w:pStyle w:val="7"/>
        <w:ind w:firstLine="482"/>
        <w:rPr>
          <w:rFonts w:cs="Times New Roman"/>
          <w:b/>
          <w:bCs/>
          <w:lang w:val="zh-CN"/>
        </w:rPr>
      </w:pPr>
      <w:r>
        <w:rPr>
          <w:rFonts w:cs="Times New Roman"/>
          <w:b/>
          <w:bCs/>
          <w:lang w:val="zh-CN"/>
        </w:rPr>
        <w:t>（3）非正常排放</w:t>
      </w:r>
    </w:p>
    <w:p>
      <w:pPr>
        <w:pStyle w:val="7"/>
        <w:ind w:firstLine="480"/>
        <w:rPr>
          <w:rFonts w:cs="Times New Roman"/>
          <w:lang w:val="zh-CN"/>
        </w:rPr>
      </w:pPr>
      <w:r>
        <w:rPr>
          <w:rFonts w:cs="Times New Roman"/>
          <w:lang w:val="zh-CN"/>
        </w:rPr>
        <w:t>非正常排放指非正常工况下的污染物排放，如污染物排放控制措施达不到应有效率、工艺设备运转异常等情况下的排放。</w:t>
      </w:r>
    </w:p>
    <w:p>
      <w:pPr>
        <w:pStyle w:val="7"/>
        <w:ind w:firstLine="480"/>
        <w:rPr>
          <w:rFonts w:cs="Times New Roman"/>
          <w:lang w:val="zh-CN"/>
        </w:rPr>
      </w:pPr>
      <w:r>
        <w:rPr>
          <w:rFonts w:cs="Times New Roman"/>
          <w:lang w:val="zh-CN"/>
        </w:rPr>
        <w:t>本次评价非正常排放主要考虑UV</w:t>
      </w:r>
      <w:r>
        <w:rPr>
          <w:rFonts w:cs="Times New Roman"/>
        </w:rPr>
        <w:t>光氧催化</w:t>
      </w:r>
      <w:r>
        <w:rPr>
          <w:rFonts w:cs="Times New Roman"/>
          <w:lang w:val="zh-CN"/>
        </w:rPr>
        <w:t>装置失灵停止运行，或活性炭失效的情况，使废气处理效率</w:t>
      </w:r>
      <w:r>
        <w:rPr>
          <w:rFonts w:hint="eastAsia" w:cs="Times New Roman"/>
          <w:lang w:val="zh-CN"/>
        </w:rPr>
        <w:t>下降，根据设备配置，该类情况发生的频率可控制在1次/1年以下</w:t>
      </w:r>
      <w:r>
        <w:rPr>
          <w:rFonts w:cs="Times New Roman"/>
          <w:lang w:val="zh-CN"/>
        </w:rPr>
        <w:t>。按照</w:t>
      </w:r>
      <w:r>
        <w:rPr>
          <w:rFonts w:hint="eastAsia" w:cs="Times New Roman"/>
          <w:lang w:val="zh-CN"/>
        </w:rPr>
        <w:t>单次持续时间</w:t>
      </w:r>
      <w:r>
        <w:rPr>
          <w:rFonts w:cs="Times New Roman"/>
          <w:lang w:val="zh-CN"/>
        </w:rPr>
        <w:t>1h</w:t>
      </w:r>
      <w:r>
        <w:rPr>
          <w:rFonts w:hint="eastAsia" w:cs="Times New Roman"/>
          <w:lang w:val="zh-CN"/>
        </w:rPr>
        <w:t>，</w:t>
      </w:r>
      <w:r>
        <w:rPr>
          <w:rFonts w:cs="Times New Roman"/>
          <w:lang w:val="zh-CN"/>
        </w:rPr>
        <w:t>发现故障并停止生产</w:t>
      </w:r>
      <w:r>
        <w:rPr>
          <w:rFonts w:hint="eastAsia" w:cs="Times New Roman"/>
          <w:lang w:val="zh-CN"/>
        </w:rPr>
        <w:t>及时维修</w:t>
      </w:r>
      <w:r>
        <w:rPr>
          <w:rFonts w:cs="Times New Roman"/>
          <w:lang w:val="zh-CN"/>
        </w:rPr>
        <w:t>进行估算。污染物非正常排放情况详见</w:t>
      </w:r>
      <w:r>
        <w:rPr>
          <w:rFonts w:hint="eastAsia" w:cs="Times New Roman"/>
        </w:rPr>
        <w:t>表3.3-5</w:t>
      </w:r>
      <w:r>
        <w:rPr>
          <w:rFonts w:cs="Times New Roman"/>
          <w:lang w:val="zh-CN"/>
        </w:rPr>
        <w:t>。</w:t>
      </w:r>
    </w:p>
    <w:p>
      <w:pPr>
        <w:pStyle w:val="36"/>
        <w:spacing w:before="156"/>
        <w:rPr>
          <w:rFonts w:eastAsia="宋体"/>
        </w:rPr>
      </w:pPr>
      <w:bookmarkStart w:id="65" w:name="_Ref111412167"/>
      <w:r>
        <w:rPr>
          <w:rFonts w:eastAsia="宋体"/>
        </w:rPr>
        <w:t>表</w:t>
      </w:r>
      <w:r>
        <w:rPr>
          <w:rFonts w:hint="eastAsia" w:eastAsia="宋体"/>
        </w:rPr>
        <w:t>3.3-5</w:t>
      </w:r>
      <w:bookmarkEnd w:id="65"/>
      <w:r>
        <w:rPr>
          <w:rFonts w:eastAsia="宋体"/>
        </w:rPr>
        <w:t xml:space="preserve">  非正常工况污染物产生及排放情况一览表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775"/>
        <w:gridCol w:w="1285"/>
        <w:gridCol w:w="1189"/>
        <w:gridCol w:w="1686"/>
        <w:gridCol w:w="1285"/>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0" w:type="auto"/>
            <w:vMerge w:val="restart"/>
            <w:tcBorders>
              <w:tl2br w:val="nil"/>
              <w:tr2bl w:val="nil"/>
            </w:tcBorders>
          </w:tcPr>
          <w:p>
            <w:pPr>
              <w:pStyle w:val="34"/>
              <w:rPr>
                <w:spacing w:val="-2"/>
              </w:rPr>
            </w:pPr>
            <w:r>
              <w:t>污染源</w:t>
            </w:r>
          </w:p>
        </w:tc>
        <w:tc>
          <w:tcPr>
            <w:tcW w:w="0" w:type="auto"/>
            <w:vMerge w:val="restart"/>
            <w:tcBorders>
              <w:tl2br w:val="nil"/>
              <w:tr2bl w:val="nil"/>
            </w:tcBorders>
          </w:tcPr>
          <w:p>
            <w:pPr>
              <w:pStyle w:val="34"/>
              <w:rPr>
                <w:spacing w:val="-2"/>
              </w:rPr>
            </w:pPr>
            <w:r>
              <w:t>污染物</w:t>
            </w:r>
          </w:p>
        </w:tc>
        <w:tc>
          <w:tcPr>
            <w:tcW w:w="0" w:type="auto"/>
            <w:gridSpan w:val="2"/>
            <w:tcBorders>
              <w:tl2br w:val="nil"/>
              <w:tr2bl w:val="nil"/>
            </w:tcBorders>
          </w:tcPr>
          <w:p>
            <w:pPr>
              <w:pStyle w:val="34"/>
              <w:rPr>
                <w:spacing w:val="-2"/>
              </w:rPr>
            </w:pPr>
            <w:r>
              <w:t>产生情况</w:t>
            </w:r>
          </w:p>
        </w:tc>
        <w:tc>
          <w:tcPr>
            <w:tcW w:w="0" w:type="auto"/>
            <w:vMerge w:val="restart"/>
            <w:tcBorders>
              <w:tl2br w:val="nil"/>
              <w:tr2bl w:val="nil"/>
            </w:tcBorders>
          </w:tcPr>
          <w:p>
            <w:pPr>
              <w:pStyle w:val="34"/>
              <w:rPr>
                <w:spacing w:val="-2"/>
              </w:rPr>
            </w:pPr>
            <w:r>
              <w:t>非正常排放原因</w:t>
            </w:r>
          </w:p>
        </w:tc>
        <w:tc>
          <w:tcPr>
            <w:tcW w:w="0" w:type="auto"/>
            <w:gridSpan w:val="2"/>
            <w:tcBorders>
              <w:tl2br w:val="nil"/>
              <w:tr2bl w:val="nil"/>
            </w:tcBorders>
          </w:tcPr>
          <w:p>
            <w:pPr>
              <w:pStyle w:val="34"/>
              <w:rPr>
                <w:spacing w:val="-2"/>
              </w:rPr>
            </w:pPr>
            <w: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0" w:type="auto"/>
            <w:vMerge w:val="continue"/>
            <w:tcBorders>
              <w:tl2br w:val="nil"/>
              <w:tr2bl w:val="nil"/>
            </w:tcBorders>
          </w:tcPr>
          <w:p>
            <w:pPr>
              <w:pStyle w:val="34"/>
            </w:pPr>
          </w:p>
        </w:tc>
        <w:tc>
          <w:tcPr>
            <w:tcW w:w="0" w:type="auto"/>
            <w:vMerge w:val="continue"/>
            <w:tcBorders>
              <w:tl2br w:val="nil"/>
              <w:tr2bl w:val="nil"/>
            </w:tcBorders>
          </w:tcPr>
          <w:p>
            <w:pPr>
              <w:pStyle w:val="34"/>
            </w:pPr>
          </w:p>
        </w:tc>
        <w:tc>
          <w:tcPr>
            <w:tcW w:w="0" w:type="auto"/>
            <w:tcBorders>
              <w:tl2br w:val="nil"/>
              <w:tr2bl w:val="nil"/>
            </w:tcBorders>
          </w:tcPr>
          <w:p>
            <w:pPr>
              <w:pStyle w:val="34"/>
              <w:rPr>
                <w:spacing w:val="-2"/>
              </w:rPr>
            </w:pPr>
            <w:r>
              <w:t>产生速率（kg/h）</w:t>
            </w:r>
          </w:p>
        </w:tc>
        <w:tc>
          <w:tcPr>
            <w:tcW w:w="0" w:type="auto"/>
            <w:tcBorders>
              <w:tl2br w:val="nil"/>
              <w:tr2bl w:val="nil"/>
            </w:tcBorders>
          </w:tcPr>
          <w:p>
            <w:pPr>
              <w:pStyle w:val="34"/>
            </w:pPr>
            <w:r>
              <w:t>产生浓度</w:t>
            </w:r>
            <w:r>
              <w:rPr>
                <w:rFonts w:hint="eastAsia"/>
              </w:rPr>
              <w:t>(</w:t>
            </w:r>
            <w:r>
              <w:t>mg/m</w:t>
            </w:r>
            <w:r>
              <w:rPr>
                <w:vertAlign w:val="superscript"/>
              </w:rPr>
              <w:t>3</w:t>
            </w:r>
            <w:r>
              <w:rPr>
                <w:rFonts w:hint="eastAsia"/>
              </w:rPr>
              <w:t>)</w:t>
            </w:r>
          </w:p>
        </w:tc>
        <w:tc>
          <w:tcPr>
            <w:tcW w:w="0" w:type="auto"/>
            <w:vMerge w:val="continue"/>
            <w:tcBorders>
              <w:tl2br w:val="nil"/>
              <w:tr2bl w:val="nil"/>
            </w:tcBorders>
          </w:tcPr>
          <w:p>
            <w:pPr>
              <w:pStyle w:val="34"/>
            </w:pPr>
          </w:p>
        </w:tc>
        <w:tc>
          <w:tcPr>
            <w:tcW w:w="0" w:type="auto"/>
            <w:tcBorders>
              <w:tl2br w:val="nil"/>
              <w:tr2bl w:val="nil"/>
            </w:tcBorders>
          </w:tcPr>
          <w:p>
            <w:pPr>
              <w:pStyle w:val="34"/>
              <w:rPr>
                <w:spacing w:val="-2"/>
              </w:rPr>
            </w:pPr>
            <w:r>
              <w:t>排放速率（kg/h）</w:t>
            </w:r>
          </w:p>
        </w:tc>
        <w:tc>
          <w:tcPr>
            <w:tcW w:w="0" w:type="auto"/>
            <w:tcBorders>
              <w:tl2br w:val="nil"/>
              <w:tr2bl w:val="nil"/>
            </w:tcBorders>
          </w:tcPr>
          <w:p>
            <w:pPr>
              <w:pStyle w:val="34"/>
            </w:pPr>
            <w:r>
              <w:t>排放浓度（mg/m</w:t>
            </w:r>
            <w:r>
              <w:rPr>
                <w:vertAlign w:val="superscript"/>
              </w:rPr>
              <w:t>3</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tcBorders>
              <w:tl2br w:val="nil"/>
              <w:tr2bl w:val="nil"/>
            </w:tcBorders>
            <w:vAlign w:val="center"/>
          </w:tcPr>
          <w:p>
            <w:pPr>
              <w:pStyle w:val="34"/>
            </w:pPr>
            <w:r>
              <w:rPr>
                <w:rFonts w:hint="eastAsia"/>
              </w:rPr>
              <w:t>D</w:t>
            </w:r>
            <w:r>
              <w:t>A001</w:t>
            </w:r>
          </w:p>
        </w:tc>
        <w:tc>
          <w:tcPr>
            <w:tcW w:w="0" w:type="auto"/>
            <w:vMerge w:val="restart"/>
            <w:tcBorders>
              <w:tl2br w:val="nil"/>
              <w:tr2bl w:val="nil"/>
            </w:tcBorders>
            <w:vAlign w:val="center"/>
          </w:tcPr>
          <w:p>
            <w:pPr>
              <w:pStyle w:val="34"/>
            </w:pPr>
            <w:r>
              <w:t>VOCs</w:t>
            </w:r>
          </w:p>
        </w:tc>
        <w:tc>
          <w:tcPr>
            <w:tcW w:w="0" w:type="auto"/>
            <w:vMerge w:val="restart"/>
            <w:tcBorders>
              <w:tl2br w:val="nil"/>
              <w:tr2bl w:val="nil"/>
            </w:tcBorders>
            <w:vAlign w:val="center"/>
          </w:tcPr>
          <w:p>
            <w:pPr>
              <w:pStyle w:val="34"/>
            </w:pPr>
            <w:r>
              <w:rPr>
                <w:rFonts w:hint="eastAsia"/>
              </w:rPr>
              <w:t>2.14</w:t>
            </w:r>
          </w:p>
        </w:tc>
        <w:tc>
          <w:tcPr>
            <w:tcW w:w="0" w:type="auto"/>
            <w:vMerge w:val="restart"/>
            <w:tcBorders>
              <w:tl2br w:val="nil"/>
              <w:tr2bl w:val="nil"/>
            </w:tcBorders>
            <w:vAlign w:val="center"/>
          </w:tcPr>
          <w:p>
            <w:pPr>
              <w:pStyle w:val="34"/>
            </w:pPr>
            <w:r>
              <w:rPr>
                <w:rFonts w:hint="eastAsia"/>
              </w:rPr>
              <w:t>107</w:t>
            </w:r>
          </w:p>
        </w:tc>
        <w:tc>
          <w:tcPr>
            <w:tcW w:w="0" w:type="auto"/>
            <w:tcBorders>
              <w:tl2br w:val="nil"/>
              <w:tr2bl w:val="nil"/>
            </w:tcBorders>
            <w:vAlign w:val="center"/>
          </w:tcPr>
          <w:p>
            <w:pPr>
              <w:pStyle w:val="34"/>
            </w:pPr>
            <w:r>
              <w:t>UV光氧催化装置失效，去除效率为</w:t>
            </w:r>
            <w:r>
              <w:rPr>
                <w:rFonts w:hint="eastAsia"/>
              </w:rPr>
              <w:t>30%</w:t>
            </w:r>
          </w:p>
        </w:tc>
        <w:tc>
          <w:tcPr>
            <w:tcW w:w="0" w:type="auto"/>
            <w:tcBorders>
              <w:tl2br w:val="nil"/>
              <w:tr2bl w:val="nil"/>
            </w:tcBorders>
            <w:vAlign w:val="center"/>
          </w:tcPr>
          <w:p>
            <w:pPr>
              <w:pStyle w:val="34"/>
            </w:pPr>
            <w:r>
              <w:rPr>
                <w:rFonts w:hint="eastAsia"/>
              </w:rPr>
              <w:t>1.35</w:t>
            </w:r>
          </w:p>
        </w:tc>
        <w:tc>
          <w:tcPr>
            <w:tcW w:w="0" w:type="auto"/>
            <w:tcBorders>
              <w:tl2br w:val="nil"/>
              <w:tr2bl w:val="nil"/>
            </w:tcBorders>
            <w:vAlign w:val="center"/>
          </w:tcPr>
          <w:p>
            <w:pPr>
              <w:pStyle w:val="34"/>
            </w:pPr>
            <w:r>
              <w:rPr>
                <w:rFonts w:hint="eastAsia"/>
              </w:rPr>
              <w:t>67.41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pPr>
              <w:pStyle w:val="34"/>
            </w:pPr>
          </w:p>
        </w:tc>
        <w:tc>
          <w:tcPr>
            <w:tcW w:w="0" w:type="auto"/>
            <w:vMerge w:val="continue"/>
            <w:tcBorders>
              <w:tl2br w:val="nil"/>
              <w:tr2bl w:val="nil"/>
            </w:tcBorders>
            <w:vAlign w:val="center"/>
          </w:tcPr>
          <w:p>
            <w:pPr>
              <w:pStyle w:val="34"/>
            </w:pPr>
          </w:p>
        </w:tc>
        <w:tc>
          <w:tcPr>
            <w:tcW w:w="0" w:type="auto"/>
            <w:vMerge w:val="continue"/>
            <w:tcBorders>
              <w:tl2br w:val="nil"/>
              <w:tr2bl w:val="nil"/>
            </w:tcBorders>
            <w:vAlign w:val="center"/>
          </w:tcPr>
          <w:p>
            <w:pPr>
              <w:pStyle w:val="34"/>
            </w:pPr>
          </w:p>
        </w:tc>
        <w:tc>
          <w:tcPr>
            <w:tcW w:w="0" w:type="auto"/>
            <w:vMerge w:val="continue"/>
            <w:tcBorders>
              <w:tl2br w:val="nil"/>
              <w:tr2bl w:val="nil"/>
            </w:tcBorders>
            <w:vAlign w:val="center"/>
          </w:tcPr>
          <w:p>
            <w:pPr>
              <w:pStyle w:val="34"/>
            </w:pPr>
          </w:p>
        </w:tc>
        <w:tc>
          <w:tcPr>
            <w:tcW w:w="0" w:type="auto"/>
            <w:tcBorders>
              <w:tl2br w:val="nil"/>
              <w:tr2bl w:val="nil"/>
            </w:tcBorders>
            <w:vAlign w:val="center"/>
          </w:tcPr>
          <w:p>
            <w:pPr>
              <w:pStyle w:val="34"/>
            </w:pPr>
            <w:r>
              <w:t>活性炭吸附装置失效，去除效率为</w:t>
            </w:r>
            <w:r>
              <w:rPr>
                <w:rFonts w:hint="eastAsia"/>
              </w:rPr>
              <w:t>10%</w:t>
            </w:r>
          </w:p>
        </w:tc>
        <w:tc>
          <w:tcPr>
            <w:tcW w:w="0" w:type="auto"/>
            <w:tcBorders>
              <w:tl2br w:val="nil"/>
              <w:tr2bl w:val="nil"/>
            </w:tcBorders>
            <w:vAlign w:val="center"/>
          </w:tcPr>
          <w:p>
            <w:pPr>
              <w:pStyle w:val="34"/>
            </w:pPr>
            <w:r>
              <w:rPr>
                <w:rFonts w:hint="eastAsia"/>
              </w:rPr>
              <w:t>1.73</w:t>
            </w:r>
          </w:p>
        </w:tc>
        <w:tc>
          <w:tcPr>
            <w:tcW w:w="0" w:type="auto"/>
            <w:tcBorders>
              <w:tl2br w:val="nil"/>
              <w:tr2bl w:val="nil"/>
            </w:tcBorders>
            <w:vAlign w:val="center"/>
          </w:tcPr>
          <w:p>
            <w:pPr>
              <w:pStyle w:val="34"/>
            </w:pPr>
            <w:r>
              <w:rPr>
                <w:rFonts w:hint="eastAsia"/>
              </w:rPr>
              <w:t>86.67</w:t>
            </w:r>
          </w:p>
        </w:tc>
      </w:tr>
    </w:tbl>
    <w:p>
      <w:pPr>
        <w:pStyle w:val="6"/>
        <w:rPr>
          <w:lang w:val="en-US"/>
        </w:rPr>
      </w:pPr>
      <w:r>
        <w:rPr>
          <w:lang w:val="en-US"/>
        </w:rPr>
        <w:t>废水</w:t>
      </w:r>
    </w:p>
    <w:p>
      <w:pPr>
        <w:pStyle w:val="7"/>
        <w:adjustRightInd w:val="0"/>
        <w:snapToGrid w:val="0"/>
        <w:ind w:firstLine="482"/>
        <w:rPr>
          <w:rFonts w:cs="Times New Roman"/>
          <w:b/>
          <w:bCs/>
          <w:lang w:val="zh-CN"/>
        </w:rPr>
      </w:pPr>
      <w:r>
        <w:rPr>
          <w:rFonts w:cs="Times New Roman"/>
          <w:b/>
          <w:bCs/>
          <w:lang w:val="zh-CN"/>
        </w:rPr>
        <w:t>（</w:t>
      </w:r>
      <w:r>
        <w:rPr>
          <w:rFonts w:cs="Times New Roman"/>
          <w:b/>
          <w:bCs/>
        </w:rPr>
        <w:t>1</w:t>
      </w:r>
      <w:r>
        <w:rPr>
          <w:rFonts w:cs="Times New Roman"/>
          <w:b/>
          <w:bCs/>
          <w:lang w:val="zh-CN"/>
        </w:rPr>
        <w:t>）生产废水</w:t>
      </w:r>
    </w:p>
    <w:p>
      <w:pPr>
        <w:pStyle w:val="7"/>
        <w:adjustRightInd w:val="0"/>
        <w:snapToGrid w:val="0"/>
        <w:ind w:firstLine="480"/>
        <w:rPr>
          <w:rFonts w:cs="Times New Roman"/>
          <w:lang w:val="zh-CN"/>
        </w:rPr>
      </w:pPr>
      <w:r>
        <w:rPr>
          <w:rFonts w:cs="Times New Roman"/>
          <w:lang w:val="zh-CN"/>
        </w:rPr>
        <w:t>本项目对原料采取湿法破碎加清洗工艺，根据《排放源统计调查产排污核算方法和系数手册》“4220 非金属废料和碎屑加工处理行业-以废PE为原料再生塑料颗粒”产系数，湿法破碎+清洗废水产污系数为1t/t-原料。本项目造粒工段原料合计</w:t>
      </w:r>
      <w:r>
        <w:rPr>
          <w:rFonts w:cs="Times New Roman"/>
        </w:rPr>
        <w:t>5005.25</w:t>
      </w:r>
      <w:r>
        <w:rPr>
          <w:rFonts w:cs="Times New Roman"/>
          <w:lang w:val="zh-CN"/>
        </w:rPr>
        <w:t>t/a，</w:t>
      </w:r>
      <w:r>
        <w:rPr>
          <w:szCs w:val="24"/>
        </w:rPr>
        <w:t>原料清洗过程中会损失一定水分，废水排放量约为用水量的90%，</w:t>
      </w:r>
      <w:r>
        <w:rPr>
          <w:rFonts w:cs="Times New Roman"/>
          <w:lang w:val="zh-CN"/>
        </w:rPr>
        <w:t>则需要破碎、清洗的用水量共</w:t>
      </w:r>
      <w:r>
        <w:rPr>
          <w:rFonts w:cs="Times New Roman"/>
        </w:rPr>
        <w:t>5</w:t>
      </w:r>
      <w:r>
        <w:rPr>
          <w:rFonts w:hint="eastAsia" w:cs="Times New Roman"/>
        </w:rPr>
        <w:t>561</w:t>
      </w:r>
      <w:r>
        <w:rPr>
          <w:rFonts w:cs="Times New Roman"/>
          <w:lang w:val="zh-CN"/>
        </w:rPr>
        <w:t>m</w:t>
      </w:r>
      <w:r>
        <w:rPr>
          <w:rFonts w:cs="Times New Roman"/>
          <w:vertAlign w:val="superscript"/>
        </w:rPr>
        <w:t>3</w:t>
      </w:r>
      <w:r>
        <w:rPr>
          <w:rFonts w:cs="Times New Roman"/>
          <w:lang w:val="zh-CN"/>
        </w:rPr>
        <w:t>/a（</w:t>
      </w:r>
      <w:r>
        <w:rPr>
          <w:rFonts w:hint="eastAsia" w:cs="Times New Roman"/>
        </w:rPr>
        <w:t>30.9</w:t>
      </w:r>
      <w:r>
        <w:rPr>
          <w:rFonts w:cs="Times New Roman"/>
          <w:lang w:val="zh-CN"/>
        </w:rPr>
        <w:t>m³/d），其中循环量为</w:t>
      </w:r>
      <w:r>
        <w:rPr>
          <w:rFonts w:hint="eastAsia" w:cs="Times New Roman"/>
        </w:rPr>
        <w:t>27.8</w:t>
      </w:r>
      <w:r>
        <w:rPr>
          <w:rFonts w:cs="Times New Roman"/>
          <w:lang w:val="zh-CN"/>
        </w:rPr>
        <w:t>m³/d，损耗量为</w:t>
      </w:r>
      <w:r>
        <w:rPr>
          <w:rFonts w:cs="Times New Roman"/>
        </w:rPr>
        <w:t>3.</w:t>
      </w:r>
      <w:r>
        <w:rPr>
          <w:rFonts w:hint="eastAsia" w:cs="Times New Roman"/>
        </w:rPr>
        <w:t>1</w:t>
      </w:r>
      <w:r>
        <w:rPr>
          <w:rFonts w:cs="Times New Roman"/>
          <w:lang w:val="zh-CN"/>
        </w:rPr>
        <w:t>m³/d。根据本项目原料特点，破碎及清洗废水中主要污染物为SS，经三级沉淀处理后回用于破碎、清洗工序，不外排。</w:t>
      </w:r>
    </w:p>
    <w:p>
      <w:pPr>
        <w:pStyle w:val="7"/>
        <w:adjustRightInd w:val="0"/>
        <w:snapToGrid w:val="0"/>
        <w:ind w:firstLine="480"/>
        <w:rPr>
          <w:rFonts w:cs="Times New Roman"/>
          <w:lang w:val="zh-CN"/>
        </w:rPr>
      </w:pPr>
      <w:r>
        <w:rPr>
          <w:rFonts w:cs="Times New Roman"/>
          <w:lang w:val="zh-CN"/>
        </w:rPr>
        <w:t>另外，再生塑料颗粒料冷却</w:t>
      </w:r>
      <w:r>
        <w:rPr>
          <w:rFonts w:hint="eastAsia" w:cs="Times New Roman"/>
          <w:lang w:val="zh-CN"/>
        </w:rPr>
        <w:t>及产品冷却定型</w:t>
      </w:r>
      <w:r>
        <w:rPr>
          <w:rFonts w:cs="Times New Roman"/>
          <w:lang w:val="zh-CN"/>
        </w:rPr>
        <w:t>用水量为</w:t>
      </w:r>
      <w:r>
        <w:rPr>
          <w:rFonts w:cs="Times New Roman"/>
        </w:rPr>
        <w:t>8</w:t>
      </w:r>
      <w:r>
        <w:rPr>
          <w:rFonts w:cs="Times New Roman"/>
          <w:lang w:val="zh-CN"/>
        </w:rPr>
        <w:t>m</w:t>
      </w:r>
      <w:r>
        <w:rPr>
          <w:rFonts w:cs="Times New Roman"/>
          <w:vertAlign w:val="superscript"/>
          <w:lang w:val="zh-CN"/>
        </w:rPr>
        <w:t>3</w:t>
      </w:r>
      <w:r>
        <w:rPr>
          <w:rFonts w:cs="Times New Roman"/>
          <w:lang w:val="zh-CN"/>
        </w:rPr>
        <w:t>/d，循环量为</w:t>
      </w:r>
      <w:r>
        <w:rPr>
          <w:rFonts w:cs="Times New Roman"/>
        </w:rPr>
        <w:t>7.6</w:t>
      </w:r>
      <w:r>
        <w:rPr>
          <w:rFonts w:cs="Times New Roman"/>
          <w:lang w:val="zh-CN"/>
        </w:rPr>
        <w:t>m</w:t>
      </w:r>
      <w:r>
        <w:rPr>
          <w:rFonts w:cs="Times New Roman"/>
          <w:vertAlign w:val="superscript"/>
          <w:lang w:val="zh-CN"/>
        </w:rPr>
        <w:t>3</w:t>
      </w:r>
      <w:r>
        <w:rPr>
          <w:rFonts w:cs="Times New Roman"/>
          <w:lang w:val="zh-CN"/>
        </w:rPr>
        <w:t>/d，损耗量为0.</w:t>
      </w:r>
      <w:r>
        <w:rPr>
          <w:rFonts w:cs="Times New Roman"/>
        </w:rPr>
        <w:t>4</w:t>
      </w:r>
      <w:r>
        <w:rPr>
          <w:rFonts w:cs="Times New Roman"/>
          <w:lang w:val="zh-CN"/>
        </w:rPr>
        <w:t>m</w:t>
      </w:r>
      <w:r>
        <w:rPr>
          <w:rFonts w:cs="Times New Roman"/>
          <w:vertAlign w:val="superscript"/>
          <w:lang w:val="zh-CN"/>
        </w:rPr>
        <w:t>3</w:t>
      </w:r>
      <w:r>
        <w:rPr>
          <w:rFonts w:cs="Times New Roman"/>
          <w:lang w:val="zh-CN"/>
        </w:rPr>
        <w:t>/d，循环使用不外排。</w:t>
      </w:r>
    </w:p>
    <w:p>
      <w:pPr>
        <w:pStyle w:val="7"/>
        <w:adjustRightInd w:val="0"/>
        <w:snapToGrid w:val="0"/>
        <w:ind w:firstLine="482"/>
        <w:rPr>
          <w:rFonts w:cs="Times New Roman"/>
          <w:b/>
          <w:bCs/>
          <w:lang w:val="zh-CN"/>
        </w:rPr>
      </w:pPr>
      <w:r>
        <w:rPr>
          <w:rFonts w:cs="Times New Roman"/>
          <w:b/>
          <w:bCs/>
          <w:lang w:val="zh-CN"/>
        </w:rPr>
        <w:t>（</w:t>
      </w:r>
      <w:r>
        <w:rPr>
          <w:rFonts w:cs="Times New Roman"/>
          <w:b/>
          <w:bCs/>
        </w:rPr>
        <w:t>2</w:t>
      </w:r>
      <w:r>
        <w:rPr>
          <w:rFonts w:cs="Times New Roman"/>
          <w:b/>
          <w:bCs/>
          <w:lang w:val="zh-CN"/>
        </w:rPr>
        <w:t>）生活污水</w:t>
      </w:r>
    </w:p>
    <w:p>
      <w:pPr>
        <w:pStyle w:val="7"/>
        <w:ind w:firstLine="480"/>
        <w:rPr>
          <w:rFonts w:cs="Times New Roman"/>
          <w:lang w:val="zh-CN"/>
        </w:rPr>
      </w:pPr>
      <w:r>
        <w:rPr>
          <w:rFonts w:cs="Times New Roman"/>
          <w:lang w:val="zh-CN"/>
        </w:rPr>
        <w:t>项目劳动定员</w:t>
      </w:r>
      <w:r>
        <w:rPr>
          <w:rFonts w:cs="Times New Roman"/>
        </w:rPr>
        <w:t>30</w:t>
      </w:r>
      <w:r>
        <w:rPr>
          <w:rFonts w:cs="Times New Roman"/>
          <w:lang w:val="zh-CN"/>
        </w:rPr>
        <w:t>人，厂内不设淋浴设施，生活用水量按照</w:t>
      </w:r>
      <w:r>
        <w:rPr>
          <w:rFonts w:cs="Times New Roman"/>
        </w:rPr>
        <w:t>100</w:t>
      </w:r>
      <w:r>
        <w:rPr>
          <w:rFonts w:cs="Times New Roman"/>
          <w:lang w:val="zh-CN"/>
        </w:rPr>
        <w:t>L/人•d计，项目年运行180天，生活用水量为</w:t>
      </w:r>
      <w:r>
        <w:rPr>
          <w:rFonts w:cs="Times New Roman"/>
        </w:rPr>
        <w:t>540</w:t>
      </w:r>
      <w:r>
        <w:rPr>
          <w:rFonts w:cs="Times New Roman"/>
          <w:lang w:val="zh-CN"/>
        </w:rPr>
        <w:t>m³/a。生活污水产生量按照用水量的80%计，则生活污水产生量为</w:t>
      </w:r>
      <w:r>
        <w:rPr>
          <w:rFonts w:cs="Times New Roman"/>
        </w:rPr>
        <w:t>432</w:t>
      </w:r>
      <w:r>
        <w:rPr>
          <w:rFonts w:cs="Times New Roman"/>
          <w:lang w:val="zh-CN"/>
        </w:rPr>
        <w:t>m³/a。生活污水中的主要污染物为CODcr、BOD</w:t>
      </w:r>
      <w:r>
        <w:rPr>
          <w:rFonts w:cs="Times New Roman"/>
          <w:vertAlign w:val="subscript"/>
          <w:lang w:val="zh-CN"/>
        </w:rPr>
        <w:t>5</w:t>
      </w:r>
      <w:r>
        <w:rPr>
          <w:rFonts w:cs="Times New Roman"/>
          <w:lang w:val="zh-CN"/>
        </w:rPr>
        <w:t>、SS、氨氮等。由于本项目生活污水产生量小，且项目主要在冬季生产，自建生活污水处理设施成本高，且处理效果不好。因此建设单位在厂区建设了一座30m³的化粪池临时储存生活污水，定期</w:t>
      </w:r>
      <w:r>
        <w:rPr>
          <w:rFonts w:hint="eastAsia" w:cs="Times New Roman"/>
          <w:lang w:val="zh-CN"/>
        </w:rPr>
        <w:t>由环卫部门拉运统一处理</w:t>
      </w:r>
      <w:r>
        <w:rPr>
          <w:rFonts w:cs="Times New Roman"/>
          <w:lang w:val="zh-CN"/>
        </w:rPr>
        <w:t>。生活污水中主要污染物产排情况详见</w:t>
      </w:r>
      <w:r>
        <w:rPr>
          <w:rFonts w:hint="eastAsia" w:cs="Times New Roman"/>
        </w:rPr>
        <w:t>表3.3-6</w:t>
      </w:r>
      <w:r>
        <w:rPr>
          <w:rFonts w:cs="Times New Roman"/>
          <w:lang w:val="zh-CN"/>
        </w:rPr>
        <w:t>。</w:t>
      </w:r>
    </w:p>
    <w:p>
      <w:pPr>
        <w:pStyle w:val="36"/>
        <w:spacing w:before="156"/>
        <w:rPr>
          <w:rFonts w:eastAsia="宋体"/>
        </w:rPr>
      </w:pPr>
      <w:bookmarkStart w:id="66" w:name="_Ref111449441"/>
      <w:r>
        <w:rPr>
          <w:rFonts w:eastAsia="宋体"/>
        </w:rPr>
        <w:t>表</w:t>
      </w:r>
      <w:r>
        <w:rPr>
          <w:rFonts w:hint="eastAsia" w:eastAsia="宋体"/>
        </w:rPr>
        <w:t>3.3-6</w:t>
      </w:r>
      <w:bookmarkEnd w:id="66"/>
      <w:r>
        <w:rPr>
          <w:rFonts w:eastAsia="宋体"/>
        </w:rPr>
        <w:t xml:space="preserve">  生活污水产排情况表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459"/>
        <w:gridCol w:w="1684"/>
        <w:gridCol w:w="2192"/>
        <w:gridCol w:w="1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30" w:type="pct"/>
            <w:tcBorders>
              <w:tl2br w:val="nil"/>
              <w:tr2bl w:val="nil"/>
            </w:tcBorders>
            <w:vAlign w:val="center"/>
          </w:tcPr>
          <w:p>
            <w:pPr>
              <w:pStyle w:val="34"/>
            </w:pPr>
            <w:r>
              <w:t>废水来源</w:t>
            </w:r>
          </w:p>
        </w:tc>
        <w:tc>
          <w:tcPr>
            <w:tcW w:w="855" w:type="pct"/>
            <w:tcBorders>
              <w:tl2br w:val="nil"/>
              <w:tr2bl w:val="nil"/>
            </w:tcBorders>
            <w:vAlign w:val="center"/>
          </w:tcPr>
          <w:p>
            <w:pPr>
              <w:pStyle w:val="34"/>
            </w:pPr>
            <w:r>
              <w:t>废水量（t/a）</w:t>
            </w:r>
          </w:p>
        </w:tc>
        <w:tc>
          <w:tcPr>
            <w:tcW w:w="987" w:type="pct"/>
            <w:tcBorders>
              <w:tl2br w:val="nil"/>
              <w:tr2bl w:val="nil"/>
            </w:tcBorders>
            <w:vAlign w:val="center"/>
          </w:tcPr>
          <w:p>
            <w:pPr>
              <w:pStyle w:val="34"/>
            </w:pPr>
            <w:r>
              <w:t>污染物</w:t>
            </w:r>
          </w:p>
        </w:tc>
        <w:tc>
          <w:tcPr>
            <w:tcW w:w="1285" w:type="pct"/>
            <w:tcBorders>
              <w:tl2br w:val="nil"/>
              <w:tr2bl w:val="nil"/>
            </w:tcBorders>
            <w:vAlign w:val="center"/>
          </w:tcPr>
          <w:p>
            <w:pPr>
              <w:pStyle w:val="34"/>
            </w:pPr>
            <w:r>
              <w:t>产生浓度（mg/L）</w:t>
            </w:r>
          </w:p>
        </w:tc>
        <w:tc>
          <w:tcPr>
            <w:tcW w:w="1041" w:type="pct"/>
            <w:tcBorders>
              <w:tl2br w:val="nil"/>
              <w:tr2bl w:val="nil"/>
            </w:tcBorders>
            <w:vAlign w:val="center"/>
          </w:tcPr>
          <w:p>
            <w:pPr>
              <w:pStyle w:val="34"/>
            </w:pPr>
            <w: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0" w:type="pct"/>
            <w:vMerge w:val="restart"/>
            <w:tcBorders>
              <w:tl2br w:val="nil"/>
              <w:tr2bl w:val="nil"/>
            </w:tcBorders>
            <w:vAlign w:val="center"/>
          </w:tcPr>
          <w:p>
            <w:pPr>
              <w:pStyle w:val="34"/>
            </w:pPr>
            <w:r>
              <w:t>生活污水</w:t>
            </w:r>
          </w:p>
        </w:tc>
        <w:tc>
          <w:tcPr>
            <w:tcW w:w="855" w:type="pct"/>
            <w:vMerge w:val="restart"/>
            <w:tcBorders>
              <w:tl2br w:val="nil"/>
              <w:tr2bl w:val="nil"/>
            </w:tcBorders>
            <w:vAlign w:val="center"/>
          </w:tcPr>
          <w:p>
            <w:pPr>
              <w:pStyle w:val="34"/>
            </w:pPr>
            <w:r>
              <w:t>432</w:t>
            </w:r>
          </w:p>
        </w:tc>
        <w:tc>
          <w:tcPr>
            <w:tcW w:w="987" w:type="pct"/>
            <w:tcBorders>
              <w:tl2br w:val="nil"/>
              <w:tr2bl w:val="nil"/>
            </w:tcBorders>
          </w:tcPr>
          <w:p>
            <w:pPr>
              <w:pStyle w:val="34"/>
            </w:pPr>
            <w:r>
              <w:t>CODcr</w:t>
            </w:r>
          </w:p>
        </w:tc>
        <w:tc>
          <w:tcPr>
            <w:tcW w:w="1285" w:type="pct"/>
            <w:tcBorders>
              <w:tl2br w:val="nil"/>
              <w:tr2bl w:val="nil"/>
            </w:tcBorders>
            <w:vAlign w:val="center"/>
          </w:tcPr>
          <w:p>
            <w:pPr>
              <w:pStyle w:val="34"/>
            </w:pPr>
            <w:r>
              <w:t>300</w:t>
            </w:r>
          </w:p>
        </w:tc>
        <w:tc>
          <w:tcPr>
            <w:tcW w:w="1041" w:type="pct"/>
            <w:tcBorders>
              <w:tl2br w:val="nil"/>
              <w:tr2bl w:val="nil"/>
            </w:tcBorders>
            <w:vAlign w:val="center"/>
          </w:tcPr>
          <w:p>
            <w:pPr>
              <w:pStyle w:val="34"/>
            </w:pPr>
            <w:r>
              <w:t>0.1</w:t>
            </w: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0" w:type="pct"/>
            <w:vMerge w:val="continue"/>
            <w:tcBorders>
              <w:tl2br w:val="nil"/>
              <w:tr2bl w:val="nil"/>
            </w:tcBorders>
          </w:tcPr>
          <w:p>
            <w:pPr>
              <w:pStyle w:val="34"/>
            </w:pPr>
          </w:p>
        </w:tc>
        <w:tc>
          <w:tcPr>
            <w:tcW w:w="855" w:type="pct"/>
            <w:vMerge w:val="continue"/>
            <w:tcBorders>
              <w:tl2br w:val="nil"/>
              <w:tr2bl w:val="nil"/>
            </w:tcBorders>
          </w:tcPr>
          <w:p>
            <w:pPr>
              <w:pStyle w:val="34"/>
            </w:pPr>
          </w:p>
        </w:tc>
        <w:tc>
          <w:tcPr>
            <w:tcW w:w="987" w:type="pct"/>
            <w:tcBorders>
              <w:tl2br w:val="nil"/>
              <w:tr2bl w:val="nil"/>
            </w:tcBorders>
          </w:tcPr>
          <w:p>
            <w:pPr>
              <w:pStyle w:val="34"/>
            </w:pPr>
            <w:r>
              <w:t>BOD</w:t>
            </w:r>
            <w:r>
              <w:rPr>
                <w:vertAlign w:val="subscript"/>
              </w:rPr>
              <w:t>5</w:t>
            </w:r>
          </w:p>
        </w:tc>
        <w:tc>
          <w:tcPr>
            <w:tcW w:w="1285" w:type="pct"/>
            <w:tcBorders>
              <w:tl2br w:val="nil"/>
              <w:tr2bl w:val="nil"/>
            </w:tcBorders>
            <w:vAlign w:val="center"/>
          </w:tcPr>
          <w:p>
            <w:pPr>
              <w:pStyle w:val="34"/>
            </w:pPr>
            <w:r>
              <w:t>200</w:t>
            </w:r>
          </w:p>
        </w:tc>
        <w:tc>
          <w:tcPr>
            <w:tcW w:w="1041" w:type="pct"/>
            <w:tcBorders>
              <w:tl2br w:val="nil"/>
              <w:tr2bl w:val="nil"/>
            </w:tcBorders>
            <w:vAlign w:val="center"/>
          </w:tcPr>
          <w:p>
            <w:pPr>
              <w:pStyle w:val="34"/>
            </w:pPr>
            <w:r>
              <w:t>0.0</w:t>
            </w:r>
            <w:r>
              <w:rPr>
                <w:rFonts w:hint="eastAsia"/>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0" w:type="pct"/>
            <w:vMerge w:val="continue"/>
            <w:tcBorders>
              <w:tl2br w:val="nil"/>
              <w:tr2bl w:val="nil"/>
            </w:tcBorders>
          </w:tcPr>
          <w:p>
            <w:pPr>
              <w:pStyle w:val="34"/>
            </w:pPr>
          </w:p>
        </w:tc>
        <w:tc>
          <w:tcPr>
            <w:tcW w:w="855" w:type="pct"/>
            <w:vMerge w:val="continue"/>
            <w:tcBorders>
              <w:tl2br w:val="nil"/>
              <w:tr2bl w:val="nil"/>
            </w:tcBorders>
          </w:tcPr>
          <w:p>
            <w:pPr>
              <w:pStyle w:val="34"/>
            </w:pPr>
          </w:p>
        </w:tc>
        <w:tc>
          <w:tcPr>
            <w:tcW w:w="987" w:type="pct"/>
            <w:tcBorders>
              <w:tl2br w:val="nil"/>
              <w:tr2bl w:val="nil"/>
            </w:tcBorders>
          </w:tcPr>
          <w:p>
            <w:pPr>
              <w:pStyle w:val="34"/>
            </w:pPr>
            <w:r>
              <w:t>NH</w:t>
            </w:r>
            <w:r>
              <w:rPr>
                <w:vertAlign w:val="subscript"/>
              </w:rPr>
              <w:t>3</w:t>
            </w:r>
            <w:r>
              <w:t xml:space="preserve">-N </w:t>
            </w:r>
          </w:p>
        </w:tc>
        <w:tc>
          <w:tcPr>
            <w:tcW w:w="1285" w:type="pct"/>
            <w:tcBorders>
              <w:tl2br w:val="nil"/>
              <w:tr2bl w:val="nil"/>
            </w:tcBorders>
            <w:vAlign w:val="center"/>
          </w:tcPr>
          <w:p>
            <w:pPr>
              <w:pStyle w:val="34"/>
            </w:pPr>
            <w:r>
              <w:t>30</w:t>
            </w:r>
          </w:p>
        </w:tc>
        <w:tc>
          <w:tcPr>
            <w:tcW w:w="1041" w:type="pct"/>
            <w:tcBorders>
              <w:tl2br w:val="nil"/>
              <w:tr2bl w:val="nil"/>
            </w:tcBorders>
            <w:vAlign w:val="center"/>
          </w:tcPr>
          <w:p>
            <w:pPr>
              <w:pStyle w:val="34"/>
            </w:pPr>
            <w: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0" w:type="pct"/>
            <w:vMerge w:val="continue"/>
            <w:tcBorders>
              <w:tl2br w:val="nil"/>
              <w:tr2bl w:val="nil"/>
            </w:tcBorders>
          </w:tcPr>
          <w:p>
            <w:pPr>
              <w:pStyle w:val="34"/>
            </w:pPr>
          </w:p>
        </w:tc>
        <w:tc>
          <w:tcPr>
            <w:tcW w:w="855" w:type="pct"/>
            <w:vMerge w:val="continue"/>
            <w:tcBorders>
              <w:tl2br w:val="nil"/>
              <w:tr2bl w:val="nil"/>
            </w:tcBorders>
          </w:tcPr>
          <w:p>
            <w:pPr>
              <w:pStyle w:val="34"/>
            </w:pPr>
          </w:p>
        </w:tc>
        <w:tc>
          <w:tcPr>
            <w:tcW w:w="987" w:type="pct"/>
            <w:tcBorders>
              <w:tl2br w:val="nil"/>
              <w:tr2bl w:val="nil"/>
            </w:tcBorders>
          </w:tcPr>
          <w:p>
            <w:pPr>
              <w:pStyle w:val="34"/>
            </w:pPr>
            <w:r>
              <w:t>SS</w:t>
            </w:r>
          </w:p>
        </w:tc>
        <w:tc>
          <w:tcPr>
            <w:tcW w:w="1285" w:type="pct"/>
            <w:tcBorders>
              <w:tl2br w:val="nil"/>
              <w:tr2bl w:val="nil"/>
            </w:tcBorders>
            <w:vAlign w:val="center"/>
          </w:tcPr>
          <w:p>
            <w:pPr>
              <w:pStyle w:val="34"/>
            </w:pPr>
            <w:r>
              <w:t>150</w:t>
            </w:r>
          </w:p>
        </w:tc>
        <w:tc>
          <w:tcPr>
            <w:tcW w:w="1041" w:type="pct"/>
            <w:tcBorders>
              <w:tl2br w:val="nil"/>
              <w:tr2bl w:val="nil"/>
            </w:tcBorders>
            <w:vAlign w:val="center"/>
          </w:tcPr>
          <w:p>
            <w:pPr>
              <w:pStyle w:val="34"/>
            </w:pPr>
            <w:r>
              <w:t>0.06</w:t>
            </w:r>
          </w:p>
        </w:tc>
      </w:tr>
    </w:tbl>
    <w:p>
      <w:pPr>
        <w:pStyle w:val="6"/>
        <w:spacing w:after="0" w:afterLines="0"/>
        <w:rPr>
          <w:lang w:val="en-US"/>
        </w:rPr>
      </w:pPr>
      <w:r>
        <w:rPr>
          <w:lang w:val="en-US"/>
        </w:rPr>
        <w:t>噪声</w:t>
      </w:r>
    </w:p>
    <w:p>
      <w:pPr>
        <w:pStyle w:val="7"/>
        <w:ind w:firstLine="480"/>
        <w:rPr>
          <w:rFonts w:cs="Times New Roman"/>
          <w:lang w:val="zh-CN"/>
        </w:rPr>
      </w:pPr>
      <w:r>
        <w:rPr>
          <w:rFonts w:cs="Times New Roman"/>
          <w:lang w:val="zh-CN"/>
        </w:rPr>
        <w:t>本项目运营期噪声主要来源于破碎机、洗料机、提料机、造粒机、滴灌带机、水带机等设备，主要噪声源强见</w:t>
      </w:r>
      <w:r>
        <w:rPr>
          <w:rFonts w:hint="eastAsia" w:cs="Times New Roman"/>
        </w:rPr>
        <w:t>表3.3-7</w:t>
      </w:r>
      <w:r>
        <w:rPr>
          <w:rFonts w:cs="Times New Roman"/>
          <w:lang w:val="zh-CN"/>
        </w:rPr>
        <w:t>。</w:t>
      </w:r>
    </w:p>
    <w:p>
      <w:pPr>
        <w:pStyle w:val="36"/>
        <w:spacing w:before="156"/>
        <w:rPr>
          <w:rFonts w:eastAsia="宋体"/>
        </w:rPr>
      </w:pPr>
      <w:bookmarkStart w:id="67" w:name="_Ref112150239"/>
      <w:r>
        <w:rPr>
          <w:rFonts w:eastAsia="宋体"/>
        </w:rPr>
        <w:t>表</w:t>
      </w:r>
      <w:r>
        <w:rPr>
          <w:rFonts w:hint="eastAsia" w:eastAsia="宋体"/>
        </w:rPr>
        <w:t>3.3-7</w:t>
      </w:r>
      <w:bookmarkEnd w:id="67"/>
      <w:r>
        <w:rPr>
          <w:rFonts w:eastAsia="宋体"/>
        </w:rPr>
        <w:t xml:space="preserve">  项目主要噪声源强一览表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525"/>
        <w:gridCol w:w="1121"/>
        <w:gridCol w:w="1113"/>
        <w:gridCol w:w="1443"/>
        <w:gridCol w:w="1598"/>
        <w:gridCol w:w="11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vAlign w:val="center"/>
          </w:tcPr>
          <w:p>
            <w:pPr>
              <w:pStyle w:val="34"/>
            </w:pPr>
            <w:r>
              <w:t>序号</w:t>
            </w:r>
          </w:p>
        </w:tc>
        <w:tc>
          <w:tcPr>
            <w:tcW w:w="0" w:type="auto"/>
            <w:tcBorders>
              <w:tl2br w:val="nil"/>
              <w:tr2bl w:val="nil"/>
            </w:tcBorders>
            <w:vAlign w:val="center"/>
          </w:tcPr>
          <w:p>
            <w:pPr>
              <w:pStyle w:val="34"/>
            </w:pPr>
            <w:r>
              <w:t>设备名称</w:t>
            </w:r>
          </w:p>
        </w:tc>
        <w:tc>
          <w:tcPr>
            <w:tcW w:w="0" w:type="auto"/>
            <w:tcBorders>
              <w:tl2br w:val="nil"/>
              <w:tr2bl w:val="nil"/>
            </w:tcBorders>
            <w:vAlign w:val="center"/>
          </w:tcPr>
          <w:p>
            <w:pPr>
              <w:pStyle w:val="34"/>
            </w:pPr>
            <w:r>
              <w:t>数量（台）</w:t>
            </w:r>
          </w:p>
        </w:tc>
        <w:tc>
          <w:tcPr>
            <w:tcW w:w="0" w:type="auto"/>
            <w:tcBorders>
              <w:tl2br w:val="nil"/>
              <w:tr2bl w:val="nil"/>
            </w:tcBorders>
            <w:vAlign w:val="center"/>
          </w:tcPr>
          <w:p>
            <w:pPr>
              <w:pStyle w:val="34"/>
            </w:pPr>
            <w:r>
              <w:t>位置</w:t>
            </w:r>
          </w:p>
        </w:tc>
        <w:tc>
          <w:tcPr>
            <w:tcW w:w="0" w:type="auto"/>
            <w:tcBorders>
              <w:tl2br w:val="nil"/>
              <w:tr2bl w:val="nil"/>
            </w:tcBorders>
            <w:vAlign w:val="center"/>
          </w:tcPr>
          <w:p>
            <w:pPr>
              <w:pStyle w:val="34"/>
            </w:pPr>
            <w:r>
              <w:t>声功率级[dB(A)]</w:t>
            </w:r>
          </w:p>
        </w:tc>
        <w:tc>
          <w:tcPr>
            <w:tcW w:w="0" w:type="auto"/>
            <w:tcBorders>
              <w:tl2br w:val="nil"/>
              <w:tr2bl w:val="nil"/>
            </w:tcBorders>
            <w:vAlign w:val="center"/>
          </w:tcPr>
          <w:p>
            <w:pPr>
              <w:pStyle w:val="34"/>
            </w:pPr>
            <w:r>
              <w:t>治理措施</w:t>
            </w:r>
          </w:p>
        </w:tc>
        <w:tc>
          <w:tcPr>
            <w:tcW w:w="0" w:type="auto"/>
            <w:tcBorders>
              <w:tl2br w:val="nil"/>
              <w:tr2bl w:val="nil"/>
            </w:tcBorders>
            <w:vAlign w:val="center"/>
          </w:tcPr>
          <w:p>
            <w:pPr>
              <w:pStyle w:val="34"/>
            </w:pPr>
            <w:r>
              <w:t>消减量dB(A)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vAlign w:val="center"/>
          </w:tcPr>
          <w:p>
            <w:pPr>
              <w:pStyle w:val="34"/>
            </w:pPr>
            <w:r>
              <w:t>1</w:t>
            </w:r>
          </w:p>
        </w:tc>
        <w:tc>
          <w:tcPr>
            <w:tcW w:w="0" w:type="auto"/>
            <w:tcBorders>
              <w:tl2br w:val="nil"/>
              <w:tr2bl w:val="nil"/>
            </w:tcBorders>
            <w:vAlign w:val="center"/>
          </w:tcPr>
          <w:p>
            <w:pPr>
              <w:widowControl/>
              <w:adjustRightInd w:val="0"/>
              <w:snapToGrid w:val="0"/>
              <w:jc w:val="center"/>
              <w:rPr>
                <w:rFonts w:ascii="Times New Roman" w:hAnsi="Times New Roman"/>
              </w:rPr>
            </w:pPr>
            <w:r>
              <w:rPr>
                <w:rFonts w:ascii="Times New Roman" w:hAnsi="Times New Roman"/>
                <w:kern w:val="0"/>
              </w:rPr>
              <w:t>破碎机</w:t>
            </w:r>
          </w:p>
        </w:tc>
        <w:tc>
          <w:tcPr>
            <w:tcW w:w="0" w:type="auto"/>
            <w:tcBorders>
              <w:tl2br w:val="nil"/>
              <w:tr2bl w:val="nil"/>
            </w:tcBorders>
            <w:vAlign w:val="center"/>
          </w:tcPr>
          <w:p>
            <w:pPr>
              <w:adjustRightInd w:val="0"/>
              <w:snapToGrid w:val="0"/>
              <w:jc w:val="center"/>
              <w:rPr>
                <w:rFonts w:ascii="Times New Roman" w:hAnsi="Times New Roman"/>
              </w:rPr>
            </w:pPr>
            <w:r>
              <w:rPr>
                <w:rFonts w:ascii="Times New Roman" w:hAnsi="Times New Roman"/>
                <w:kern w:val="0"/>
              </w:rPr>
              <w:t>1</w:t>
            </w:r>
          </w:p>
        </w:tc>
        <w:tc>
          <w:tcPr>
            <w:tcW w:w="0" w:type="auto"/>
            <w:tcBorders>
              <w:tl2br w:val="nil"/>
              <w:tr2bl w:val="nil"/>
            </w:tcBorders>
            <w:vAlign w:val="center"/>
          </w:tcPr>
          <w:p>
            <w:pPr>
              <w:pStyle w:val="34"/>
            </w:pPr>
            <w:r>
              <w:t>造粒间</w:t>
            </w:r>
          </w:p>
        </w:tc>
        <w:tc>
          <w:tcPr>
            <w:tcW w:w="0" w:type="auto"/>
            <w:tcBorders>
              <w:tl2br w:val="nil"/>
              <w:tr2bl w:val="nil"/>
            </w:tcBorders>
            <w:vAlign w:val="center"/>
          </w:tcPr>
          <w:p>
            <w:pPr>
              <w:pStyle w:val="34"/>
            </w:pPr>
            <w:r>
              <w:t>75</w:t>
            </w:r>
          </w:p>
        </w:tc>
        <w:tc>
          <w:tcPr>
            <w:tcW w:w="0" w:type="auto"/>
            <w:tcBorders>
              <w:tl2br w:val="nil"/>
              <w:tr2bl w:val="nil"/>
            </w:tcBorders>
            <w:vAlign w:val="center"/>
          </w:tcPr>
          <w:p>
            <w:pPr>
              <w:pStyle w:val="34"/>
            </w:pPr>
            <w:r>
              <w:t>基础减振，厂房隔声</w:t>
            </w:r>
          </w:p>
        </w:tc>
        <w:tc>
          <w:tcPr>
            <w:tcW w:w="0" w:type="auto"/>
            <w:tcBorders>
              <w:tl2br w:val="nil"/>
              <w:tr2bl w:val="nil"/>
            </w:tcBorders>
            <w:vAlign w:val="center"/>
          </w:tcPr>
          <w:p>
            <w:pPr>
              <w:pStyle w:val="34"/>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vAlign w:val="center"/>
          </w:tcPr>
          <w:p>
            <w:pPr>
              <w:pStyle w:val="34"/>
            </w:pPr>
            <w:r>
              <w:t>2</w:t>
            </w:r>
          </w:p>
        </w:tc>
        <w:tc>
          <w:tcPr>
            <w:tcW w:w="0" w:type="auto"/>
            <w:tcBorders>
              <w:tl2br w:val="nil"/>
              <w:tr2bl w:val="nil"/>
            </w:tcBorders>
            <w:vAlign w:val="center"/>
          </w:tcPr>
          <w:p>
            <w:pPr>
              <w:widowControl/>
              <w:adjustRightInd w:val="0"/>
              <w:snapToGrid w:val="0"/>
              <w:jc w:val="center"/>
              <w:rPr>
                <w:rFonts w:ascii="Times New Roman" w:hAnsi="Times New Roman"/>
              </w:rPr>
            </w:pPr>
            <w:r>
              <w:rPr>
                <w:rFonts w:ascii="Times New Roman" w:hAnsi="Times New Roman"/>
                <w:kern w:val="0"/>
              </w:rPr>
              <w:t>洗料机</w:t>
            </w:r>
          </w:p>
        </w:tc>
        <w:tc>
          <w:tcPr>
            <w:tcW w:w="0" w:type="auto"/>
            <w:tcBorders>
              <w:tl2br w:val="nil"/>
              <w:tr2bl w:val="nil"/>
            </w:tcBorders>
            <w:vAlign w:val="center"/>
          </w:tcPr>
          <w:p>
            <w:pPr>
              <w:adjustRightInd w:val="0"/>
              <w:snapToGrid w:val="0"/>
              <w:jc w:val="center"/>
              <w:rPr>
                <w:rFonts w:ascii="Times New Roman" w:hAnsi="Times New Roman"/>
              </w:rPr>
            </w:pPr>
            <w:r>
              <w:rPr>
                <w:rFonts w:ascii="Times New Roman" w:hAnsi="Times New Roman"/>
                <w:kern w:val="0"/>
              </w:rPr>
              <w:t>1</w:t>
            </w:r>
          </w:p>
        </w:tc>
        <w:tc>
          <w:tcPr>
            <w:tcW w:w="0" w:type="auto"/>
            <w:tcBorders>
              <w:tl2br w:val="nil"/>
              <w:tr2bl w:val="nil"/>
            </w:tcBorders>
            <w:vAlign w:val="center"/>
          </w:tcPr>
          <w:p>
            <w:pPr>
              <w:pStyle w:val="34"/>
            </w:pPr>
            <w:r>
              <w:t>造粒间</w:t>
            </w:r>
          </w:p>
        </w:tc>
        <w:tc>
          <w:tcPr>
            <w:tcW w:w="0" w:type="auto"/>
            <w:tcBorders>
              <w:tl2br w:val="nil"/>
              <w:tr2bl w:val="nil"/>
            </w:tcBorders>
            <w:vAlign w:val="center"/>
          </w:tcPr>
          <w:p>
            <w:pPr>
              <w:pStyle w:val="34"/>
            </w:pPr>
            <w:r>
              <w:t>65</w:t>
            </w:r>
          </w:p>
        </w:tc>
        <w:tc>
          <w:tcPr>
            <w:tcW w:w="0" w:type="auto"/>
            <w:tcBorders>
              <w:tl2br w:val="nil"/>
              <w:tr2bl w:val="nil"/>
            </w:tcBorders>
            <w:vAlign w:val="center"/>
          </w:tcPr>
          <w:p>
            <w:pPr>
              <w:pStyle w:val="34"/>
            </w:pPr>
            <w:r>
              <w:t>基础减振，厂房隔声</w:t>
            </w:r>
          </w:p>
        </w:tc>
        <w:tc>
          <w:tcPr>
            <w:tcW w:w="0" w:type="auto"/>
            <w:tcBorders>
              <w:tl2br w:val="nil"/>
              <w:tr2bl w:val="nil"/>
            </w:tcBorders>
            <w:vAlign w:val="center"/>
          </w:tcPr>
          <w:p>
            <w:pPr>
              <w:pStyle w:val="34"/>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vAlign w:val="center"/>
          </w:tcPr>
          <w:p>
            <w:pPr>
              <w:pStyle w:val="34"/>
            </w:pPr>
            <w:r>
              <w:t>3</w:t>
            </w:r>
          </w:p>
        </w:tc>
        <w:tc>
          <w:tcPr>
            <w:tcW w:w="0" w:type="auto"/>
            <w:tcBorders>
              <w:tl2br w:val="nil"/>
              <w:tr2bl w:val="nil"/>
            </w:tcBorders>
            <w:vAlign w:val="center"/>
          </w:tcPr>
          <w:p>
            <w:pPr>
              <w:widowControl/>
              <w:adjustRightInd w:val="0"/>
              <w:snapToGrid w:val="0"/>
              <w:jc w:val="center"/>
              <w:rPr>
                <w:rFonts w:ascii="Times New Roman" w:hAnsi="Times New Roman"/>
              </w:rPr>
            </w:pPr>
            <w:r>
              <w:rPr>
                <w:rFonts w:ascii="Times New Roman" w:hAnsi="Times New Roman"/>
                <w:kern w:val="0"/>
              </w:rPr>
              <w:t>提料机</w:t>
            </w:r>
          </w:p>
        </w:tc>
        <w:tc>
          <w:tcPr>
            <w:tcW w:w="0" w:type="auto"/>
            <w:tcBorders>
              <w:tl2br w:val="nil"/>
              <w:tr2bl w:val="nil"/>
            </w:tcBorders>
            <w:vAlign w:val="center"/>
          </w:tcPr>
          <w:p>
            <w:pPr>
              <w:adjustRightInd w:val="0"/>
              <w:snapToGrid w:val="0"/>
              <w:jc w:val="center"/>
              <w:rPr>
                <w:rFonts w:ascii="Times New Roman" w:hAnsi="Times New Roman"/>
              </w:rPr>
            </w:pPr>
            <w:r>
              <w:rPr>
                <w:rFonts w:ascii="Times New Roman" w:hAnsi="Times New Roman"/>
                <w:kern w:val="0"/>
              </w:rPr>
              <w:t>1</w:t>
            </w:r>
          </w:p>
        </w:tc>
        <w:tc>
          <w:tcPr>
            <w:tcW w:w="0" w:type="auto"/>
            <w:tcBorders>
              <w:tl2br w:val="nil"/>
              <w:tr2bl w:val="nil"/>
            </w:tcBorders>
            <w:vAlign w:val="center"/>
          </w:tcPr>
          <w:p>
            <w:pPr>
              <w:pStyle w:val="34"/>
            </w:pPr>
            <w:r>
              <w:t>造粒间</w:t>
            </w:r>
          </w:p>
        </w:tc>
        <w:tc>
          <w:tcPr>
            <w:tcW w:w="0" w:type="auto"/>
            <w:tcBorders>
              <w:tl2br w:val="nil"/>
              <w:tr2bl w:val="nil"/>
            </w:tcBorders>
            <w:vAlign w:val="center"/>
          </w:tcPr>
          <w:p>
            <w:pPr>
              <w:pStyle w:val="34"/>
            </w:pPr>
            <w:r>
              <w:t>70</w:t>
            </w:r>
          </w:p>
        </w:tc>
        <w:tc>
          <w:tcPr>
            <w:tcW w:w="0" w:type="auto"/>
            <w:tcBorders>
              <w:tl2br w:val="nil"/>
              <w:tr2bl w:val="nil"/>
            </w:tcBorders>
            <w:vAlign w:val="center"/>
          </w:tcPr>
          <w:p>
            <w:pPr>
              <w:pStyle w:val="34"/>
            </w:pPr>
            <w:r>
              <w:t>基础减振，厂房隔声</w:t>
            </w:r>
          </w:p>
        </w:tc>
        <w:tc>
          <w:tcPr>
            <w:tcW w:w="0" w:type="auto"/>
            <w:tcBorders>
              <w:tl2br w:val="nil"/>
              <w:tr2bl w:val="nil"/>
            </w:tcBorders>
            <w:vAlign w:val="center"/>
          </w:tcPr>
          <w:p>
            <w:pPr>
              <w:pStyle w:val="34"/>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vAlign w:val="center"/>
          </w:tcPr>
          <w:p>
            <w:pPr>
              <w:pStyle w:val="34"/>
            </w:pPr>
            <w:r>
              <w:t>4</w:t>
            </w:r>
          </w:p>
        </w:tc>
        <w:tc>
          <w:tcPr>
            <w:tcW w:w="0" w:type="auto"/>
            <w:tcBorders>
              <w:tl2br w:val="nil"/>
              <w:tr2bl w:val="nil"/>
            </w:tcBorders>
            <w:vAlign w:val="center"/>
          </w:tcPr>
          <w:p>
            <w:pPr>
              <w:widowControl/>
              <w:adjustRightInd w:val="0"/>
              <w:snapToGrid w:val="0"/>
              <w:jc w:val="center"/>
              <w:rPr>
                <w:rFonts w:ascii="Times New Roman" w:hAnsi="Times New Roman"/>
              </w:rPr>
            </w:pPr>
            <w:r>
              <w:rPr>
                <w:rFonts w:ascii="Times New Roman" w:hAnsi="Times New Roman"/>
                <w:kern w:val="0"/>
              </w:rPr>
              <w:t>造粒机</w:t>
            </w:r>
          </w:p>
        </w:tc>
        <w:tc>
          <w:tcPr>
            <w:tcW w:w="0" w:type="auto"/>
            <w:tcBorders>
              <w:tl2br w:val="nil"/>
              <w:tr2bl w:val="nil"/>
            </w:tcBorders>
            <w:vAlign w:val="center"/>
          </w:tcPr>
          <w:p>
            <w:pPr>
              <w:adjustRightInd w:val="0"/>
              <w:snapToGrid w:val="0"/>
              <w:jc w:val="center"/>
              <w:rPr>
                <w:rFonts w:ascii="Times New Roman" w:hAnsi="Times New Roman"/>
              </w:rPr>
            </w:pPr>
            <w:r>
              <w:rPr>
                <w:rFonts w:ascii="Times New Roman" w:hAnsi="Times New Roman"/>
                <w:kern w:val="0"/>
              </w:rPr>
              <w:t>2</w:t>
            </w:r>
          </w:p>
        </w:tc>
        <w:tc>
          <w:tcPr>
            <w:tcW w:w="0" w:type="auto"/>
            <w:tcBorders>
              <w:tl2br w:val="nil"/>
              <w:tr2bl w:val="nil"/>
            </w:tcBorders>
            <w:vAlign w:val="center"/>
          </w:tcPr>
          <w:p>
            <w:pPr>
              <w:pStyle w:val="34"/>
            </w:pPr>
            <w:r>
              <w:t>造粒间</w:t>
            </w:r>
          </w:p>
        </w:tc>
        <w:tc>
          <w:tcPr>
            <w:tcW w:w="0" w:type="auto"/>
            <w:tcBorders>
              <w:tl2br w:val="nil"/>
              <w:tr2bl w:val="nil"/>
            </w:tcBorders>
            <w:vAlign w:val="center"/>
          </w:tcPr>
          <w:p>
            <w:pPr>
              <w:pStyle w:val="34"/>
            </w:pPr>
            <w:r>
              <w:t>80</w:t>
            </w:r>
          </w:p>
        </w:tc>
        <w:tc>
          <w:tcPr>
            <w:tcW w:w="0" w:type="auto"/>
            <w:tcBorders>
              <w:tl2br w:val="nil"/>
              <w:tr2bl w:val="nil"/>
            </w:tcBorders>
            <w:vAlign w:val="center"/>
          </w:tcPr>
          <w:p>
            <w:pPr>
              <w:pStyle w:val="34"/>
            </w:pPr>
            <w:r>
              <w:t>基础减振，厂房隔声</w:t>
            </w:r>
          </w:p>
        </w:tc>
        <w:tc>
          <w:tcPr>
            <w:tcW w:w="0" w:type="auto"/>
            <w:tcBorders>
              <w:tl2br w:val="nil"/>
              <w:tr2bl w:val="nil"/>
            </w:tcBorders>
            <w:vAlign w:val="center"/>
          </w:tcPr>
          <w:p>
            <w:pPr>
              <w:pStyle w:val="34"/>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vAlign w:val="center"/>
          </w:tcPr>
          <w:p>
            <w:pPr>
              <w:pStyle w:val="34"/>
            </w:pPr>
            <w:r>
              <w:t>5</w:t>
            </w:r>
          </w:p>
        </w:tc>
        <w:tc>
          <w:tcPr>
            <w:tcW w:w="0" w:type="auto"/>
            <w:tcBorders>
              <w:tl2br w:val="nil"/>
              <w:tr2bl w:val="nil"/>
            </w:tcBorders>
            <w:vAlign w:val="center"/>
          </w:tcPr>
          <w:p>
            <w:pPr>
              <w:widowControl/>
              <w:adjustRightInd w:val="0"/>
              <w:snapToGrid w:val="0"/>
              <w:jc w:val="center"/>
              <w:rPr>
                <w:rFonts w:ascii="Times New Roman" w:hAnsi="Times New Roman"/>
              </w:rPr>
            </w:pPr>
            <w:r>
              <w:rPr>
                <w:rFonts w:hint="eastAsia" w:ascii="Times New Roman" w:hAnsi="Times New Roman"/>
                <w:kern w:val="0"/>
              </w:rPr>
              <w:t>双螺杆挤出机</w:t>
            </w:r>
          </w:p>
        </w:tc>
        <w:tc>
          <w:tcPr>
            <w:tcW w:w="0" w:type="auto"/>
            <w:tcBorders>
              <w:tl2br w:val="nil"/>
              <w:tr2bl w:val="nil"/>
            </w:tcBorders>
            <w:vAlign w:val="center"/>
          </w:tcPr>
          <w:p>
            <w:pPr>
              <w:adjustRightInd w:val="0"/>
              <w:snapToGrid w:val="0"/>
              <w:jc w:val="center"/>
              <w:rPr>
                <w:rFonts w:ascii="Times New Roman" w:hAnsi="Times New Roman"/>
              </w:rPr>
            </w:pPr>
            <w:r>
              <w:rPr>
                <w:rFonts w:ascii="Times New Roman" w:hAnsi="Times New Roman"/>
                <w:kern w:val="0"/>
              </w:rPr>
              <w:t>8</w:t>
            </w:r>
          </w:p>
        </w:tc>
        <w:tc>
          <w:tcPr>
            <w:tcW w:w="0" w:type="auto"/>
            <w:tcBorders>
              <w:tl2br w:val="nil"/>
              <w:tr2bl w:val="nil"/>
            </w:tcBorders>
            <w:vAlign w:val="center"/>
          </w:tcPr>
          <w:p>
            <w:pPr>
              <w:pStyle w:val="34"/>
            </w:pPr>
            <w:r>
              <w:t>成品生产车间</w:t>
            </w:r>
          </w:p>
        </w:tc>
        <w:tc>
          <w:tcPr>
            <w:tcW w:w="0" w:type="auto"/>
            <w:tcBorders>
              <w:tl2br w:val="nil"/>
              <w:tr2bl w:val="nil"/>
            </w:tcBorders>
            <w:vAlign w:val="center"/>
          </w:tcPr>
          <w:p>
            <w:pPr>
              <w:pStyle w:val="34"/>
            </w:pPr>
            <w:r>
              <w:t>70</w:t>
            </w:r>
          </w:p>
        </w:tc>
        <w:tc>
          <w:tcPr>
            <w:tcW w:w="0" w:type="auto"/>
            <w:tcBorders>
              <w:tl2br w:val="nil"/>
              <w:tr2bl w:val="nil"/>
            </w:tcBorders>
            <w:vAlign w:val="center"/>
          </w:tcPr>
          <w:p>
            <w:pPr>
              <w:pStyle w:val="34"/>
            </w:pPr>
            <w:r>
              <w:t>基础减振，厂房隔声</w:t>
            </w:r>
          </w:p>
        </w:tc>
        <w:tc>
          <w:tcPr>
            <w:tcW w:w="0" w:type="auto"/>
            <w:tcBorders>
              <w:tl2br w:val="nil"/>
              <w:tr2bl w:val="nil"/>
            </w:tcBorders>
            <w:vAlign w:val="center"/>
          </w:tcPr>
          <w:p>
            <w:pPr>
              <w:pStyle w:val="34"/>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vAlign w:val="center"/>
          </w:tcPr>
          <w:p>
            <w:pPr>
              <w:pStyle w:val="34"/>
            </w:pPr>
            <w:r>
              <w:t>6</w:t>
            </w:r>
          </w:p>
        </w:tc>
        <w:tc>
          <w:tcPr>
            <w:tcW w:w="0" w:type="auto"/>
            <w:tcBorders>
              <w:tl2br w:val="nil"/>
              <w:tr2bl w:val="nil"/>
            </w:tcBorders>
            <w:vAlign w:val="center"/>
          </w:tcPr>
          <w:p>
            <w:pPr>
              <w:widowControl/>
              <w:adjustRightInd w:val="0"/>
              <w:snapToGrid w:val="0"/>
              <w:jc w:val="center"/>
              <w:rPr>
                <w:rFonts w:ascii="Times New Roman" w:hAnsi="Times New Roman"/>
              </w:rPr>
            </w:pPr>
            <w:r>
              <w:rPr>
                <w:rFonts w:hint="eastAsia" w:ascii="Times New Roman" w:hAnsi="Times New Roman"/>
                <w:kern w:val="0"/>
              </w:rPr>
              <w:t>水带生产线成套设备</w:t>
            </w:r>
          </w:p>
        </w:tc>
        <w:tc>
          <w:tcPr>
            <w:tcW w:w="0" w:type="auto"/>
            <w:tcBorders>
              <w:tl2br w:val="nil"/>
              <w:tr2bl w:val="nil"/>
            </w:tcBorders>
            <w:vAlign w:val="center"/>
          </w:tcPr>
          <w:p>
            <w:pPr>
              <w:adjustRightInd w:val="0"/>
              <w:snapToGrid w:val="0"/>
              <w:jc w:val="center"/>
              <w:rPr>
                <w:rFonts w:ascii="Times New Roman" w:hAnsi="Times New Roman"/>
              </w:rPr>
            </w:pPr>
            <w:r>
              <w:rPr>
                <w:rFonts w:ascii="Times New Roman" w:hAnsi="Times New Roman"/>
                <w:kern w:val="0"/>
              </w:rPr>
              <w:t>2</w:t>
            </w:r>
          </w:p>
        </w:tc>
        <w:tc>
          <w:tcPr>
            <w:tcW w:w="0" w:type="auto"/>
            <w:tcBorders>
              <w:tl2br w:val="nil"/>
              <w:tr2bl w:val="nil"/>
            </w:tcBorders>
            <w:vAlign w:val="center"/>
          </w:tcPr>
          <w:p>
            <w:pPr>
              <w:pStyle w:val="34"/>
            </w:pPr>
            <w:r>
              <w:t>成品生产车间</w:t>
            </w:r>
          </w:p>
        </w:tc>
        <w:tc>
          <w:tcPr>
            <w:tcW w:w="0" w:type="auto"/>
            <w:tcBorders>
              <w:tl2br w:val="nil"/>
              <w:tr2bl w:val="nil"/>
            </w:tcBorders>
            <w:vAlign w:val="center"/>
          </w:tcPr>
          <w:p>
            <w:pPr>
              <w:pStyle w:val="34"/>
            </w:pPr>
            <w:r>
              <w:t>75</w:t>
            </w:r>
          </w:p>
        </w:tc>
        <w:tc>
          <w:tcPr>
            <w:tcW w:w="0" w:type="auto"/>
            <w:tcBorders>
              <w:tl2br w:val="nil"/>
              <w:tr2bl w:val="nil"/>
            </w:tcBorders>
            <w:vAlign w:val="center"/>
          </w:tcPr>
          <w:p>
            <w:pPr>
              <w:pStyle w:val="34"/>
            </w:pPr>
            <w:r>
              <w:t>基础减振，厂房隔声</w:t>
            </w:r>
          </w:p>
        </w:tc>
        <w:tc>
          <w:tcPr>
            <w:tcW w:w="0" w:type="auto"/>
            <w:tcBorders>
              <w:tl2br w:val="nil"/>
              <w:tr2bl w:val="nil"/>
            </w:tcBorders>
            <w:vAlign w:val="center"/>
          </w:tcPr>
          <w:p>
            <w:pPr>
              <w:pStyle w:val="34"/>
            </w:pPr>
            <w:r>
              <w:t>20</w:t>
            </w:r>
          </w:p>
        </w:tc>
      </w:tr>
    </w:tbl>
    <w:p>
      <w:pPr>
        <w:pStyle w:val="6"/>
        <w:spacing w:after="0" w:afterLines="0"/>
        <w:rPr>
          <w:lang w:val="en-US"/>
        </w:rPr>
      </w:pPr>
      <w:r>
        <w:rPr>
          <w:lang w:val="en-US"/>
        </w:rPr>
        <w:t>固体废物</w:t>
      </w:r>
    </w:p>
    <w:p>
      <w:pPr>
        <w:pStyle w:val="7"/>
        <w:ind w:firstLine="480"/>
        <w:rPr>
          <w:rFonts w:cs="Times New Roman"/>
          <w:lang w:val="zh-CN"/>
        </w:rPr>
      </w:pPr>
      <w:r>
        <w:rPr>
          <w:rFonts w:cs="Times New Roman"/>
          <w:lang w:val="zh-CN"/>
        </w:rPr>
        <w:t>根据工程分析可知，本项目固体废物包括沉淀池污泥、热熔挤出机产生的废金属滤网、活性炭吸附装置产生的废活性炭、UV光氧催化装置产生的废灯管、设备维护产生的废润滑油及工作人员产生的生活垃圾等。其中滴灌带生产过程产生的不合格品及边角料现场返回造粒工序作原料使用，不按固体废物管理。</w:t>
      </w:r>
    </w:p>
    <w:p>
      <w:pPr>
        <w:pStyle w:val="7"/>
        <w:ind w:firstLine="480"/>
        <w:rPr>
          <w:rFonts w:cs="Times New Roman"/>
          <w:lang w:val="zh-CN"/>
        </w:rPr>
      </w:pPr>
      <w:r>
        <w:rPr>
          <w:rFonts w:cs="Times New Roman"/>
          <w:lang w:val="zh-CN"/>
        </w:rPr>
        <w:t>（1）污泥</w:t>
      </w:r>
    </w:p>
    <w:p>
      <w:pPr>
        <w:pStyle w:val="7"/>
        <w:ind w:firstLine="480"/>
        <w:rPr>
          <w:rFonts w:cs="Times New Roman"/>
          <w:lang w:val="zh-CN"/>
        </w:rPr>
      </w:pPr>
      <w:r>
        <w:rPr>
          <w:rFonts w:cs="Times New Roman"/>
          <w:lang w:val="zh-CN"/>
        </w:rPr>
        <w:t>废旧滴灌带</w:t>
      </w:r>
      <w:r>
        <w:rPr>
          <w:rFonts w:hint="eastAsia" w:cs="Times New Roman"/>
          <w:lang w:val="zh-CN"/>
        </w:rPr>
        <w:t>及废水带</w:t>
      </w:r>
      <w:r>
        <w:rPr>
          <w:rFonts w:cs="Times New Roman"/>
          <w:lang w:val="zh-CN"/>
        </w:rPr>
        <w:t>直接进入破碎机湿式破碎，并对破碎料进行清洗，清洗过程会产生污泥</w:t>
      </w:r>
      <w:r>
        <w:rPr>
          <w:rFonts w:hint="eastAsia" w:cs="Times New Roman"/>
          <w:lang w:val="zh-CN"/>
        </w:rPr>
        <w:t>（分类代码：</w:t>
      </w:r>
      <w:r>
        <w:rPr>
          <w:rFonts w:cs="Times New Roman"/>
          <w:lang w:val="zh-CN"/>
        </w:rPr>
        <w:t>900-099-S07</w:t>
      </w:r>
      <w:r>
        <w:rPr>
          <w:rFonts w:hint="eastAsia" w:cs="Times New Roman"/>
          <w:lang w:val="zh-CN"/>
        </w:rPr>
        <w:t>）。</w:t>
      </w:r>
      <w:r>
        <w:rPr>
          <w:rFonts w:cs="Times New Roman"/>
          <w:lang w:val="zh-CN"/>
        </w:rPr>
        <w:t>根据同类项目运行资料，本项目废旧滴灌带</w:t>
      </w:r>
      <w:r>
        <w:rPr>
          <w:rFonts w:hint="eastAsia" w:cs="Times New Roman"/>
          <w:lang w:val="zh-CN"/>
        </w:rPr>
        <w:t>及废水带</w:t>
      </w:r>
      <w:r>
        <w:rPr>
          <w:rFonts w:cs="Times New Roman"/>
          <w:lang w:val="zh-CN"/>
        </w:rPr>
        <w:t>用量</w:t>
      </w:r>
      <w:r>
        <w:rPr>
          <w:rFonts w:hint="eastAsia" w:cs="Times New Roman"/>
        </w:rPr>
        <w:t>5000</w:t>
      </w:r>
      <w:r>
        <w:rPr>
          <w:rFonts w:cs="Times New Roman"/>
          <w:lang w:val="zh-CN"/>
        </w:rPr>
        <w:t>t/a，则沉淀池污泥产生量为</w:t>
      </w:r>
      <w:r>
        <w:rPr>
          <w:rFonts w:hint="eastAsia" w:cs="Times New Roman"/>
        </w:rPr>
        <w:t>10.25</w:t>
      </w:r>
      <w:r>
        <w:rPr>
          <w:rFonts w:cs="Times New Roman"/>
          <w:lang w:val="zh-CN"/>
        </w:rPr>
        <w:t>t/a，主要成分为泥土，定期清掏，经自然干化后交由环卫部门处置。</w:t>
      </w:r>
    </w:p>
    <w:p>
      <w:pPr>
        <w:pStyle w:val="7"/>
        <w:ind w:firstLine="480"/>
        <w:rPr>
          <w:rFonts w:cs="Times New Roman"/>
          <w:lang w:val="zh-CN"/>
        </w:rPr>
      </w:pPr>
      <w:r>
        <w:rPr>
          <w:rFonts w:cs="Times New Roman"/>
          <w:lang w:val="zh-CN"/>
        </w:rPr>
        <w:t>（2）废滤网</w:t>
      </w:r>
    </w:p>
    <w:p>
      <w:pPr>
        <w:pStyle w:val="7"/>
        <w:ind w:firstLine="480"/>
        <w:rPr>
          <w:rFonts w:cs="Times New Roman"/>
          <w:lang w:val="zh-CN"/>
        </w:rPr>
      </w:pPr>
      <w:r>
        <w:rPr>
          <w:rFonts w:cs="Times New Roman"/>
          <w:lang w:val="zh-CN"/>
        </w:rPr>
        <w:t>项目造粒工段需要进行加热融化，为保证再生颗粒料的质量，需要对熔融态废料进行过滤后再进行造粒，所使用的滤网随着使用时间的延长，网眼会逐渐变小，直至不能使用。根据生产要求，每台热熔挤出机每12小时更换一次滤网，每天需更换2次，本项目共有2台热熔挤出机，每天更换产生废金属滤网共4张，每张过滤网重约0.25kg，则本项目废金属滤网（分类代码：900-009-S59）产生量约为0.18t/a，废滤网上附着少量废塑料杂质。</w:t>
      </w:r>
    </w:p>
    <w:p>
      <w:pPr>
        <w:pStyle w:val="7"/>
        <w:ind w:firstLine="480"/>
        <w:rPr>
          <w:rFonts w:cs="Times New Roman"/>
          <w:lang w:val="zh-CN"/>
        </w:rPr>
      </w:pPr>
      <w:r>
        <w:rPr>
          <w:rFonts w:cs="Times New Roman"/>
          <w:lang w:val="zh-CN"/>
        </w:rPr>
        <w:t>根据《废塑料加工利用污染防治管理规定》“废塑料加工利用单位应当以环境无害化方式处理废塑料加工利用过程产生的残余垃圾、滤网；禁止交不符合环保要求的单位或个人处置。禁止露天焚烧废塑料及加工利用过程产生的残余垃圾、滤网”。本项目废金属滤网附着少量废塑料熔融杂质，为一般工业固体废物，在厂区收集后定期外售给物资回收部门。</w:t>
      </w:r>
    </w:p>
    <w:p>
      <w:pPr>
        <w:pStyle w:val="7"/>
        <w:ind w:firstLine="480"/>
        <w:rPr>
          <w:rFonts w:cs="Times New Roman"/>
          <w:lang w:val="zh-CN"/>
        </w:rPr>
      </w:pPr>
      <w:r>
        <w:rPr>
          <w:rFonts w:cs="Times New Roman"/>
          <w:lang w:val="zh-CN"/>
        </w:rPr>
        <w:t>（3）不合格产品及边角料</w:t>
      </w:r>
    </w:p>
    <w:p>
      <w:pPr>
        <w:pStyle w:val="7"/>
        <w:ind w:firstLine="480"/>
        <w:rPr>
          <w:rFonts w:cs="Times New Roman"/>
          <w:lang w:val="zh-CN"/>
        </w:rPr>
      </w:pPr>
      <w:r>
        <w:rPr>
          <w:rFonts w:cs="Times New Roman"/>
          <w:lang w:val="zh-CN"/>
        </w:rPr>
        <w:t>滴灌带生产线产品定型时会产生残次品及边角料（分类代码：900-003-S17），根据同类项目类比可知，边角料及残次品产生量约为</w:t>
      </w:r>
      <w:r>
        <w:rPr>
          <w:rFonts w:cs="Times New Roman"/>
        </w:rPr>
        <w:t>5.25</w:t>
      </w:r>
      <w:r>
        <w:rPr>
          <w:rFonts w:cs="Times New Roman"/>
          <w:lang w:val="zh-CN"/>
        </w:rPr>
        <w:t>t/a，全部现场直接返回至破碎工序再次破碎造粒利用。根据《固体废物鉴别标准 通则》（GB 34330-2017），不经过贮存或堆积过程，而在现场直接返回到原生产过程或返回其产生过程的物质不作为固体废物管理。</w:t>
      </w:r>
    </w:p>
    <w:p>
      <w:pPr>
        <w:pStyle w:val="7"/>
        <w:ind w:firstLine="480"/>
        <w:rPr>
          <w:rFonts w:cs="Times New Roman"/>
          <w:lang w:val="zh-CN"/>
        </w:rPr>
      </w:pPr>
      <w:r>
        <w:rPr>
          <w:rFonts w:cs="Times New Roman"/>
          <w:lang w:val="zh-CN"/>
        </w:rPr>
        <w:t>（4）废润滑油</w:t>
      </w:r>
    </w:p>
    <w:p>
      <w:pPr>
        <w:pStyle w:val="7"/>
        <w:ind w:firstLine="472"/>
        <w:rPr>
          <w:rFonts w:cs="Times New Roman"/>
          <w:spacing w:val="-2"/>
          <w:lang w:val="zh-CN"/>
        </w:rPr>
      </w:pPr>
      <w:r>
        <w:rPr>
          <w:rFonts w:cs="Times New Roman"/>
          <w:spacing w:val="-2"/>
          <w:lang w:val="zh-CN"/>
        </w:rPr>
        <w:t>本项目生产过程中使用的机械设备需定期更换润滑油以</w:t>
      </w:r>
      <w:r>
        <w:rPr>
          <w:rFonts w:hint="eastAsia" w:cs="Times New Roman"/>
          <w:spacing w:val="-2"/>
          <w:lang w:val="zh-CN"/>
        </w:rPr>
        <w:t>维护</w:t>
      </w:r>
      <w:r>
        <w:rPr>
          <w:rFonts w:cs="Times New Roman"/>
          <w:spacing w:val="-2"/>
          <w:lang w:val="zh-CN"/>
        </w:rPr>
        <w:t>设备正常运转。根据同类项目类比资料，预计每年需更换润滑油0.02t。根据</w:t>
      </w:r>
      <w:bookmarkStart w:id="68" w:name="OLE_LINK8"/>
      <w:r>
        <w:rPr>
          <w:rFonts w:cs="Times New Roman"/>
          <w:spacing w:val="-2"/>
          <w:lang w:val="zh-CN"/>
        </w:rPr>
        <w:t>《国家危险废物名录（202</w:t>
      </w:r>
      <w:r>
        <w:rPr>
          <w:rFonts w:hint="eastAsia" w:cs="Times New Roman"/>
          <w:spacing w:val="-2"/>
          <w:lang w:val="zh-CN"/>
        </w:rPr>
        <w:t>5</w:t>
      </w:r>
      <w:r>
        <w:rPr>
          <w:rFonts w:cs="Times New Roman"/>
          <w:spacing w:val="-2"/>
          <w:lang w:val="zh-CN"/>
        </w:rPr>
        <w:t>年版）》，</w:t>
      </w:r>
      <w:bookmarkEnd w:id="68"/>
      <w:r>
        <w:rPr>
          <w:rFonts w:cs="Times New Roman"/>
          <w:spacing w:val="-2"/>
          <w:lang w:val="zh-CN"/>
        </w:rPr>
        <w:t>废弃润滑油为HW08类危险废物，废物代码为900-214-08。废润滑油采用桶装收集储存，暂存于</w:t>
      </w:r>
      <w:r>
        <w:rPr>
          <w:rFonts w:hint="eastAsia" w:cs="Times New Roman"/>
          <w:spacing w:val="-2"/>
          <w:lang w:val="zh-CN"/>
        </w:rPr>
        <w:t>危废贮存库</w:t>
      </w:r>
      <w:r>
        <w:rPr>
          <w:rFonts w:cs="Times New Roman"/>
          <w:spacing w:val="-2"/>
          <w:lang w:val="zh-CN"/>
        </w:rPr>
        <w:t>，定期交由有资质的单位处置。</w:t>
      </w:r>
    </w:p>
    <w:p>
      <w:pPr>
        <w:pStyle w:val="7"/>
        <w:ind w:firstLine="480"/>
        <w:rPr>
          <w:rFonts w:cs="Times New Roman"/>
          <w:lang w:val="zh-CN"/>
        </w:rPr>
      </w:pPr>
      <w:r>
        <w:rPr>
          <w:rFonts w:cs="Times New Roman"/>
          <w:lang w:val="zh-CN"/>
        </w:rPr>
        <w:t>（5）废UV灯管</w:t>
      </w:r>
    </w:p>
    <w:p>
      <w:pPr>
        <w:pStyle w:val="7"/>
        <w:ind w:firstLine="480"/>
        <w:rPr>
          <w:rFonts w:cs="Times New Roman"/>
          <w:lang w:val="zh-CN"/>
        </w:rPr>
      </w:pPr>
      <w:r>
        <w:rPr>
          <w:rFonts w:cs="Times New Roman"/>
          <w:lang w:val="zh-CN"/>
        </w:rPr>
        <w:t>本项目挥发性有机物采用UV光氧催化装置处理，装置内设置有UV紫外线灯管，该灯管含有汞类物质。UV灯管需定期更换，以保证废气处理效率。根据同类项目类比资料，废灯管产生量约为0.01t/a。根据《国家危险废物名录（202</w:t>
      </w:r>
      <w:r>
        <w:rPr>
          <w:rFonts w:hint="eastAsia" w:cs="Times New Roman"/>
          <w:lang w:val="zh-CN"/>
        </w:rPr>
        <w:t>5</w:t>
      </w:r>
      <w:r>
        <w:rPr>
          <w:rFonts w:cs="Times New Roman"/>
          <w:lang w:val="zh-CN"/>
        </w:rPr>
        <w:t>年版）》，废灯管属于HW29 类含汞废物，危废代码为 900-023-29。废灯管集中收集后在</w:t>
      </w:r>
      <w:r>
        <w:rPr>
          <w:rFonts w:hint="eastAsia" w:cs="Times New Roman"/>
          <w:lang w:val="zh-CN"/>
        </w:rPr>
        <w:t>危废贮存库</w:t>
      </w:r>
      <w:r>
        <w:rPr>
          <w:rFonts w:cs="Times New Roman"/>
          <w:lang w:val="zh-CN"/>
        </w:rPr>
        <w:t>暂存，定期交由有资质的单位处置。</w:t>
      </w:r>
    </w:p>
    <w:p>
      <w:pPr>
        <w:pStyle w:val="7"/>
        <w:ind w:firstLine="480"/>
        <w:rPr>
          <w:rFonts w:cs="Times New Roman"/>
          <w:lang w:val="zh-CN"/>
        </w:rPr>
      </w:pPr>
      <w:r>
        <w:rPr>
          <w:rFonts w:cs="Times New Roman"/>
          <w:lang w:val="zh-CN"/>
        </w:rPr>
        <w:t>（6）废活性炭</w:t>
      </w:r>
    </w:p>
    <w:p>
      <w:pPr>
        <w:pStyle w:val="7"/>
        <w:ind w:firstLine="480"/>
        <w:rPr>
          <w:rFonts w:cs="Times New Roman"/>
          <w:lang w:val="zh-CN"/>
        </w:rPr>
      </w:pPr>
      <w:r>
        <w:rPr>
          <w:rFonts w:cs="Times New Roman"/>
          <w:lang w:val="zh-CN"/>
        </w:rPr>
        <w:t>活性炭吸附装置运行过程中会产生废活性炭，以每吸附1kg挥发性有机气体消耗3kg活性炭计算，本项目挥发性有机气体吸附量约</w:t>
      </w:r>
      <w:r>
        <w:rPr>
          <w:rFonts w:hint="eastAsia" w:cs="Times New Roman"/>
        </w:rPr>
        <w:t>3.075</w:t>
      </w:r>
      <w:r>
        <w:rPr>
          <w:rFonts w:cs="Times New Roman"/>
          <w:lang w:val="zh-CN"/>
        </w:rPr>
        <w:t>t/a，则活性炭使用量约</w:t>
      </w:r>
      <w:r>
        <w:rPr>
          <w:rFonts w:hint="eastAsia" w:cs="Times New Roman"/>
        </w:rPr>
        <w:t>9.225</w:t>
      </w:r>
      <w:r>
        <w:rPr>
          <w:rFonts w:cs="Times New Roman"/>
          <w:lang w:val="zh-CN"/>
        </w:rPr>
        <w:t>t/a，根据《国家危险废物名录（202</w:t>
      </w:r>
      <w:r>
        <w:rPr>
          <w:rFonts w:hint="eastAsia" w:cs="Times New Roman"/>
          <w:lang w:val="zh-CN"/>
        </w:rPr>
        <w:t>5</w:t>
      </w:r>
      <w:r>
        <w:rPr>
          <w:rFonts w:cs="Times New Roman"/>
          <w:lang w:val="zh-CN"/>
        </w:rPr>
        <w:t>年版）》，废活性炭属于HW49类危险废物，危废代码为900-039-49。废活性炭集中收集后在</w:t>
      </w:r>
      <w:r>
        <w:rPr>
          <w:rFonts w:hint="eastAsia" w:cs="Times New Roman"/>
          <w:lang w:val="zh-CN"/>
        </w:rPr>
        <w:t>危废贮存库</w:t>
      </w:r>
      <w:r>
        <w:rPr>
          <w:rFonts w:cs="Times New Roman"/>
          <w:lang w:val="zh-CN"/>
        </w:rPr>
        <w:t>暂存，定期交由有资质的单位处置。</w:t>
      </w:r>
    </w:p>
    <w:p>
      <w:pPr>
        <w:pStyle w:val="7"/>
        <w:ind w:firstLine="480"/>
        <w:rPr>
          <w:rFonts w:cs="Times New Roman"/>
          <w:lang w:val="zh-CN"/>
        </w:rPr>
      </w:pPr>
      <w:r>
        <w:rPr>
          <w:rFonts w:cs="Times New Roman"/>
          <w:lang w:val="zh-CN"/>
        </w:rPr>
        <w:t>（7）生活垃圾</w:t>
      </w:r>
    </w:p>
    <w:p>
      <w:pPr>
        <w:pStyle w:val="7"/>
        <w:ind w:firstLine="480"/>
        <w:rPr>
          <w:rFonts w:cs="Times New Roman"/>
          <w:lang w:val="zh-CN"/>
        </w:rPr>
      </w:pPr>
      <w:r>
        <w:rPr>
          <w:rFonts w:cs="Times New Roman"/>
          <w:lang w:val="zh-CN"/>
        </w:rPr>
        <w:t>本项目劳动定员共</w:t>
      </w:r>
      <w:r>
        <w:rPr>
          <w:rFonts w:cs="Times New Roman"/>
        </w:rPr>
        <w:t>30</w:t>
      </w:r>
      <w:r>
        <w:rPr>
          <w:rFonts w:cs="Times New Roman"/>
          <w:lang w:val="zh-CN"/>
        </w:rPr>
        <w:t>人，生活垃圾产生量按每人</w:t>
      </w:r>
      <w:r>
        <w:rPr>
          <w:rFonts w:hint="eastAsia" w:cs="Times New Roman"/>
          <w:lang w:val="zh-CN"/>
        </w:rPr>
        <w:t>1</w:t>
      </w:r>
      <w:r>
        <w:rPr>
          <w:rFonts w:cs="Times New Roman"/>
          <w:lang w:val="zh-CN"/>
        </w:rPr>
        <w:t>kg/人•d计，生活垃圾的产生量为</w:t>
      </w:r>
      <w:r>
        <w:rPr>
          <w:rFonts w:hint="eastAsia" w:cs="Times New Roman"/>
        </w:rPr>
        <w:t>5.4</w:t>
      </w:r>
      <w:r>
        <w:rPr>
          <w:rFonts w:cs="Times New Roman"/>
          <w:lang w:val="zh-CN"/>
        </w:rPr>
        <w:t>t/a。厂区设置垃圾桶，生活垃圾经集中收集后，由环卫部门定期拉运至当地垃圾填埋场处理。</w:t>
      </w:r>
    </w:p>
    <w:p>
      <w:pPr>
        <w:pStyle w:val="7"/>
        <w:ind w:firstLine="480"/>
        <w:rPr>
          <w:rFonts w:cs="Times New Roman"/>
          <w:lang w:val="zh-CN"/>
        </w:rPr>
        <w:sectPr>
          <w:pgSz w:w="11906" w:h="16838"/>
          <w:pgMar w:top="1440" w:right="1797" w:bottom="1440" w:left="1797" w:header="851" w:footer="992" w:gutter="0"/>
          <w:pgNumType w:fmt="numberInDash"/>
          <w:cols w:space="720" w:num="1"/>
          <w:docGrid w:type="lines" w:linePitch="312" w:charSpace="0"/>
        </w:sectPr>
      </w:pPr>
      <w:r>
        <w:rPr>
          <w:rFonts w:cs="Times New Roman"/>
          <w:lang w:val="zh-CN"/>
        </w:rPr>
        <w:t>项目运营期固体废物产生及处置情况详见</w:t>
      </w:r>
      <w:r>
        <w:rPr>
          <w:rFonts w:hint="eastAsia" w:cs="Times New Roman"/>
        </w:rPr>
        <w:t>表3.3-8</w:t>
      </w:r>
      <w:r>
        <w:rPr>
          <w:rFonts w:cs="Times New Roman"/>
          <w:lang w:val="zh-CN"/>
        </w:rPr>
        <w:t>。</w:t>
      </w:r>
    </w:p>
    <w:p>
      <w:pPr>
        <w:pStyle w:val="36"/>
        <w:spacing w:before="156"/>
        <w:rPr>
          <w:rFonts w:eastAsia="宋体"/>
        </w:rPr>
      </w:pPr>
      <w:bookmarkStart w:id="69" w:name="_Ref111454151"/>
      <w:r>
        <w:rPr>
          <w:rFonts w:eastAsia="宋体"/>
        </w:rPr>
        <w:t>表</w:t>
      </w:r>
      <w:r>
        <w:rPr>
          <w:rFonts w:hint="eastAsia" w:eastAsia="宋体"/>
        </w:rPr>
        <w:t>3.3-8</w:t>
      </w:r>
      <w:bookmarkEnd w:id="69"/>
      <w:r>
        <w:rPr>
          <w:rFonts w:eastAsia="宋体"/>
        </w:rPr>
        <w:t xml:space="preserve">  本项目固体废物汇总表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263"/>
        <w:gridCol w:w="800"/>
        <w:gridCol w:w="1320"/>
        <w:gridCol w:w="937"/>
        <w:gridCol w:w="1862"/>
        <w:gridCol w:w="815"/>
        <w:gridCol w:w="1192"/>
        <w:gridCol w:w="1107"/>
        <w:gridCol w:w="834"/>
        <w:gridCol w:w="724"/>
        <w:gridCol w:w="2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序号</w:t>
            </w:r>
          </w:p>
        </w:tc>
        <w:tc>
          <w:tcPr>
            <w:tcW w:w="445" w:type="pct"/>
            <w:tcBorders>
              <w:tl2br w:val="nil"/>
              <w:tr2bl w:val="nil"/>
            </w:tcBorders>
            <w:vAlign w:val="center"/>
          </w:tcPr>
          <w:p>
            <w:pPr>
              <w:pStyle w:val="34"/>
            </w:pPr>
            <w:r>
              <w:t>固废名称</w:t>
            </w:r>
          </w:p>
        </w:tc>
        <w:tc>
          <w:tcPr>
            <w:tcW w:w="282" w:type="pct"/>
            <w:tcBorders>
              <w:tl2br w:val="nil"/>
              <w:tr2bl w:val="nil"/>
            </w:tcBorders>
            <w:vAlign w:val="center"/>
          </w:tcPr>
          <w:p>
            <w:pPr>
              <w:pStyle w:val="34"/>
            </w:pPr>
            <w:r>
              <w:t>废物类别</w:t>
            </w:r>
          </w:p>
        </w:tc>
        <w:tc>
          <w:tcPr>
            <w:tcW w:w="465" w:type="pct"/>
            <w:tcBorders>
              <w:tl2br w:val="nil"/>
              <w:tr2bl w:val="nil"/>
            </w:tcBorders>
            <w:vAlign w:val="center"/>
          </w:tcPr>
          <w:p>
            <w:pPr>
              <w:pStyle w:val="34"/>
            </w:pPr>
            <w:r>
              <w:t>废物代码</w:t>
            </w:r>
          </w:p>
        </w:tc>
        <w:tc>
          <w:tcPr>
            <w:tcW w:w="330" w:type="pct"/>
            <w:tcBorders>
              <w:tl2br w:val="nil"/>
              <w:tr2bl w:val="nil"/>
            </w:tcBorders>
            <w:vAlign w:val="center"/>
          </w:tcPr>
          <w:p>
            <w:pPr>
              <w:pStyle w:val="34"/>
            </w:pPr>
            <w:r>
              <w:t>产生量（t/a）</w:t>
            </w:r>
          </w:p>
        </w:tc>
        <w:tc>
          <w:tcPr>
            <w:tcW w:w="656" w:type="pct"/>
            <w:tcBorders>
              <w:tl2br w:val="nil"/>
              <w:tr2bl w:val="nil"/>
            </w:tcBorders>
            <w:vAlign w:val="center"/>
          </w:tcPr>
          <w:p>
            <w:pPr>
              <w:pStyle w:val="34"/>
            </w:pPr>
            <w:r>
              <w:t>产生工序或装置</w:t>
            </w:r>
          </w:p>
        </w:tc>
        <w:tc>
          <w:tcPr>
            <w:tcW w:w="287" w:type="pct"/>
            <w:tcBorders>
              <w:tl2br w:val="nil"/>
              <w:tr2bl w:val="nil"/>
            </w:tcBorders>
            <w:vAlign w:val="center"/>
          </w:tcPr>
          <w:p>
            <w:pPr>
              <w:pStyle w:val="34"/>
            </w:pPr>
            <w:r>
              <w:t>形态</w:t>
            </w:r>
          </w:p>
        </w:tc>
        <w:tc>
          <w:tcPr>
            <w:tcW w:w="420" w:type="pct"/>
            <w:tcBorders>
              <w:tl2br w:val="nil"/>
              <w:tr2bl w:val="nil"/>
            </w:tcBorders>
            <w:vAlign w:val="center"/>
          </w:tcPr>
          <w:p>
            <w:pPr>
              <w:pStyle w:val="34"/>
            </w:pPr>
            <w:r>
              <w:t>主要成分</w:t>
            </w:r>
          </w:p>
        </w:tc>
        <w:tc>
          <w:tcPr>
            <w:tcW w:w="390" w:type="pct"/>
            <w:tcBorders>
              <w:tl2br w:val="nil"/>
              <w:tr2bl w:val="nil"/>
            </w:tcBorders>
            <w:vAlign w:val="center"/>
          </w:tcPr>
          <w:p>
            <w:pPr>
              <w:pStyle w:val="34"/>
            </w:pPr>
            <w:r>
              <w:t>有害成分</w:t>
            </w:r>
          </w:p>
        </w:tc>
        <w:tc>
          <w:tcPr>
            <w:tcW w:w="294" w:type="pct"/>
            <w:tcBorders>
              <w:tl2br w:val="nil"/>
              <w:tr2bl w:val="nil"/>
            </w:tcBorders>
            <w:vAlign w:val="center"/>
          </w:tcPr>
          <w:p>
            <w:pPr>
              <w:pStyle w:val="34"/>
            </w:pPr>
            <w:r>
              <w:t>产废周期</w:t>
            </w:r>
          </w:p>
        </w:tc>
        <w:tc>
          <w:tcPr>
            <w:tcW w:w="255" w:type="pct"/>
            <w:tcBorders>
              <w:tl2br w:val="nil"/>
              <w:tr2bl w:val="nil"/>
            </w:tcBorders>
            <w:vAlign w:val="center"/>
          </w:tcPr>
          <w:p>
            <w:pPr>
              <w:pStyle w:val="34"/>
            </w:pPr>
            <w:r>
              <w:t>危险特性</w:t>
            </w:r>
          </w:p>
        </w:tc>
        <w:tc>
          <w:tcPr>
            <w:tcW w:w="1011" w:type="pct"/>
            <w:tcBorders>
              <w:tl2br w:val="nil"/>
              <w:tr2bl w:val="nil"/>
            </w:tcBorders>
            <w:vAlign w:val="center"/>
          </w:tcPr>
          <w:p>
            <w:pPr>
              <w:pStyle w:val="34"/>
            </w:pPr>
            <w: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1</w:t>
            </w:r>
          </w:p>
        </w:tc>
        <w:tc>
          <w:tcPr>
            <w:tcW w:w="445" w:type="pct"/>
            <w:tcBorders>
              <w:tl2br w:val="nil"/>
              <w:tr2bl w:val="nil"/>
            </w:tcBorders>
            <w:vAlign w:val="center"/>
          </w:tcPr>
          <w:p>
            <w:pPr>
              <w:pStyle w:val="34"/>
            </w:pPr>
            <w:r>
              <w:t>污泥</w:t>
            </w:r>
          </w:p>
        </w:tc>
        <w:tc>
          <w:tcPr>
            <w:tcW w:w="282" w:type="pct"/>
            <w:tcBorders>
              <w:tl2br w:val="nil"/>
              <w:tr2bl w:val="nil"/>
            </w:tcBorders>
            <w:vAlign w:val="center"/>
          </w:tcPr>
          <w:p>
            <w:pPr>
              <w:pStyle w:val="34"/>
            </w:pPr>
            <w:r>
              <w:t>一般固废</w:t>
            </w:r>
          </w:p>
        </w:tc>
        <w:tc>
          <w:tcPr>
            <w:tcW w:w="465" w:type="pct"/>
            <w:tcBorders>
              <w:tl2br w:val="nil"/>
              <w:tr2bl w:val="nil"/>
            </w:tcBorders>
            <w:vAlign w:val="center"/>
          </w:tcPr>
          <w:p>
            <w:pPr>
              <w:pStyle w:val="34"/>
            </w:pPr>
            <w:r>
              <w:rPr>
                <w:rFonts w:hint="eastAsia"/>
              </w:rPr>
              <w:t>900-099-S07</w:t>
            </w:r>
          </w:p>
        </w:tc>
        <w:tc>
          <w:tcPr>
            <w:tcW w:w="330" w:type="pct"/>
            <w:tcBorders>
              <w:tl2br w:val="nil"/>
              <w:tr2bl w:val="nil"/>
            </w:tcBorders>
            <w:vAlign w:val="center"/>
          </w:tcPr>
          <w:p>
            <w:pPr>
              <w:pStyle w:val="34"/>
            </w:pPr>
            <w:r>
              <w:rPr>
                <w:rFonts w:hint="eastAsia"/>
              </w:rPr>
              <w:t>10.25</w:t>
            </w:r>
          </w:p>
        </w:tc>
        <w:tc>
          <w:tcPr>
            <w:tcW w:w="656" w:type="pct"/>
            <w:tcBorders>
              <w:tl2br w:val="nil"/>
              <w:tr2bl w:val="nil"/>
            </w:tcBorders>
            <w:vAlign w:val="center"/>
          </w:tcPr>
          <w:p>
            <w:pPr>
              <w:pStyle w:val="34"/>
            </w:pPr>
            <w:r>
              <w:t>原料清洗工序</w:t>
            </w:r>
          </w:p>
        </w:tc>
        <w:tc>
          <w:tcPr>
            <w:tcW w:w="287" w:type="pct"/>
            <w:tcBorders>
              <w:tl2br w:val="nil"/>
              <w:tr2bl w:val="nil"/>
            </w:tcBorders>
            <w:vAlign w:val="center"/>
          </w:tcPr>
          <w:p>
            <w:pPr>
              <w:pStyle w:val="34"/>
            </w:pPr>
            <w:r>
              <w:t>固体</w:t>
            </w:r>
          </w:p>
        </w:tc>
        <w:tc>
          <w:tcPr>
            <w:tcW w:w="420" w:type="pct"/>
            <w:tcBorders>
              <w:tl2br w:val="nil"/>
              <w:tr2bl w:val="nil"/>
            </w:tcBorders>
            <w:vAlign w:val="center"/>
          </w:tcPr>
          <w:p>
            <w:pPr>
              <w:pStyle w:val="34"/>
            </w:pPr>
            <w:r>
              <w:t>泥土、浮渣</w:t>
            </w:r>
          </w:p>
        </w:tc>
        <w:tc>
          <w:tcPr>
            <w:tcW w:w="390" w:type="pct"/>
            <w:tcBorders>
              <w:tl2br w:val="nil"/>
              <w:tr2bl w:val="nil"/>
            </w:tcBorders>
            <w:vAlign w:val="center"/>
          </w:tcPr>
          <w:p>
            <w:pPr>
              <w:pStyle w:val="34"/>
            </w:pPr>
            <w:r>
              <w:t>-</w:t>
            </w:r>
          </w:p>
        </w:tc>
        <w:tc>
          <w:tcPr>
            <w:tcW w:w="294" w:type="pct"/>
            <w:tcBorders>
              <w:tl2br w:val="nil"/>
              <w:tr2bl w:val="nil"/>
            </w:tcBorders>
            <w:vAlign w:val="center"/>
          </w:tcPr>
          <w:p>
            <w:pPr>
              <w:pStyle w:val="34"/>
            </w:pPr>
            <w:r>
              <w:t>半年</w:t>
            </w:r>
          </w:p>
        </w:tc>
        <w:tc>
          <w:tcPr>
            <w:tcW w:w="255" w:type="pct"/>
            <w:tcBorders>
              <w:tl2br w:val="nil"/>
              <w:tr2bl w:val="nil"/>
            </w:tcBorders>
            <w:vAlign w:val="center"/>
          </w:tcPr>
          <w:p>
            <w:pPr>
              <w:pStyle w:val="34"/>
            </w:pPr>
            <w:r>
              <w:t>-</w:t>
            </w:r>
          </w:p>
        </w:tc>
        <w:tc>
          <w:tcPr>
            <w:tcW w:w="1011" w:type="pct"/>
            <w:tcBorders>
              <w:tl2br w:val="nil"/>
              <w:tr2bl w:val="nil"/>
            </w:tcBorders>
            <w:vAlign w:val="center"/>
          </w:tcPr>
          <w:p>
            <w:pPr>
              <w:pStyle w:val="34"/>
            </w:pPr>
            <w:r>
              <w:t>定期清掏，自然干化后交由环卫部门清运处置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2</w:t>
            </w:r>
          </w:p>
        </w:tc>
        <w:tc>
          <w:tcPr>
            <w:tcW w:w="445" w:type="pct"/>
            <w:tcBorders>
              <w:tl2br w:val="nil"/>
              <w:tr2bl w:val="nil"/>
            </w:tcBorders>
            <w:vAlign w:val="center"/>
          </w:tcPr>
          <w:p>
            <w:pPr>
              <w:pStyle w:val="34"/>
            </w:pPr>
            <w:r>
              <w:t>废滤网</w:t>
            </w:r>
          </w:p>
        </w:tc>
        <w:tc>
          <w:tcPr>
            <w:tcW w:w="282" w:type="pct"/>
            <w:tcBorders>
              <w:tl2br w:val="nil"/>
              <w:tr2bl w:val="nil"/>
            </w:tcBorders>
            <w:vAlign w:val="center"/>
          </w:tcPr>
          <w:p>
            <w:pPr>
              <w:pStyle w:val="34"/>
            </w:pPr>
            <w:r>
              <w:t>一般固废</w:t>
            </w:r>
          </w:p>
        </w:tc>
        <w:tc>
          <w:tcPr>
            <w:tcW w:w="465" w:type="pct"/>
            <w:tcBorders>
              <w:tl2br w:val="nil"/>
              <w:tr2bl w:val="nil"/>
            </w:tcBorders>
            <w:vAlign w:val="center"/>
          </w:tcPr>
          <w:p>
            <w:pPr>
              <w:pStyle w:val="34"/>
            </w:pPr>
            <w:r>
              <w:rPr>
                <w:rFonts w:hint="eastAsia"/>
              </w:rPr>
              <w:t>900-009-S59</w:t>
            </w:r>
          </w:p>
        </w:tc>
        <w:tc>
          <w:tcPr>
            <w:tcW w:w="330" w:type="pct"/>
            <w:tcBorders>
              <w:tl2br w:val="nil"/>
              <w:tr2bl w:val="nil"/>
            </w:tcBorders>
            <w:vAlign w:val="center"/>
          </w:tcPr>
          <w:p>
            <w:pPr>
              <w:pStyle w:val="34"/>
            </w:pPr>
            <w:r>
              <w:t>0.18</w:t>
            </w:r>
          </w:p>
        </w:tc>
        <w:tc>
          <w:tcPr>
            <w:tcW w:w="656" w:type="pct"/>
            <w:tcBorders>
              <w:tl2br w:val="nil"/>
              <w:tr2bl w:val="nil"/>
            </w:tcBorders>
            <w:vAlign w:val="center"/>
          </w:tcPr>
          <w:p>
            <w:pPr>
              <w:pStyle w:val="34"/>
            </w:pPr>
            <w:r>
              <w:t>造粒工序</w:t>
            </w:r>
          </w:p>
        </w:tc>
        <w:tc>
          <w:tcPr>
            <w:tcW w:w="287" w:type="pct"/>
            <w:tcBorders>
              <w:tl2br w:val="nil"/>
              <w:tr2bl w:val="nil"/>
            </w:tcBorders>
            <w:vAlign w:val="center"/>
          </w:tcPr>
          <w:p>
            <w:pPr>
              <w:pStyle w:val="34"/>
            </w:pPr>
            <w:r>
              <w:t>固体</w:t>
            </w:r>
          </w:p>
        </w:tc>
        <w:tc>
          <w:tcPr>
            <w:tcW w:w="420" w:type="pct"/>
            <w:tcBorders>
              <w:tl2br w:val="nil"/>
              <w:tr2bl w:val="nil"/>
            </w:tcBorders>
            <w:vAlign w:val="center"/>
          </w:tcPr>
          <w:p>
            <w:pPr>
              <w:pStyle w:val="34"/>
            </w:pPr>
            <w:r>
              <w:t>塑料</w:t>
            </w:r>
          </w:p>
        </w:tc>
        <w:tc>
          <w:tcPr>
            <w:tcW w:w="390" w:type="pct"/>
            <w:tcBorders>
              <w:tl2br w:val="nil"/>
              <w:tr2bl w:val="nil"/>
            </w:tcBorders>
            <w:vAlign w:val="center"/>
          </w:tcPr>
          <w:p>
            <w:pPr>
              <w:pStyle w:val="34"/>
            </w:pPr>
            <w:r>
              <w:t>-</w:t>
            </w:r>
          </w:p>
        </w:tc>
        <w:tc>
          <w:tcPr>
            <w:tcW w:w="294" w:type="pct"/>
            <w:tcBorders>
              <w:tl2br w:val="nil"/>
              <w:tr2bl w:val="nil"/>
            </w:tcBorders>
            <w:vAlign w:val="center"/>
          </w:tcPr>
          <w:p>
            <w:pPr>
              <w:pStyle w:val="34"/>
            </w:pPr>
            <w:r>
              <w:t>1天</w:t>
            </w:r>
          </w:p>
        </w:tc>
        <w:tc>
          <w:tcPr>
            <w:tcW w:w="255" w:type="pct"/>
            <w:tcBorders>
              <w:tl2br w:val="nil"/>
              <w:tr2bl w:val="nil"/>
            </w:tcBorders>
            <w:vAlign w:val="center"/>
          </w:tcPr>
          <w:p>
            <w:pPr>
              <w:pStyle w:val="34"/>
            </w:pPr>
            <w:r>
              <w:t>-</w:t>
            </w:r>
          </w:p>
        </w:tc>
        <w:tc>
          <w:tcPr>
            <w:tcW w:w="1011" w:type="pct"/>
            <w:tcBorders>
              <w:tl2br w:val="nil"/>
              <w:tr2bl w:val="nil"/>
            </w:tcBorders>
            <w:vAlign w:val="center"/>
          </w:tcPr>
          <w:p>
            <w:pPr>
              <w:pStyle w:val="34"/>
            </w:pPr>
            <w:r>
              <w:t>外售物资回收单位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3</w:t>
            </w:r>
          </w:p>
        </w:tc>
        <w:tc>
          <w:tcPr>
            <w:tcW w:w="445" w:type="pct"/>
            <w:tcBorders>
              <w:tl2br w:val="nil"/>
              <w:tr2bl w:val="nil"/>
            </w:tcBorders>
            <w:vAlign w:val="center"/>
          </w:tcPr>
          <w:p>
            <w:pPr>
              <w:pStyle w:val="34"/>
            </w:pPr>
            <w:r>
              <w:t>残次品及边角料</w:t>
            </w:r>
          </w:p>
        </w:tc>
        <w:tc>
          <w:tcPr>
            <w:tcW w:w="282" w:type="pct"/>
            <w:tcBorders>
              <w:tl2br w:val="nil"/>
              <w:tr2bl w:val="nil"/>
            </w:tcBorders>
            <w:vAlign w:val="center"/>
          </w:tcPr>
          <w:p>
            <w:pPr>
              <w:pStyle w:val="34"/>
            </w:pPr>
            <w:r>
              <w:t>一般固废</w:t>
            </w:r>
          </w:p>
        </w:tc>
        <w:tc>
          <w:tcPr>
            <w:tcW w:w="465" w:type="pct"/>
            <w:tcBorders>
              <w:tl2br w:val="nil"/>
              <w:tr2bl w:val="nil"/>
            </w:tcBorders>
            <w:vAlign w:val="center"/>
          </w:tcPr>
          <w:p>
            <w:pPr>
              <w:pStyle w:val="34"/>
            </w:pPr>
            <w:r>
              <w:rPr>
                <w:rFonts w:hint="eastAsia"/>
              </w:rPr>
              <w:t>900-003-S17</w:t>
            </w:r>
          </w:p>
        </w:tc>
        <w:tc>
          <w:tcPr>
            <w:tcW w:w="330" w:type="pct"/>
            <w:tcBorders>
              <w:tl2br w:val="nil"/>
              <w:tr2bl w:val="nil"/>
            </w:tcBorders>
            <w:vAlign w:val="center"/>
          </w:tcPr>
          <w:p>
            <w:pPr>
              <w:pStyle w:val="34"/>
            </w:pPr>
            <w:r>
              <w:t>5.25</w:t>
            </w:r>
          </w:p>
        </w:tc>
        <w:tc>
          <w:tcPr>
            <w:tcW w:w="656" w:type="pct"/>
            <w:tcBorders>
              <w:tl2br w:val="nil"/>
              <w:tr2bl w:val="nil"/>
            </w:tcBorders>
            <w:vAlign w:val="center"/>
          </w:tcPr>
          <w:p>
            <w:pPr>
              <w:pStyle w:val="34"/>
            </w:pPr>
            <w:r>
              <w:t>滴灌带生产工序</w:t>
            </w:r>
          </w:p>
        </w:tc>
        <w:tc>
          <w:tcPr>
            <w:tcW w:w="287" w:type="pct"/>
            <w:tcBorders>
              <w:tl2br w:val="nil"/>
              <w:tr2bl w:val="nil"/>
            </w:tcBorders>
            <w:vAlign w:val="center"/>
          </w:tcPr>
          <w:p>
            <w:pPr>
              <w:pStyle w:val="34"/>
            </w:pPr>
            <w:r>
              <w:t>固体</w:t>
            </w:r>
          </w:p>
        </w:tc>
        <w:tc>
          <w:tcPr>
            <w:tcW w:w="420" w:type="pct"/>
            <w:tcBorders>
              <w:tl2br w:val="nil"/>
              <w:tr2bl w:val="nil"/>
            </w:tcBorders>
            <w:vAlign w:val="center"/>
          </w:tcPr>
          <w:p>
            <w:pPr>
              <w:pStyle w:val="34"/>
            </w:pPr>
            <w:r>
              <w:t>塑料</w:t>
            </w:r>
          </w:p>
        </w:tc>
        <w:tc>
          <w:tcPr>
            <w:tcW w:w="390" w:type="pct"/>
            <w:tcBorders>
              <w:tl2br w:val="nil"/>
              <w:tr2bl w:val="nil"/>
            </w:tcBorders>
            <w:vAlign w:val="center"/>
          </w:tcPr>
          <w:p>
            <w:pPr>
              <w:pStyle w:val="34"/>
            </w:pPr>
            <w:r>
              <w:t>-</w:t>
            </w:r>
          </w:p>
        </w:tc>
        <w:tc>
          <w:tcPr>
            <w:tcW w:w="294" w:type="pct"/>
            <w:tcBorders>
              <w:tl2br w:val="nil"/>
              <w:tr2bl w:val="nil"/>
            </w:tcBorders>
            <w:vAlign w:val="center"/>
          </w:tcPr>
          <w:p>
            <w:pPr>
              <w:pStyle w:val="34"/>
            </w:pPr>
            <w:r>
              <w:t>1天</w:t>
            </w:r>
          </w:p>
        </w:tc>
        <w:tc>
          <w:tcPr>
            <w:tcW w:w="255" w:type="pct"/>
            <w:tcBorders>
              <w:tl2br w:val="nil"/>
              <w:tr2bl w:val="nil"/>
            </w:tcBorders>
            <w:vAlign w:val="center"/>
          </w:tcPr>
          <w:p>
            <w:pPr>
              <w:pStyle w:val="34"/>
            </w:pPr>
            <w:r>
              <w:t>-</w:t>
            </w:r>
          </w:p>
        </w:tc>
        <w:tc>
          <w:tcPr>
            <w:tcW w:w="1011" w:type="pct"/>
            <w:tcBorders>
              <w:tl2br w:val="nil"/>
              <w:tr2bl w:val="nil"/>
            </w:tcBorders>
            <w:vAlign w:val="center"/>
          </w:tcPr>
          <w:p>
            <w:pPr>
              <w:pStyle w:val="34"/>
            </w:pPr>
            <w:r>
              <w:t>返回造粒生产线再利用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4</w:t>
            </w:r>
          </w:p>
        </w:tc>
        <w:tc>
          <w:tcPr>
            <w:tcW w:w="445" w:type="pct"/>
            <w:tcBorders>
              <w:tl2br w:val="nil"/>
              <w:tr2bl w:val="nil"/>
            </w:tcBorders>
            <w:vAlign w:val="center"/>
          </w:tcPr>
          <w:p>
            <w:pPr>
              <w:pStyle w:val="34"/>
            </w:pPr>
            <w:r>
              <w:t>废润滑油</w:t>
            </w:r>
          </w:p>
        </w:tc>
        <w:tc>
          <w:tcPr>
            <w:tcW w:w="282" w:type="pct"/>
            <w:tcBorders>
              <w:tl2br w:val="nil"/>
              <w:tr2bl w:val="nil"/>
            </w:tcBorders>
            <w:vAlign w:val="center"/>
          </w:tcPr>
          <w:p>
            <w:pPr>
              <w:pStyle w:val="34"/>
            </w:pPr>
            <w:r>
              <w:t>危废</w:t>
            </w:r>
          </w:p>
        </w:tc>
        <w:tc>
          <w:tcPr>
            <w:tcW w:w="465" w:type="pct"/>
            <w:tcBorders>
              <w:tl2br w:val="nil"/>
              <w:tr2bl w:val="nil"/>
            </w:tcBorders>
            <w:vAlign w:val="center"/>
          </w:tcPr>
          <w:p>
            <w:pPr>
              <w:pStyle w:val="34"/>
            </w:pPr>
            <w:r>
              <w:t>900-214-08</w:t>
            </w:r>
          </w:p>
        </w:tc>
        <w:tc>
          <w:tcPr>
            <w:tcW w:w="330" w:type="pct"/>
            <w:tcBorders>
              <w:tl2br w:val="nil"/>
              <w:tr2bl w:val="nil"/>
            </w:tcBorders>
            <w:vAlign w:val="center"/>
          </w:tcPr>
          <w:p>
            <w:pPr>
              <w:pStyle w:val="34"/>
            </w:pPr>
            <w:r>
              <w:t>0.02</w:t>
            </w:r>
          </w:p>
        </w:tc>
        <w:tc>
          <w:tcPr>
            <w:tcW w:w="656" w:type="pct"/>
            <w:tcBorders>
              <w:tl2br w:val="nil"/>
              <w:tr2bl w:val="nil"/>
            </w:tcBorders>
            <w:vAlign w:val="center"/>
          </w:tcPr>
          <w:p>
            <w:pPr>
              <w:pStyle w:val="34"/>
            </w:pPr>
            <w:r>
              <w:t>设备维护工序</w:t>
            </w:r>
          </w:p>
        </w:tc>
        <w:tc>
          <w:tcPr>
            <w:tcW w:w="287" w:type="pct"/>
            <w:tcBorders>
              <w:tl2br w:val="nil"/>
              <w:tr2bl w:val="nil"/>
            </w:tcBorders>
            <w:vAlign w:val="center"/>
          </w:tcPr>
          <w:p>
            <w:pPr>
              <w:pStyle w:val="34"/>
            </w:pPr>
            <w:r>
              <w:t>液体</w:t>
            </w:r>
          </w:p>
        </w:tc>
        <w:tc>
          <w:tcPr>
            <w:tcW w:w="420" w:type="pct"/>
            <w:tcBorders>
              <w:tl2br w:val="nil"/>
              <w:tr2bl w:val="nil"/>
            </w:tcBorders>
            <w:vAlign w:val="center"/>
          </w:tcPr>
          <w:p>
            <w:pPr>
              <w:pStyle w:val="34"/>
            </w:pPr>
            <w:r>
              <w:t>油类物质</w:t>
            </w:r>
          </w:p>
        </w:tc>
        <w:tc>
          <w:tcPr>
            <w:tcW w:w="390" w:type="pct"/>
            <w:tcBorders>
              <w:tl2br w:val="nil"/>
              <w:tr2bl w:val="nil"/>
            </w:tcBorders>
            <w:vAlign w:val="center"/>
          </w:tcPr>
          <w:p>
            <w:pPr>
              <w:pStyle w:val="34"/>
            </w:pPr>
            <w:r>
              <w:t>油类物质</w:t>
            </w:r>
          </w:p>
        </w:tc>
        <w:tc>
          <w:tcPr>
            <w:tcW w:w="294" w:type="pct"/>
            <w:tcBorders>
              <w:tl2br w:val="nil"/>
              <w:tr2bl w:val="nil"/>
            </w:tcBorders>
            <w:vAlign w:val="center"/>
          </w:tcPr>
          <w:p>
            <w:pPr>
              <w:pStyle w:val="34"/>
            </w:pPr>
            <w:r>
              <w:t>半年</w:t>
            </w:r>
          </w:p>
        </w:tc>
        <w:tc>
          <w:tcPr>
            <w:tcW w:w="255" w:type="pct"/>
            <w:tcBorders>
              <w:tl2br w:val="nil"/>
              <w:tr2bl w:val="nil"/>
            </w:tcBorders>
            <w:vAlign w:val="center"/>
          </w:tcPr>
          <w:p>
            <w:pPr>
              <w:pStyle w:val="34"/>
            </w:pPr>
            <w:r>
              <w:t>T</w:t>
            </w:r>
            <w:r>
              <w:rPr>
                <w:rFonts w:hint="eastAsia"/>
              </w:rPr>
              <w:t>、</w:t>
            </w:r>
            <w:r>
              <w:t>I</w:t>
            </w:r>
          </w:p>
        </w:tc>
        <w:tc>
          <w:tcPr>
            <w:tcW w:w="1011" w:type="pct"/>
            <w:vMerge w:val="restart"/>
            <w:tcBorders>
              <w:tl2br w:val="nil"/>
              <w:tr2bl w:val="nil"/>
            </w:tcBorders>
            <w:vAlign w:val="center"/>
          </w:tcPr>
          <w:p>
            <w:pPr>
              <w:pStyle w:val="34"/>
            </w:pPr>
            <w:r>
              <w:rPr>
                <w:rFonts w:hint="eastAsia"/>
              </w:rPr>
              <w:t>危废贮存库</w:t>
            </w:r>
            <w:r>
              <w:t>暂存，定期交由有资质的单位处置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5</w:t>
            </w:r>
          </w:p>
        </w:tc>
        <w:tc>
          <w:tcPr>
            <w:tcW w:w="445" w:type="pct"/>
            <w:tcBorders>
              <w:tl2br w:val="nil"/>
              <w:tr2bl w:val="nil"/>
            </w:tcBorders>
            <w:vAlign w:val="center"/>
          </w:tcPr>
          <w:p>
            <w:pPr>
              <w:pStyle w:val="34"/>
            </w:pPr>
            <w:r>
              <w:t>废灯管</w:t>
            </w:r>
          </w:p>
        </w:tc>
        <w:tc>
          <w:tcPr>
            <w:tcW w:w="282" w:type="pct"/>
            <w:tcBorders>
              <w:tl2br w:val="nil"/>
              <w:tr2bl w:val="nil"/>
            </w:tcBorders>
            <w:vAlign w:val="center"/>
          </w:tcPr>
          <w:p>
            <w:pPr>
              <w:jc w:val="center"/>
              <w:rPr>
                <w:rFonts w:ascii="Times New Roman" w:hAnsi="Times New Roman"/>
              </w:rPr>
            </w:pPr>
            <w:r>
              <w:rPr>
                <w:rFonts w:ascii="Times New Roman" w:hAnsi="Times New Roman"/>
              </w:rPr>
              <w:t>危废</w:t>
            </w:r>
          </w:p>
        </w:tc>
        <w:tc>
          <w:tcPr>
            <w:tcW w:w="465" w:type="pct"/>
            <w:tcBorders>
              <w:tl2br w:val="nil"/>
              <w:tr2bl w:val="nil"/>
            </w:tcBorders>
            <w:vAlign w:val="center"/>
          </w:tcPr>
          <w:p>
            <w:pPr>
              <w:pStyle w:val="34"/>
            </w:pPr>
            <w:r>
              <w:t>900-023-29</w:t>
            </w:r>
          </w:p>
        </w:tc>
        <w:tc>
          <w:tcPr>
            <w:tcW w:w="330" w:type="pct"/>
            <w:tcBorders>
              <w:tl2br w:val="nil"/>
              <w:tr2bl w:val="nil"/>
            </w:tcBorders>
            <w:vAlign w:val="center"/>
          </w:tcPr>
          <w:p>
            <w:pPr>
              <w:pStyle w:val="34"/>
            </w:pPr>
            <w:r>
              <w:t>0.01</w:t>
            </w:r>
          </w:p>
        </w:tc>
        <w:tc>
          <w:tcPr>
            <w:tcW w:w="656" w:type="pct"/>
            <w:tcBorders>
              <w:tl2br w:val="nil"/>
              <w:tr2bl w:val="nil"/>
            </w:tcBorders>
            <w:vAlign w:val="center"/>
          </w:tcPr>
          <w:p>
            <w:pPr>
              <w:pStyle w:val="34"/>
            </w:pPr>
            <w:r>
              <w:t>废气治理工序</w:t>
            </w:r>
          </w:p>
        </w:tc>
        <w:tc>
          <w:tcPr>
            <w:tcW w:w="287" w:type="pct"/>
            <w:tcBorders>
              <w:tl2br w:val="nil"/>
              <w:tr2bl w:val="nil"/>
            </w:tcBorders>
            <w:vAlign w:val="center"/>
          </w:tcPr>
          <w:p>
            <w:pPr>
              <w:pStyle w:val="34"/>
            </w:pPr>
            <w:r>
              <w:t>固体</w:t>
            </w:r>
          </w:p>
        </w:tc>
        <w:tc>
          <w:tcPr>
            <w:tcW w:w="420" w:type="pct"/>
            <w:tcBorders>
              <w:tl2br w:val="nil"/>
              <w:tr2bl w:val="nil"/>
            </w:tcBorders>
            <w:vAlign w:val="center"/>
          </w:tcPr>
          <w:p>
            <w:pPr>
              <w:pStyle w:val="34"/>
            </w:pPr>
            <w:r>
              <w:t>灯管</w:t>
            </w:r>
          </w:p>
        </w:tc>
        <w:tc>
          <w:tcPr>
            <w:tcW w:w="390" w:type="pct"/>
            <w:tcBorders>
              <w:tl2br w:val="nil"/>
              <w:tr2bl w:val="nil"/>
            </w:tcBorders>
            <w:vAlign w:val="center"/>
          </w:tcPr>
          <w:p>
            <w:pPr>
              <w:pStyle w:val="34"/>
            </w:pPr>
            <w:r>
              <w:t>含汞物质</w:t>
            </w:r>
          </w:p>
        </w:tc>
        <w:tc>
          <w:tcPr>
            <w:tcW w:w="294" w:type="pct"/>
            <w:tcBorders>
              <w:tl2br w:val="nil"/>
              <w:tr2bl w:val="nil"/>
            </w:tcBorders>
            <w:vAlign w:val="center"/>
          </w:tcPr>
          <w:p>
            <w:pPr>
              <w:pStyle w:val="34"/>
            </w:pPr>
            <w:r>
              <w:t>半年</w:t>
            </w:r>
          </w:p>
        </w:tc>
        <w:tc>
          <w:tcPr>
            <w:tcW w:w="255" w:type="pct"/>
            <w:tcBorders>
              <w:tl2br w:val="nil"/>
              <w:tr2bl w:val="nil"/>
            </w:tcBorders>
            <w:vAlign w:val="center"/>
          </w:tcPr>
          <w:p>
            <w:pPr>
              <w:pStyle w:val="34"/>
            </w:pPr>
            <w:r>
              <w:t>T</w:t>
            </w:r>
          </w:p>
        </w:tc>
        <w:tc>
          <w:tcPr>
            <w:tcW w:w="101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6</w:t>
            </w:r>
          </w:p>
        </w:tc>
        <w:tc>
          <w:tcPr>
            <w:tcW w:w="445" w:type="pct"/>
            <w:tcBorders>
              <w:tl2br w:val="nil"/>
              <w:tr2bl w:val="nil"/>
            </w:tcBorders>
            <w:vAlign w:val="center"/>
          </w:tcPr>
          <w:p>
            <w:pPr>
              <w:pStyle w:val="34"/>
            </w:pPr>
            <w:r>
              <w:t>废活性炭</w:t>
            </w:r>
          </w:p>
        </w:tc>
        <w:tc>
          <w:tcPr>
            <w:tcW w:w="282" w:type="pct"/>
            <w:tcBorders>
              <w:tl2br w:val="nil"/>
              <w:tr2bl w:val="nil"/>
            </w:tcBorders>
            <w:vAlign w:val="center"/>
          </w:tcPr>
          <w:p>
            <w:pPr>
              <w:jc w:val="center"/>
              <w:rPr>
                <w:rFonts w:ascii="Times New Roman" w:hAnsi="Times New Roman"/>
              </w:rPr>
            </w:pPr>
            <w:r>
              <w:rPr>
                <w:rFonts w:ascii="Times New Roman" w:hAnsi="Times New Roman"/>
              </w:rPr>
              <w:t>危废</w:t>
            </w:r>
          </w:p>
        </w:tc>
        <w:tc>
          <w:tcPr>
            <w:tcW w:w="465" w:type="pct"/>
            <w:tcBorders>
              <w:tl2br w:val="nil"/>
              <w:tr2bl w:val="nil"/>
            </w:tcBorders>
            <w:vAlign w:val="center"/>
          </w:tcPr>
          <w:p>
            <w:pPr>
              <w:pStyle w:val="34"/>
            </w:pPr>
            <w:r>
              <w:t>900-039-49</w:t>
            </w:r>
          </w:p>
        </w:tc>
        <w:tc>
          <w:tcPr>
            <w:tcW w:w="330" w:type="pct"/>
            <w:tcBorders>
              <w:tl2br w:val="nil"/>
              <w:tr2bl w:val="nil"/>
            </w:tcBorders>
            <w:vAlign w:val="center"/>
          </w:tcPr>
          <w:p>
            <w:pPr>
              <w:pStyle w:val="34"/>
            </w:pPr>
            <w:r>
              <w:rPr>
                <w:rFonts w:hint="eastAsia"/>
              </w:rPr>
              <w:t>9.225</w:t>
            </w:r>
          </w:p>
        </w:tc>
        <w:tc>
          <w:tcPr>
            <w:tcW w:w="656" w:type="pct"/>
            <w:tcBorders>
              <w:tl2br w:val="nil"/>
              <w:tr2bl w:val="nil"/>
            </w:tcBorders>
            <w:vAlign w:val="center"/>
          </w:tcPr>
          <w:p>
            <w:pPr>
              <w:pStyle w:val="34"/>
            </w:pPr>
            <w:r>
              <w:t>废气治理工序</w:t>
            </w:r>
          </w:p>
        </w:tc>
        <w:tc>
          <w:tcPr>
            <w:tcW w:w="287" w:type="pct"/>
            <w:tcBorders>
              <w:tl2br w:val="nil"/>
              <w:tr2bl w:val="nil"/>
            </w:tcBorders>
            <w:vAlign w:val="center"/>
          </w:tcPr>
          <w:p>
            <w:pPr>
              <w:pStyle w:val="34"/>
            </w:pPr>
            <w:r>
              <w:t>固体</w:t>
            </w:r>
          </w:p>
        </w:tc>
        <w:tc>
          <w:tcPr>
            <w:tcW w:w="420" w:type="pct"/>
            <w:tcBorders>
              <w:tl2br w:val="nil"/>
              <w:tr2bl w:val="nil"/>
            </w:tcBorders>
            <w:vAlign w:val="center"/>
          </w:tcPr>
          <w:p>
            <w:pPr>
              <w:pStyle w:val="34"/>
            </w:pPr>
            <w:r>
              <w:t>活性炭</w:t>
            </w:r>
          </w:p>
        </w:tc>
        <w:tc>
          <w:tcPr>
            <w:tcW w:w="390" w:type="pct"/>
            <w:tcBorders>
              <w:tl2br w:val="nil"/>
              <w:tr2bl w:val="nil"/>
            </w:tcBorders>
            <w:vAlign w:val="center"/>
          </w:tcPr>
          <w:p>
            <w:pPr>
              <w:pStyle w:val="34"/>
            </w:pPr>
            <w:r>
              <w:t>有机物</w:t>
            </w:r>
          </w:p>
        </w:tc>
        <w:tc>
          <w:tcPr>
            <w:tcW w:w="294" w:type="pct"/>
            <w:tcBorders>
              <w:tl2br w:val="nil"/>
              <w:tr2bl w:val="nil"/>
            </w:tcBorders>
            <w:vAlign w:val="center"/>
          </w:tcPr>
          <w:p>
            <w:pPr>
              <w:pStyle w:val="34"/>
            </w:pPr>
            <w:r>
              <w:t>半年</w:t>
            </w:r>
          </w:p>
        </w:tc>
        <w:tc>
          <w:tcPr>
            <w:tcW w:w="255" w:type="pct"/>
            <w:tcBorders>
              <w:tl2br w:val="nil"/>
              <w:tr2bl w:val="nil"/>
            </w:tcBorders>
            <w:vAlign w:val="center"/>
          </w:tcPr>
          <w:p>
            <w:pPr>
              <w:pStyle w:val="34"/>
            </w:pPr>
            <w:r>
              <w:t>T</w:t>
            </w:r>
          </w:p>
        </w:tc>
        <w:tc>
          <w:tcPr>
            <w:tcW w:w="101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 w:type="pct"/>
            <w:tcBorders>
              <w:tl2br w:val="nil"/>
              <w:tr2bl w:val="nil"/>
            </w:tcBorders>
            <w:vAlign w:val="center"/>
          </w:tcPr>
          <w:p>
            <w:pPr>
              <w:pStyle w:val="34"/>
            </w:pPr>
            <w:r>
              <w:t>7</w:t>
            </w:r>
          </w:p>
        </w:tc>
        <w:tc>
          <w:tcPr>
            <w:tcW w:w="445" w:type="pct"/>
            <w:tcBorders>
              <w:tl2br w:val="nil"/>
              <w:tr2bl w:val="nil"/>
            </w:tcBorders>
            <w:vAlign w:val="center"/>
          </w:tcPr>
          <w:p>
            <w:pPr>
              <w:pStyle w:val="34"/>
            </w:pPr>
            <w:r>
              <w:t>生活垃圾</w:t>
            </w:r>
          </w:p>
        </w:tc>
        <w:tc>
          <w:tcPr>
            <w:tcW w:w="282" w:type="pct"/>
            <w:tcBorders>
              <w:tl2br w:val="nil"/>
              <w:tr2bl w:val="nil"/>
            </w:tcBorders>
            <w:vAlign w:val="center"/>
          </w:tcPr>
          <w:p>
            <w:pPr>
              <w:pStyle w:val="34"/>
            </w:pPr>
            <w:r>
              <w:t>-</w:t>
            </w:r>
          </w:p>
        </w:tc>
        <w:tc>
          <w:tcPr>
            <w:tcW w:w="465" w:type="pct"/>
            <w:tcBorders>
              <w:tl2br w:val="nil"/>
              <w:tr2bl w:val="nil"/>
            </w:tcBorders>
            <w:vAlign w:val="center"/>
          </w:tcPr>
          <w:p>
            <w:pPr>
              <w:pStyle w:val="34"/>
            </w:pPr>
            <w:r>
              <w:t>-</w:t>
            </w:r>
          </w:p>
        </w:tc>
        <w:tc>
          <w:tcPr>
            <w:tcW w:w="330" w:type="pct"/>
            <w:tcBorders>
              <w:tl2br w:val="nil"/>
              <w:tr2bl w:val="nil"/>
            </w:tcBorders>
            <w:vAlign w:val="center"/>
          </w:tcPr>
          <w:p>
            <w:pPr>
              <w:pStyle w:val="34"/>
            </w:pPr>
            <w:r>
              <w:t>2.7</w:t>
            </w:r>
          </w:p>
        </w:tc>
        <w:tc>
          <w:tcPr>
            <w:tcW w:w="656" w:type="pct"/>
            <w:tcBorders>
              <w:tl2br w:val="nil"/>
              <w:tr2bl w:val="nil"/>
            </w:tcBorders>
            <w:vAlign w:val="center"/>
          </w:tcPr>
          <w:p>
            <w:pPr>
              <w:pStyle w:val="34"/>
            </w:pPr>
            <w:r>
              <w:t>办公生活</w:t>
            </w:r>
          </w:p>
        </w:tc>
        <w:tc>
          <w:tcPr>
            <w:tcW w:w="287" w:type="pct"/>
            <w:tcBorders>
              <w:tl2br w:val="nil"/>
              <w:tr2bl w:val="nil"/>
            </w:tcBorders>
            <w:vAlign w:val="center"/>
          </w:tcPr>
          <w:p>
            <w:pPr>
              <w:pStyle w:val="34"/>
            </w:pPr>
            <w:r>
              <w:t>固体</w:t>
            </w:r>
          </w:p>
        </w:tc>
        <w:tc>
          <w:tcPr>
            <w:tcW w:w="420" w:type="pct"/>
            <w:tcBorders>
              <w:tl2br w:val="nil"/>
              <w:tr2bl w:val="nil"/>
            </w:tcBorders>
            <w:vAlign w:val="center"/>
          </w:tcPr>
          <w:p>
            <w:pPr>
              <w:pStyle w:val="34"/>
            </w:pPr>
            <w:r>
              <w:t>-</w:t>
            </w:r>
          </w:p>
        </w:tc>
        <w:tc>
          <w:tcPr>
            <w:tcW w:w="390" w:type="pct"/>
            <w:tcBorders>
              <w:tl2br w:val="nil"/>
              <w:tr2bl w:val="nil"/>
            </w:tcBorders>
            <w:vAlign w:val="center"/>
          </w:tcPr>
          <w:p>
            <w:pPr>
              <w:pStyle w:val="34"/>
            </w:pPr>
            <w:r>
              <w:t>-</w:t>
            </w:r>
          </w:p>
        </w:tc>
        <w:tc>
          <w:tcPr>
            <w:tcW w:w="294" w:type="pct"/>
            <w:tcBorders>
              <w:tl2br w:val="nil"/>
              <w:tr2bl w:val="nil"/>
            </w:tcBorders>
            <w:vAlign w:val="center"/>
          </w:tcPr>
          <w:p>
            <w:pPr>
              <w:pStyle w:val="34"/>
            </w:pPr>
            <w:r>
              <w:t>-</w:t>
            </w:r>
          </w:p>
        </w:tc>
        <w:tc>
          <w:tcPr>
            <w:tcW w:w="255" w:type="pct"/>
            <w:tcBorders>
              <w:tl2br w:val="nil"/>
              <w:tr2bl w:val="nil"/>
            </w:tcBorders>
            <w:vAlign w:val="center"/>
          </w:tcPr>
          <w:p>
            <w:pPr>
              <w:pStyle w:val="34"/>
            </w:pPr>
            <w:r>
              <w:t>-</w:t>
            </w:r>
          </w:p>
        </w:tc>
        <w:tc>
          <w:tcPr>
            <w:tcW w:w="1011" w:type="pct"/>
            <w:tcBorders>
              <w:tl2br w:val="nil"/>
              <w:tr2bl w:val="nil"/>
            </w:tcBorders>
            <w:vAlign w:val="center"/>
          </w:tcPr>
          <w:p>
            <w:pPr>
              <w:pStyle w:val="34"/>
            </w:pPr>
            <w:r>
              <w:t>委托环卫部门处置</w:t>
            </w:r>
          </w:p>
        </w:tc>
      </w:tr>
    </w:tbl>
    <w:p>
      <w:pPr>
        <w:pStyle w:val="7"/>
        <w:ind w:firstLine="480"/>
        <w:rPr>
          <w:rFonts w:cs="Times New Roman"/>
        </w:rPr>
        <w:sectPr>
          <w:pgSz w:w="16838" w:h="11906" w:orient="landscape"/>
          <w:pgMar w:top="1797" w:right="1440" w:bottom="1797" w:left="1440" w:header="851" w:footer="992" w:gutter="0"/>
          <w:pgNumType w:fmt="numberInDash"/>
          <w:cols w:space="720" w:num="1"/>
          <w:docGrid w:type="lines" w:linePitch="312" w:charSpace="0"/>
        </w:sectPr>
      </w:pPr>
    </w:p>
    <w:p>
      <w:pPr>
        <w:pStyle w:val="4"/>
        <w:spacing w:before="156" w:after="156"/>
        <w:rPr>
          <w:rFonts w:eastAsia="宋体"/>
          <w:lang w:val="zh-CN"/>
        </w:rPr>
      </w:pPr>
      <w:bookmarkStart w:id="70" w:name="_Toc26785"/>
      <w:r>
        <w:rPr>
          <w:rFonts w:eastAsia="宋体"/>
          <w:lang w:val="zh-CN"/>
        </w:rPr>
        <w:t>污染物排放汇总</w:t>
      </w:r>
      <w:bookmarkEnd w:id="70"/>
    </w:p>
    <w:p>
      <w:pPr>
        <w:pStyle w:val="7"/>
        <w:ind w:firstLine="480"/>
        <w:rPr>
          <w:rFonts w:cs="Times New Roman"/>
          <w:lang w:val="zh-CN"/>
        </w:rPr>
      </w:pPr>
      <w:r>
        <w:rPr>
          <w:rFonts w:cs="Times New Roman"/>
          <w:lang w:val="zh-CN"/>
        </w:rPr>
        <w:t>根据工程分析，本项目污染物产排情况汇总详见</w:t>
      </w:r>
      <w:r>
        <w:rPr>
          <w:rFonts w:hint="eastAsia" w:cs="Times New Roman"/>
        </w:rPr>
        <w:t>表3.4-1</w:t>
      </w:r>
      <w:r>
        <w:rPr>
          <w:rFonts w:cs="Times New Roman"/>
          <w:lang w:val="zh-CN"/>
        </w:rPr>
        <w:t>。</w:t>
      </w:r>
    </w:p>
    <w:p>
      <w:pPr>
        <w:pStyle w:val="36"/>
        <w:spacing w:before="156"/>
        <w:rPr>
          <w:rFonts w:eastAsia="宋体"/>
        </w:rPr>
      </w:pPr>
      <w:bookmarkStart w:id="71" w:name="_Ref111454505"/>
      <w:r>
        <w:rPr>
          <w:rFonts w:eastAsia="宋体"/>
        </w:rPr>
        <w:t>表</w:t>
      </w:r>
      <w:r>
        <w:rPr>
          <w:rFonts w:hint="eastAsia" w:eastAsia="宋体"/>
        </w:rPr>
        <w:t>3.4-1</w:t>
      </w:r>
      <w:bookmarkEnd w:id="71"/>
      <w:r>
        <w:rPr>
          <w:rFonts w:eastAsia="宋体"/>
        </w:rPr>
        <w:t xml:space="preserve">  污染物产排情况汇总一览表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280"/>
        <w:gridCol w:w="1968"/>
        <w:gridCol w:w="1025"/>
        <w:gridCol w:w="2876"/>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gridSpan w:val="2"/>
            <w:tcBorders>
              <w:tl2br w:val="nil"/>
              <w:tr2bl w:val="nil"/>
            </w:tcBorders>
            <w:vAlign w:val="center"/>
          </w:tcPr>
          <w:p>
            <w:pPr>
              <w:pStyle w:val="34"/>
            </w:pPr>
            <w:r>
              <w:t>污染源</w:t>
            </w:r>
          </w:p>
        </w:tc>
        <w:tc>
          <w:tcPr>
            <w:tcW w:w="1153" w:type="pct"/>
            <w:tcBorders>
              <w:tl2br w:val="nil"/>
              <w:tr2bl w:val="nil"/>
            </w:tcBorders>
            <w:vAlign w:val="center"/>
          </w:tcPr>
          <w:p>
            <w:pPr>
              <w:pStyle w:val="34"/>
            </w:pPr>
            <w:r>
              <w:t>主要污染物</w:t>
            </w:r>
          </w:p>
        </w:tc>
        <w:tc>
          <w:tcPr>
            <w:tcW w:w="601" w:type="pct"/>
            <w:tcBorders>
              <w:tl2br w:val="nil"/>
              <w:tr2bl w:val="nil"/>
            </w:tcBorders>
            <w:vAlign w:val="center"/>
          </w:tcPr>
          <w:p>
            <w:pPr>
              <w:pStyle w:val="34"/>
            </w:pPr>
            <w:r>
              <w:t>产生量</w:t>
            </w:r>
          </w:p>
        </w:tc>
        <w:tc>
          <w:tcPr>
            <w:tcW w:w="1685" w:type="pct"/>
            <w:tcBorders>
              <w:tl2br w:val="nil"/>
              <w:tr2bl w:val="nil"/>
            </w:tcBorders>
            <w:vAlign w:val="center"/>
          </w:tcPr>
          <w:p>
            <w:pPr>
              <w:pStyle w:val="34"/>
            </w:pPr>
            <w:r>
              <w:t>处置措施</w:t>
            </w:r>
          </w:p>
        </w:tc>
        <w:tc>
          <w:tcPr>
            <w:tcW w:w="556" w:type="pct"/>
            <w:tcBorders>
              <w:tl2br w:val="nil"/>
              <w:tr2bl w:val="nil"/>
            </w:tcBorders>
            <w:vAlign w:val="center"/>
          </w:tcPr>
          <w:p>
            <w:pPr>
              <w:pStyle w:val="34"/>
            </w:pPr>
            <w: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52" w:type="pct"/>
            <w:vMerge w:val="restart"/>
            <w:tcBorders>
              <w:tl2br w:val="nil"/>
              <w:tr2bl w:val="nil"/>
            </w:tcBorders>
            <w:vAlign w:val="center"/>
          </w:tcPr>
          <w:p>
            <w:pPr>
              <w:pStyle w:val="34"/>
            </w:pPr>
            <w:r>
              <w:t>废气</w:t>
            </w:r>
          </w:p>
        </w:tc>
        <w:tc>
          <w:tcPr>
            <w:tcW w:w="750" w:type="pct"/>
            <w:vMerge w:val="restart"/>
            <w:tcBorders>
              <w:tl2br w:val="nil"/>
              <w:tr2bl w:val="nil"/>
            </w:tcBorders>
            <w:vAlign w:val="center"/>
          </w:tcPr>
          <w:p>
            <w:pPr>
              <w:pStyle w:val="34"/>
            </w:pPr>
            <w:r>
              <w:t>造粒、滴灌带</w:t>
            </w:r>
            <w:r>
              <w:rPr>
                <w:rFonts w:hint="eastAsia"/>
              </w:rPr>
              <w:t>/水带</w:t>
            </w:r>
            <w:r>
              <w:t>生产线</w:t>
            </w:r>
          </w:p>
        </w:tc>
        <w:tc>
          <w:tcPr>
            <w:tcW w:w="1153" w:type="pct"/>
            <w:tcBorders>
              <w:tl2br w:val="nil"/>
              <w:tr2bl w:val="nil"/>
            </w:tcBorders>
            <w:vAlign w:val="center"/>
          </w:tcPr>
          <w:p>
            <w:pPr>
              <w:pStyle w:val="34"/>
            </w:pPr>
            <w:r>
              <w:t>有组织非甲烷总烃</w:t>
            </w:r>
          </w:p>
        </w:tc>
        <w:tc>
          <w:tcPr>
            <w:tcW w:w="601" w:type="pct"/>
            <w:tcBorders>
              <w:tl2br w:val="nil"/>
              <w:tr2bl w:val="nil"/>
            </w:tcBorders>
            <w:vAlign w:val="center"/>
          </w:tcPr>
          <w:p>
            <w:pPr>
              <w:pStyle w:val="34"/>
            </w:pPr>
            <w:r>
              <w:rPr>
                <w:rFonts w:hint="eastAsia"/>
              </w:rPr>
              <w:t>8.325</w:t>
            </w:r>
            <w:r>
              <w:t>t/a</w:t>
            </w:r>
          </w:p>
        </w:tc>
        <w:tc>
          <w:tcPr>
            <w:tcW w:w="1685" w:type="pct"/>
            <w:tcBorders>
              <w:tl2br w:val="nil"/>
              <w:tr2bl w:val="nil"/>
            </w:tcBorders>
            <w:vAlign w:val="center"/>
          </w:tcPr>
          <w:p>
            <w:pPr>
              <w:pStyle w:val="34"/>
            </w:pPr>
            <w:r>
              <w:t>废气经收集后进入UV光氧催化装置+活性炭吸附装置+15m高排气筒</w:t>
            </w:r>
          </w:p>
        </w:tc>
        <w:tc>
          <w:tcPr>
            <w:tcW w:w="556" w:type="pct"/>
            <w:tcBorders>
              <w:tl2br w:val="nil"/>
              <w:tr2bl w:val="nil"/>
            </w:tcBorders>
            <w:vAlign w:val="center"/>
          </w:tcPr>
          <w:p>
            <w:pPr>
              <w:pStyle w:val="34"/>
            </w:pPr>
            <w:r>
              <w:rPr>
                <w:rFonts w:hint="eastAsia"/>
              </w:rPr>
              <w:t>5.25</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vMerge w:val="continue"/>
            <w:tcBorders>
              <w:tl2br w:val="nil"/>
              <w:tr2bl w:val="nil"/>
            </w:tcBorders>
            <w:vAlign w:val="center"/>
          </w:tcPr>
          <w:p>
            <w:pPr>
              <w:pStyle w:val="34"/>
            </w:pPr>
          </w:p>
        </w:tc>
        <w:tc>
          <w:tcPr>
            <w:tcW w:w="1153" w:type="pct"/>
            <w:tcBorders>
              <w:tl2br w:val="nil"/>
              <w:tr2bl w:val="nil"/>
            </w:tcBorders>
            <w:vAlign w:val="center"/>
          </w:tcPr>
          <w:p>
            <w:pPr>
              <w:pStyle w:val="34"/>
            </w:pPr>
            <w:r>
              <w:t>无组织非甲烷总烃</w:t>
            </w:r>
          </w:p>
        </w:tc>
        <w:tc>
          <w:tcPr>
            <w:tcW w:w="601" w:type="pct"/>
            <w:tcBorders>
              <w:tl2br w:val="nil"/>
              <w:tr2bl w:val="nil"/>
            </w:tcBorders>
            <w:vAlign w:val="center"/>
          </w:tcPr>
          <w:p>
            <w:pPr>
              <w:pStyle w:val="34"/>
            </w:pPr>
            <w:r>
              <w:rPr>
                <w:rFonts w:hint="eastAsia"/>
              </w:rPr>
              <w:t>0.925</w:t>
            </w:r>
            <w:r>
              <w:t>t/a</w:t>
            </w:r>
          </w:p>
        </w:tc>
        <w:tc>
          <w:tcPr>
            <w:tcW w:w="1685" w:type="pct"/>
            <w:tcBorders>
              <w:tl2br w:val="nil"/>
              <w:tr2bl w:val="nil"/>
            </w:tcBorders>
            <w:vAlign w:val="center"/>
          </w:tcPr>
          <w:p>
            <w:pPr>
              <w:pStyle w:val="34"/>
            </w:pPr>
            <w:r>
              <w:t>加强车间通风</w:t>
            </w:r>
          </w:p>
        </w:tc>
        <w:tc>
          <w:tcPr>
            <w:tcW w:w="556" w:type="pct"/>
            <w:tcBorders>
              <w:tl2br w:val="nil"/>
              <w:tr2bl w:val="nil"/>
            </w:tcBorders>
            <w:vAlign w:val="center"/>
          </w:tcPr>
          <w:p>
            <w:pPr>
              <w:pStyle w:val="34"/>
            </w:pPr>
            <w:r>
              <w:rPr>
                <w:rFonts w:hint="eastAsia"/>
              </w:rPr>
              <w:t>0.925</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restart"/>
            <w:tcBorders>
              <w:tl2br w:val="nil"/>
              <w:tr2bl w:val="nil"/>
            </w:tcBorders>
            <w:vAlign w:val="center"/>
          </w:tcPr>
          <w:p>
            <w:pPr>
              <w:pStyle w:val="34"/>
            </w:pPr>
            <w:r>
              <w:t>废水</w:t>
            </w:r>
          </w:p>
        </w:tc>
        <w:tc>
          <w:tcPr>
            <w:tcW w:w="750" w:type="pct"/>
            <w:tcBorders>
              <w:tl2br w:val="nil"/>
              <w:tr2bl w:val="nil"/>
            </w:tcBorders>
            <w:vAlign w:val="center"/>
          </w:tcPr>
          <w:p>
            <w:pPr>
              <w:pStyle w:val="34"/>
            </w:pPr>
            <w:r>
              <w:t>破碎、清洗工段</w:t>
            </w:r>
          </w:p>
        </w:tc>
        <w:tc>
          <w:tcPr>
            <w:tcW w:w="1153" w:type="pct"/>
            <w:tcBorders>
              <w:tl2br w:val="nil"/>
              <w:tr2bl w:val="nil"/>
            </w:tcBorders>
            <w:vAlign w:val="center"/>
          </w:tcPr>
          <w:p>
            <w:pPr>
              <w:pStyle w:val="34"/>
            </w:pPr>
            <w:r>
              <w:t>SS</w:t>
            </w:r>
          </w:p>
        </w:tc>
        <w:tc>
          <w:tcPr>
            <w:tcW w:w="601" w:type="pct"/>
            <w:tcBorders>
              <w:tl2br w:val="nil"/>
              <w:tr2bl w:val="nil"/>
            </w:tcBorders>
            <w:vAlign w:val="center"/>
          </w:tcPr>
          <w:p>
            <w:pPr>
              <w:pStyle w:val="34"/>
            </w:pPr>
            <w:r>
              <w:t>32.8m</w:t>
            </w:r>
            <w:r>
              <w:rPr>
                <w:vertAlign w:val="superscript"/>
              </w:rPr>
              <w:t>3</w:t>
            </w:r>
            <w:r>
              <w:t>/d</w:t>
            </w:r>
          </w:p>
        </w:tc>
        <w:tc>
          <w:tcPr>
            <w:tcW w:w="1685" w:type="pct"/>
            <w:tcBorders>
              <w:tl2br w:val="nil"/>
              <w:tr2bl w:val="nil"/>
            </w:tcBorders>
            <w:vAlign w:val="center"/>
          </w:tcPr>
          <w:p>
            <w:pPr>
              <w:pStyle w:val="34"/>
            </w:pPr>
            <w:r>
              <w:t>经沉淀池沉淀处理后循环使用</w:t>
            </w:r>
          </w:p>
        </w:tc>
        <w:tc>
          <w:tcPr>
            <w:tcW w:w="556" w:type="pct"/>
            <w:tcBorders>
              <w:tl2br w:val="nil"/>
              <w:tr2bl w:val="nil"/>
            </w:tcBorders>
            <w:vAlign w:val="center"/>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tcBorders>
              <w:tl2br w:val="nil"/>
              <w:tr2bl w:val="nil"/>
            </w:tcBorders>
            <w:vAlign w:val="center"/>
          </w:tcPr>
          <w:p>
            <w:pPr>
              <w:pStyle w:val="34"/>
            </w:pPr>
            <w:r>
              <w:t>生活污水</w:t>
            </w:r>
          </w:p>
        </w:tc>
        <w:tc>
          <w:tcPr>
            <w:tcW w:w="1153" w:type="pct"/>
            <w:tcBorders>
              <w:tl2br w:val="nil"/>
              <w:tr2bl w:val="nil"/>
            </w:tcBorders>
            <w:vAlign w:val="center"/>
          </w:tcPr>
          <w:p>
            <w:pPr>
              <w:pStyle w:val="34"/>
            </w:pPr>
            <w:r>
              <w:t>COD、BOD</w:t>
            </w:r>
            <w:r>
              <w:rPr>
                <w:vertAlign w:val="subscript"/>
              </w:rPr>
              <w:t>5</w:t>
            </w:r>
            <w:r>
              <w:t>、SS、氨氮</w:t>
            </w:r>
          </w:p>
        </w:tc>
        <w:tc>
          <w:tcPr>
            <w:tcW w:w="601" w:type="pct"/>
            <w:tcBorders>
              <w:tl2br w:val="nil"/>
              <w:tr2bl w:val="nil"/>
            </w:tcBorders>
            <w:vAlign w:val="center"/>
          </w:tcPr>
          <w:p>
            <w:pPr>
              <w:pStyle w:val="34"/>
            </w:pPr>
            <w:r>
              <w:rPr>
                <w:rFonts w:hint="eastAsia"/>
              </w:rPr>
              <w:t>540</w:t>
            </w:r>
            <w:r>
              <w:t>m</w:t>
            </w:r>
            <w:r>
              <w:rPr>
                <w:vertAlign w:val="superscript"/>
              </w:rPr>
              <w:t>3</w:t>
            </w:r>
            <w:r>
              <w:t>/a</w:t>
            </w:r>
          </w:p>
        </w:tc>
        <w:tc>
          <w:tcPr>
            <w:tcW w:w="1685" w:type="pct"/>
            <w:tcBorders>
              <w:tl2br w:val="nil"/>
              <w:tr2bl w:val="nil"/>
            </w:tcBorders>
            <w:vAlign w:val="center"/>
          </w:tcPr>
          <w:p>
            <w:pPr>
              <w:pStyle w:val="34"/>
            </w:pPr>
            <w:r>
              <w:t>在厂区化粪池暂存，</w:t>
            </w:r>
            <w:r>
              <w:rPr>
                <w:lang w:val="zh-CN"/>
              </w:rPr>
              <w:t>定期由环卫</w:t>
            </w:r>
            <w:r>
              <w:rPr>
                <w:rFonts w:hint="eastAsia"/>
                <w:lang w:val="zh-CN"/>
              </w:rPr>
              <w:t>部门</w:t>
            </w:r>
            <w:r>
              <w:rPr>
                <w:lang w:val="zh-CN"/>
              </w:rPr>
              <w:t>拉运处理</w:t>
            </w:r>
          </w:p>
        </w:tc>
        <w:tc>
          <w:tcPr>
            <w:tcW w:w="556" w:type="pct"/>
            <w:tcBorders>
              <w:tl2br w:val="nil"/>
              <w:tr2bl w:val="nil"/>
            </w:tcBorders>
            <w:vAlign w:val="center"/>
          </w:tcPr>
          <w:p>
            <w:pPr>
              <w:pStyle w:val="34"/>
            </w:pPr>
            <w:r>
              <w:t>432m³/a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restart"/>
            <w:tcBorders>
              <w:tl2br w:val="nil"/>
              <w:tr2bl w:val="nil"/>
            </w:tcBorders>
            <w:vAlign w:val="center"/>
          </w:tcPr>
          <w:p>
            <w:pPr>
              <w:pStyle w:val="34"/>
            </w:pPr>
            <w:r>
              <w:t>固体废物</w:t>
            </w:r>
          </w:p>
        </w:tc>
        <w:tc>
          <w:tcPr>
            <w:tcW w:w="750" w:type="pct"/>
            <w:tcBorders>
              <w:tl2br w:val="nil"/>
              <w:tr2bl w:val="nil"/>
            </w:tcBorders>
            <w:vAlign w:val="center"/>
          </w:tcPr>
          <w:p>
            <w:pPr>
              <w:pStyle w:val="34"/>
            </w:pPr>
            <w:r>
              <w:t>沉淀池</w:t>
            </w:r>
          </w:p>
        </w:tc>
        <w:tc>
          <w:tcPr>
            <w:tcW w:w="1153" w:type="pct"/>
            <w:tcBorders>
              <w:tl2br w:val="nil"/>
              <w:tr2bl w:val="nil"/>
            </w:tcBorders>
            <w:vAlign w:val="center"/>
          </w:tcPr>
          <w:p>
            <w:pPr>
              <w:pStyle w:val="34"/>
            </w:pPr>
            <w:r>
              <w:t>污泥</w:t>
            </w:r>
          </w:p>
        </w:tc>
        <w:tc>
          <w:tcPr>
            <w:tcW w:w="601" w:type="pct"/>
            <w:tcBorders>
              <w:tl2br w:val="nil"/>
              <w:tr2bl w:val="nil"/>
            </w:tcBorders>
            <w:vAlign w:val="center"/>
          </w:tcPr>
          <w:p>
            <w:pPr>
              <w:pStyle w:val="34"/>
            </w:pPr>
            <w:r>
              <w:rPr>
                <w:rFonts w:hint="eastAsia"/>
              </w:rPr>
              <w:t>10.25</w:t>
            </w:r>
            <w:r>
              <w:t>t/a</w:t>
            </w:r>
          </w:p>
        </w:tc>
        <w:tc>
          <w:tcPr>
            <w:tcW w:w="1685" w:type="pct"/>
            <w:tcBorders>
              <w:tl2br w:val="nil"/>
              <w:tr2bl w:val="nil"/>
            </w:tcBorders>
            <w:vAlign w:val="center"/>
          </w:tcPr>
          <w:p>
            <w:pPr>
              <w:pStyle w:val="34"/>
            </w:pPr>
            <w:r>
              <w:t>经自然干化后交由环卫部门填埋处置</w:t>
            </w:r>
          </w:p>
        </w:tc>
        <w:tc>
          <w:tcPr>
            <w:tcW w:w="556" w:type="pct"/>
            <w:tcBorders>
              <w:tl2br w:val="nil"/>
              <w:tr2bl w:val="nil"/>
            </w:tcBorders>
            <w:vAlign w:val="center"/>
          </w:tcPr>
          <w:p>
            <w:pPr>
              <w:pStyle w:val="34"/>
            </w:pPr>
            <w:r>
              <w:rPr>
                <w:rFonts w:hint="eastAsia"/>
              </w:rPr>
              <w:t>10.25</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tcBorders>
              <w:tl2br w:val="nil"/>
              <w:tr2bl w:val="nil"/>
            </w:tcBorders>
            <w:vAlign w:val="center"/>
          </w:tcPr>
          <w:p>
            <w:pPr>
              <w:pStyle w:val="34"/>
            </w:pPr>
            <w:r>
              <w:t>造粒工序</w:t>
            </w:r>
          </w:p>
        </w:tc>
        <w:tc>
          <w:tcPr>
            <w:tcW w:w="1153" w:type="pct"/>
            <w:tcBorders>
              <w:tl2br w:val="nil"/>
              <w:tr2bl w:val="nil"/>
            </w:tcBorders>
            <w:vAlign w:val="center"/>
          </w:tcPr>
          <w:p>
            <w:pPr>
              <w:pStyle w:val="34"/>
            </w:pPr>
            <w:r>
              <w:t>废旧滤网</w:t>
            </w:r>
          </w:p>
        </w:tc>
        <w:tc>
          <w:tcPr>
            <w:tcW w:w="601" w:type="pct"/>
            <w:tcBorders>
              <w:tl2br w:val="nil"/>
              <w:tr2bl w:val="nil"/>
            </w:tcBorders>
            <w:vAlign w:val="center"/>
          </w:tcPr>
          <w:p>
            <w:pPr>
              <w:pStyle w:val="34"/>
            </w:pPr>
            <w:r>
              <w:t>0.18t/a</w:t>
            </w:r>
          </w:p>
        </w:tc>
        <w:tc>
          <w:tcPr>
            <w:tcW w:w="1685" w:type="pct"/>
            <w:tcBorders>
              <w:tl2br w:val="nil"/>
              <w:tr2bl w:val="nil"/>
            </w:tcBorders>
            <w:vAlign w:val="center"/>
          </w:tcPr>
          <w:p>
            <w:pPr>
              <w:pStyle w:val="34"/>
            </w:pPr>
            <w:r>
              <w:t>收集后定期外售物资回收单位</w:t>
            </w:r>
          </w:p>
        </w:tc>
        <w:tc>
          <w:tcPr>
            <w:tcW w:w="556" w:type="pct"/>
            <w:tcBorders>
              <w:tl2br w:val="nil"/>
              <w:tr2bl w:val="nil"/>
            </w:tcBorders>
            <w:vAlign w:val="center"/>
          </w:tcPr>
          <w:p>
            <w:pPr>
              <w:pStyle w:val="34"/>
            </w:pPr>
            <w:r>
              <w:t>0.18t/a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tcBorders>
              <w:tl2br w:val="nil"/>
              <w:tr2bl w:val="nil"/>
            </w:tcBorders>
            <w:vAlign w:val="center"/>
          </w:tcPr>
          <w:p>
            <w:pPr>
              <w:pStyle w:val="34"/>
            </w:pPr>
            <w:r>
              <w:t>滴灌带生产</w:t>
            </w:r>
          </w:p>
        </w:tc>
        <w:tc>
          <w:tcPr>
            <w:tcW w:w="1153" w:type="pct"/>
            <w:tcBorders>
              <w:tl2br w:val="nil"/>
              <w:tr2bl w:val="nil"/>
            </w:tcBorders>
            <w:vAlign w:val="center"/>
          </w:tcPr>
          <w:p>
            <w:pPr>
              <w:pStyle w:val="34"/>
            </w:pPr>
            <w:r>
              <w:t>残次品及边角料</w:t>
            </w:r>
          </w:p>
        </w:tc>
        <w:tc>
          <w:tcPr>
            <w:tcW w:w="601" w:type="pct"/>
            <w:tcBorders>
              <w:tl2br w:val="nil"/>
              <w:tr2bl w:val="nil"/>
            </w:tcBorders>
            <w:vAlign w:val="center"/>
          </w:tcPr>
          <w:p>
            <w:pPr>
              <w:pStyle w:val="34"/>
            </w:pPr>
            <w:r>
              <w:t>5.25t/a</w:t>
            </w:r>
          </w:p>
        </w:tc>
        <w:tc>
          <w:tcPr>
            <w:tcW w:w="1685" w:type="pct"/>
            <w:tcBorders>
              <w:tl2br w:val="nil"/>
              <w:tr2bl w:val="nil"/>
            </w:tcBorders>
            <w:vAlign w:val="center"/>
          </w:tcPr>
          <w:p>
            <w:pPr>
              <w:pStyle w:val="34"/>
            </w:pPr>
            <w:r>
              <w:t>进入造粒工序再生造粒</w:t>
            </w:r>
          </w:p>
        </w:tc>
        <w:tc>
          <w:tcPr>
            <w:tcW w:w="556" w:type="pct"/>
            <w:tcBorders>
              <w:tl2br w:val="nil"/>
              <w:tr2bl w:val="nil"/>
            </w:tcBorders>
            <w:vAlign w:val="center"/>
          </w:tcPr>
          <w:p>
            <w:pPr>
              <w:pStyle w:val="34"/>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vMerge w:val="restart"/>
            <w:tcBorders>
              <w:tl2br w:val="nil"/>
              <w:tr2bl w:val="nil"/>
            </w:tcBorders>
            <w:vAlign w:val="center"/>
          </w:tcPr>
          <w:p>
            <w:pPr>
              <w:pStyle w:val="34"/>
            </w:pPr>
            <w:r>
              <w:t>废气处理</w:t>
            </w:r>
          </w:p>
        </w:tc>
        <w:tc>
          <w:tcPr>
            <w:tcW w:w="1153" w:type="pct"/>
            <w:tcBorders>
              <w:tl2br w:val="nil"/>
              <w:tr2bl w:val="nil"/>
            </w:tcBorders>
            <w:vAlign w:val="center"/>
          </w:tcPr>
          <w:p>
            <w:pPr>
              <w:pStyle w:val="34"/>
            </w:pPr>
            <w:r>
              <w:t>废活性炭</w:t>
            </w:r>
          </w:p>
        </w:tc>
        <w:tc>
          <w:tcPr>
            <w:tcW w:w="601" w:type="pct"/>
            <w:tcBorders>
              <w:tl2br w:val="nil"/>
              <w:tr2bl w:val="nil"/>
            </w:tcBorders>
            <w:vAlign w:val="center"/>
          </w:tcPr>
          <w:p>
            <w:pPr>
              <w:pStyle w:val="34"/>
            </w:pPr>
            <w:r>
              <w:rPr>
                <w:rFonts w:hint="eastAsia"/>
              </w:rPr>
              <w:t>9.225</w:t>
            </w:r>
            <w:r>
              <w:t>t/a</w:t>
            </w:r>
          </w:p>
        </w:tc>
        <w:tc>
          <w:tcPr>
            <w:tcW w:w="1685" w:type="pct"/>
            <w:vMerge w:val="restart"/>
            <w:tcBorders>
              <w:tl2br w:val="nil"/>
              <w:tr2bl w:val="nil"/>
            </w:tcBorders>
            <w:vAlign w:val="center"/>
          </w:tcPr>
          <w:p>
            <w:pPr>
              <w:pStyle w:val="34"/>
            </w:pPr>
            <w:r>
              <w:t>收集后暂存于</w:t>
            </w:r>
            <w:r>
              <w:rPr>
                <w:rFonts w:hint="eastAsia"/>
              </w:rPr>
              <w:t>危废贮存库</w:t>
            </w:r>
            <w:r>
              <w:t>，定期交由有资质的单位处置</w:t>
            </w:r>
          </w:p>
        </w:tc>
        <w:tc>
          <w:tcPr>
            <w:tcW w:w="556" w:type="pct"/>
            <w:tcBorders>
              <w:tl2br w:val="nil"/>
              <w:tr2bl w:val="nil"/>
            </w:tcBorders>
            <w:vAlign w:val="center"/>
          </w:tcPr>
          <w:p>
            <w:pPr>
              <w:pStyle w:val="34"/>
            </w:pPr>
            <w:r>
              <w:rPr>
                <w:rFonts w:hint="eastAsia"/>
              </w:rPr>
              <w:t>9.225</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vMerge w:val="continue"/>
            <w:tcBorders>
              <w:tl2br w:val="nil"/>
              <w:tr2bl w:val="nil"/>
            </w:tcBorders>
            <w:vAlign w:val="center"/>
          </w:tcPr>
          <w:p>
            <w:pPr>
              <w:pStyle w:val="34"/>
            </w:pPr>
          </w:p>
        </w:tc>
        <w:tc>
          <w:tcPr>
            <w:tcW w:w="1153" w:type="pct"/>
            <w:tcBorders>
              <w:tl2br w:val="nil"/>
              <w:tr2bl w:val="nil"/>
            </w:tcBorders>
            <w:vAlign w:val="center"/>
          </w:tcPr>
          <w:p>
            <w:pPr>
              <w:pStyle w:val="34"/>
            </w:pPr>
            <w:r>
              <w:t>废灯管</w:t>
            </w:r>
          </w:p>
        </w:tc>
        <w:tc>
          <w:tcPr>
            <w:tcW w:w="601" w:type="pct"/>
            <w:tcBorders>
              <w:tl2br w:val="nil"/>
              <w:tr2bl w:val="nil"/>
            </w:tcBorders>
            <w:vAlign w:val="center"/>
          </w:tcPr>
          <w:p>
            <w:pPr>
              <w:pStyle w:val="34"/>
            </w:pPr>
            <w:r>
              <w:t>0.01t/a</w:t>
            </w:r>
          </w:p>
        </w:tc>
        <w:tc>
          <w:tcPr>
            <w:tcW w:w="1685" w:type="pct"/>
            <w:vMerge w:val="continue"/>
            <w:tcBorders>
              <w:tl2br w:val="nil"/>
              <w:tr2bl w:val="nil"/>
            </w:tcBorders>
            <w:vAlign w:val="center"/>
          </w:tcPr>
          <w:p>
            <w:pPr>
              <w:pStyle w:val="34"/>
            </w:pPr>
          </w:p>
        </w:tc>
        <w:tc>
          <w:tcPr>
            <w:tcW w:w="556" w:type="pct"/>
            <w:tcBorders>
              <w:tl2br w:val="nil"/>
              <w:tr2bl w:val="nil"/>
            </w:tcBorders>
            <w:vAlign w:val="center"/>
          </w:tcPr>
          <w:p>
            <w:pPr>
              <w:pStyle w:val="34"/>
            </w:pPr>
            <w:r>
              <w:t>0.01t/a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tcBorders>
              <w:tl2br w:val="nil"/>
              <w:tr2bl w:val="nil"/>
            </w:tcBorders>
            <w:vAlign w:val="center"/>
          </w:tcPr>
          <w:p>
            <w:pPr>
              <w:pStyle w:val="34"/>
            </w:pPr>
            <w:r>
              <w:t>设备维护</w:t>
            </w:r>
          </w:p>
        </w:tc>
        <w:tc>
          <w:tcPr>
            <w:tcW w:w="1153" w:type="pct"/>
            <w:tcBorders>
              <w:tl2br w:val="nil"/>
              <w:tr2bl w:val="nil"/>
            </w:tcBorders>
            <w:vAlign w:val="center"/>
          </w:tcPr>
          <w:p>
            <w:pPr>
              <w:pStyle w:val="34"/>
            </w:pPr>
            <w:r>
              <w:t>废润滑油</w:t>
            </w:r>
          </w:p>
        </w:tc>
        <w:tc>
          <w:tcPr>
            <w:tcW w:w="601" w:type="pct"/>
            <w:tcBorders>
              <w:tl2br w:val="nil"/>
              <w:tr2bl w:val="nil"/>
            </w:tcBorders>
            <w:vAlign w:val="center"/>
          </w:tcPr>
          <w:p>
            <w:pPr>
              <w:pStyle w:val="34"/>
            </w:pPr>
            <w:r>
              <w:t>0.02t/a</w:t>
            </w:r>
          </w:p>
        </w:tc>
        <w:tc>
          <w:tcPr>
            <w:tcW w:w="1685" w:type="pct"/>
            <w:vMerge w:val="continue"/>
            <w:tcBorders>
              <w:tl2br w:val="nil"/>
              <w:tr2bl w:val="nil"/>
            </w:tcBorders>
            <w:vAlign w:val="center"/>
          </w:tcPr>
          <w:p>
            <w:pPr>
              <w:pStyle w:val="34"/>
            </w:pPr>
          </w:p>
        </w:tc>
        <w:tc>
          <w:tcPr>
            <w:tcW w:w="556" w:type="pct"/>
            <w:tcBorders>
              <w:tl2br w:val="nil"/>
              <w:tr2bl w:val="nil"/>
            </w:tcBorders>
            <w:vAlign w:val="center"/>
          </w:tcPr>
          <w:p>
            <w:pPr>
              <w:pStyle w:val="34"/>
            </w:pPr>
            <w:r>
              <w:t>0.02t/a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vMerge w:val="continue"/>
            <w:tcBorders>
              <w:tl2br w:val="nil"/>
              <w:tr2bl w:val="nil"/>
            </w:tcBorders>
            <w:vAlign w:val="center"/>
          </w:tcPr>
          <w:p>
            <w:pPr>
              <w:pStyle w:val="34"/>
            </w:pPr>
          </w:p>
        </w:tc>
        <w:tc>
          <w:tcPr>
            <w:tcW w:w="750" w:type="pct"/>
            <w:tcBorders>
              <w:tl2br w:val="nil"/>
              <w:tr2bl w:val="nil"/>
            </w:tcBorders>
            <w:vAlign w:val="center"/>
          </w:tcPr>
          <w:p>
            <w:pPr>
              <w:pStyle w:val="34"/>
            </w:pPr>
            <w:r>
              <w:t>生活区</w:t>
            </w:r>
          </w:p>
        </w:tc>
        <w:tc>
          <w:tcPr>
            <w:tcW w:w="1153" w:type="pct"/>
            <w:tcBorders>
              <w:tl2br w:val="nil"/>
              <w:tr2bl w:val="nil"/>
            </w:tcBorders>
            <w:vAlign w:val="center"/>
          </w:tcPr>
          <w:p>
            <w:pPr>
              <w:pStyle w:val="34"/>
            </w:pPr>
            <w:r>
              <w:t>生活垃圾</w:t>
            </w:r>
          </w:p>
        </w:tc>
        <w:tc>
          <w:tcPr>
            <w:tcW w:w="601" w:type="pct"/>
            <w:tcBorders>
              <w:tl2br w:val="nil"/>
              <w:tr2bl w:val="nil"/>
            </w:tcBorders>
            <w:vAlign w:val="center"/>
          </w:tcPr>
          <w:p>
            <w:pPr>
              <w:pStyle w:val="34"/>
            </w:pPr>
            <w:r>
              <w:rPr>
                <w:rFonts w:hint="eastAsia"/>
              </w:rPr>
              <w:t>5.4</w:t>
            </w:r>
            <w:r>
              <w:t>t/a</w:t>
            </w:r>
          </w:p>
        </w:tc>
        <w:tc>
          <w:tcPr>
            <w:tcW w:w="1685" w:type="pct"/>
            <w:tcBorders>
              <w:tl2br w:val="nil"/>
              <w:tr2bl w:val="nil"/>
            </w:tcBorders>
            <w:vAlign w:val="center"/>
          </w:tcPr>
          <w:p>
            <w:pPr>
              <w:pStyle w:val="34"/>
            </w:pPr>
            <w:r>
              <w:t>委托当地环卫部门填埋处置</w:t>
            </w:r>
          </w:p>
        </w:tc>
        <w:tc>
          <w:tcPr>
            <w:tcW w:w="556" w:type="pct"/>
            <w:tcBorders>
              <w:tl2br w:val="nil"/>
              <w:tr2bl w:val="nil"/>
            </w:tcBorders>
            <w:vAlign w:val="center"/>
          </w:tcPr>
          <w:p>
            <w:pPr>
              <w:pStyle w:val="34"/>
            </w:pPr>
            <w:r>
              <w:rPr>
                <w:rFonts w:hint="eastAsia"/>
              </w:rPr>
              <w:t>5.4</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 w:type="pct"/>
            <w:tcBorders>
              <w:tl2br w:val="nil"/>
              <w:tr2bl w:val="nil"/>
            </w:tcBorders>
            <w:vAlign w:val="center"/>
          </w:tcPr>
          <w:p>
            <w:pPr>
              <w:contextualSpacing/>
              <w:rPr>
                <w:rFonts w:ascii="Times New Roman" w:hAnsi="Times New Roman"/>
                <w:kern w:val="21"/>
              </w:rPr>
            </w:pPr>
            <w:r>
              <w:rPr>
                <w:rFonts w:ascii="Times New Roman" w:hAnsi="Times New Roman"/>
                <w:kern w:val="21"/>
              </w:rPr>
              <w:t>噪声</w:t>
            </w:r>
          </w:p>
        </w:tc>
        <w:tc>
          <w:tcPr>
            <w:tcW w:w="1903" w:type="pct"/>
            <w:gridSpan w:val="2"/>
            <w:tcBorders>
              <w:tl2br w:val="nil"/>
              <w:tr2bl w:val="nil"/>
            </w:tcBorders>
            <w:vAlign w:val="center"/>
          </w:tcPr>
          <w:p>
            <w:pPr>
              <w:adjustRightInd w:val="0"/>
              <w:snapToGrid w:val="0"/>
              <w:contextualSpacing/>
              <w:rPr>
                <w:rFonts w:ascii="Times New Roman" w:hAnsi="Times New Roman"/>
                <w:kern w:val="21"/>
              </w:rPr>
            </w:pPr>
            <w:r>
              <w:rPr>
                <w:rFonts w:ascii="Times New Roman" w:hAnsi="Times New Roman"/>
                <w:kern w:val="21"/>
              </w:rPr>
              <w:t>破碎机等，噪声声级范围65-80dB(A)</w:t>
            </w:r>
          </w:p>
        </w:tc>
        <w:tc>
          <w:tcPr>
            <w:tcW w:w="601" w:type="pct"/>
            <w:tcBorders>
              <w:tl2br w:val="nil"/>
              <w:tr2bl w:val="nil"/>
            </w:tcBorders>
            <w:vAlign w:val="center"/>
          </w:tcPr>
          <w:p>
            <w:pPr>
              <w:contextualSpacing/>
              <w:rPr>
                <w:rFonts w:ascii="Times New Roman" w:hAnsi="Times New Roman"/>
                <w:kern w:val="21"/>
              </w:rPr>
            </w:pPr>
            <w:r>
              <w:rPr>
                <w:rFonts w:ascii="Times New Roman" w:hAnsi="Times New Roman"/>
                <w:kern w:val="21"/>
              </w:rPr>
              <w:t>/</w:t>
            </w:r>
          </w:p>
        </w:tc>
        <w:tc>
          <w:tcPr>
            <w:tcW w:w="1685" w:type="pct"/>
            <w:tcBorders>
              <w:tl2br w:val="nil"/>
              <w:tr2bl w:val="nil"/>
            </w:tcBorders>
            <w:vAlign w:val="center"/>
          </w:tcPr>
          <w:p>
            <w:pPr>
              <w:contextualSpacing/>
              <w:rPr>
                <w:rFonts w:ascii="Times New Roman" w:hAnsi="Times New Roman"/>
                <w:kern w:val="21"/>
              </w:rPr>
            </w:pPr>
            <w:r>
              <w:rPr>
                <w:rFonts w:ascii="Times New Roman" w:hAnsi="Times New Roman"/>
                <w:kern w:val="21"/>
              </w:rPr>
              <w:t>基础减振，厂房隔声</w:t>
            </w:r>
          </w:p>
        </w:tc>
        <w:tc>
          <w:tcPr>
            <w:tcW w:w="556" w:type="pct"/>
            <w:tcBorders>
              <w:tl2br w:val="nil"/>
              <w:tr2bl w:val="nil"/>
            </w:tcBorders>
            <w:vAlign w:val="center"/>
          </w:tcPr>
          <w:p>
            <w:pPr>
              <w:contextualSpacing/>
              <w:rPr>
                <w:rFonts w:ascii="Times New Roman" w:hAnsi="Times New Roman"/>
                <w:kern w:val="21"/>
              </w:rPr>
            </w:pPr>
            <w:r>
              <w:rPr>
                <w:rFonts w:ascii="Times New Roman" w:hAnsi="Times New Roman"/>
                <w:kern w:val="21"/>
              </w:rPr>
              <w:t>/</w:t>
            </w:r>
          </w:p>
        </w:tc>
      </w:tr>
    </w:tbl>
    <w:p>
      <w:pPr>
        <w:pStyle w:val="4"/>
        <w:spacing w:before="156" w:after="156"/>
        <w:rPr>
          <w:rFonts w:eastAsia="宋体"/>
          <w:lang w:val="zh-CN"/>
        </w:rPr>
      </w:pPr>
      <w:bookmarkStart w:id="72" w:name="_Toc18154"/>
      <w:r>
        <w:rPr>
          <w:rFonts w:eastAsia="宋体"/>
          <w:lang w:val="zh-CN"/>
        </w:rPr>
        <w:t>污染物排放总量控制</w:t>
      </w:r>
      <w:bookmarkEnd w:id="72"/>
    </w:p>
    <w:p>
      <w:pPr>
        <w:pStyle w:val="7"/>
        <w:ind w:firstLine="480"/>
        <w:rPr>
          <w:rFonts w:cs="Times New Roman"/>
          <w:lang w:val="zh-CN"/>
        </w:rPr>
      </w:pPr>
      <w:r>
        <w:rPr>
          <w:rFonts w:cs="Times New Roman"/>
          <w:lang w:val="zh-CN"/>
        </w:rPr>
        <w:t>（1）水污染物排放总量</w:t>
      </w:r>
    </w:p>
    <w:p>
      <w:pPr>
        <w:pStyle w:val="7"/>
        <w:ind w:firstLine="480"/>
        <w:rPr>
          <w:rFonts w:cs="Times New Roman"/>
          <w:lang w:val="zh-CN"/>
        </w:rPr>
      </w:pPr>
      <w:r>
        <w:rPr>
          <w:rFonts w:cs="Times New Roman"/>
          <w:lang w:val="zh-CN"/>
        </w:rPr>
        <w:t>项目生产废水全部回用不外排，仅排放少量生活污水</w:t>
      </w:r>
      <w:r>
        <w:rPr>
          <w:rFonts w:cs="Times New Roman"/>
        </w:rPr>
        <w:t>432</w:t>
      </w:r>
      <w:r>
        <w:rPr>
          <w:rFonts w:cs="Times New Roman"/>
          <w:lang w:val="zh-CN"/>
        </w:rPr>
        <w:t>m</w:t>
      </w:r>
      <w:r>
        <w:rPr>
          <w:rFonts w:cs="Times New Roman"/>
          <w:vertAlign w:val="superscript"/>
          <w:lang w:val="zh-CN"/>
        </w:rPr>
        <w:t>3</w:t>
      </w:r>
      <w:r>
        <w:rPr>
          <w:rFonts w:cs="Times New Roman"/>
          <w:lang w:val="zh-CN"/>
        </w:rPr>
        <w:t>/a</w:t>
      </w:r>
      <w:r>
        <w:rPr>
          <w:rFonts w:hint="eastAsia" w:cs="Times New Roman"/>
          <w:lang w:val="zh-CN"/>
        </w:rPr>
        <w:t>至厂区化粪池，</w:t>
      </w:r>
      <w:r>
        <w:rPr>
          <w:rFonts w:cs="Times New Roman"/>
          <w:lang w:val="zh-CN"/>
        </w:rPr>
        <w:t>定期由环卫</w:t>
      </w:r>
      <w:r>
        <w:rPr>
          <w:rFonts w:hint="eastAsia" w:cs="Times New Roman"/>
          <w:lang w:val="zh-CN"/>
        </w:rPr>
        <w:t>部门</w:t>
      </w:r>
      <w:r>
        <w:rPr>
          <w:rFonts w:cs="Times New Roman"/>
          <w:lang w:val="zh-CN"/>
        </w:rPr>
        <w:t>拉运处理</w:t>
      </w:r>
      <w:r>
        <w:rPr>
          <w:rFonts w:hint="eastAsia" w:cs="Times New Roman"/>
          <w:lang w:val="zh-CN"/>
        </w:rPr>
        <w:t>，</w:t>
      </w:r>
      <w:r>
        <w:rPr>
          <w:rFonts w:cs="Times New Roman"/>
        </w:rPr>
        <w:t>本项目</w:t>
      </w:r>
      <w:r>
        <w:rPr>
          <w:rFonts w:cs="Times New Roman"/>
          <w:lang w:val="zh-CN"/>
        </w:rPr>
        <w:t>不计总量指标。</w:t>
      </w:r>
    </w:p>
    <w:p>
      <w:pPr>
        <w:pStyle w:val="7"/>
        <w:ind w:firstLine="480"/>
        <w:rPr>
          <w:rFonts w:cs="Times New Roman"/>
          <w:lang w:val="zh-CN"/>
        </w:rPr>
      </w:pPr>
      <w:r>
        <w:rPr>
          <w:rFonts w:cs="Times New Roman"/>
          <w:lang w:val="zh-CN"/>
        </w:rPr>
        <w:t>（2）大气污染物排放总量</w:t>
      </w:r>
    </w:p>
    <w:p>
      <w:pPr>
        <w:pStyle w:val="52"/>
        <w:spacing w:line="360" w:lineRule="auto"/>
        <w:ind w:firstLine="480"/>
        <w:rPr>
          <w:rFonts w:ascii="Times New Roman" w:hAnsi="Times New Roman"/>
          <w:sz w:val="24"/>
          <w:szCs w:val="24"/>
        </w:rPr>
      </w:pPr>
      <w:bookmarkStart w:id="73" w:name="_Toc18724"/>
      <w:r>
        <w:rPr>
          <w:rFonts w:hint="eastAsia" w:ascii="宋体" w:hAnsi="宋体"/>
          <w:color w:val="auto"/>
          <w:spacing w:val="0"/>
          <w:sz w:val="24"/>
          <w:highlight w:val="none"/>
        </w:rPr>
        <w:t>大气污染物排放总量：根据计算，</w:t>
      </w:r>
      <w:r>
        <w:rPr>
          <w:rFonts w:hint="eastAsia"/>
          <w:color w:val="auto"/>
          <w:spacing w:val="0"/>
          <w:sz w:val="24"/>
          <w:highlight w:val="none"/>
        </w:rPr>
        <w:t>本项目建设完成后，在采取有效的污染防治措施，控制污染物达标排放的前提下，本项目</w:t>
      </w:r>
      <w:r>
        <w:rPr>
          <w:rFonts w:hint="eastAsia"/>
          <w:color w:val="auto"/>
          <w:spacing w:val="0"/>
          <w:sz w:val="24"/>
          <w:highlight w:val="none"/>
          <w:lang w:val="en-US" w:eastAsia="zh-CN"/>
        </w:rPr>
        <w:t>全厂</w:t>
      </w:r>
      <w:r>
        <w:rPr>
          <w:rFonts w:hint="eastAsia"/>
          <w:color w:val="auto"/>
          <w:spacing w:val="0"/>
          <w:sz w:val="24"/>
          <w:highlight w:val="none"/>
        </w:rPr>
        <w:t>总量控制指标为：</w:t>
      </w:r>
      <w:r>
        <w:rPr>
          <w:color w:val="auto"/>
          <w:spacing w:val="0"/>
          <w:sz w:val="24"/>
          <w:highlight w:val="none"/>
        </w:rPr>
        <w:t xml:space="preserve"> VOCs</w:t>
      </w:r>
      <w:r>
        <w:rPr>
          <w:rFonts w:hint="eastAsia"/>
          <w:color w:val="auto"/>
          <w:spacing w:val="0"/>
          <w:sz w:val="24"/>
          <w:highlight w:val="none"/>
        </w:rPr>
        <w:t>（以</w:t>
      </w:r>
      <w:r>
        <w:rPr>
          <w:color w:val="auto"/>
          <w:spacing w:val="0"/>
          <w:sz w:val="24"/>
          <w:highlight w:val="none"/>
        </w:rPr>
        <w:t>非甲烷总烃计</w:t>
      </w:r>
      <w:r>
        <w:rPr>
          <w:rFonts w:hint="eastAsia"/>
          <w:color w:val="auto"/>
          <w:spacing w:val="0"/>
          <w:sz w:val="24"/>
          <w:highlight w:val="none"/>
        </w:rPr>
        <w:t>）</w:t>
      </w:r>
      <w:r>
        <w:rPr>
          <w:rFonts w:hint="eastAsia"/>
          <w:color w:val="auto"/>
          <w:spacing w:val="0"/>
          <w:sz w:val="24"/>
          <w:highlight w:val="none"/>
          <w:lang w:val="en-US" w:eastAsia="zh-CN"/>
        </w:rPr>
        <w:t>5.25</w:t>
      </w:r>
      <w:r>
        <w:rPr>
          <w:color w:val="auto"/>
          <w:spacing w:val="0"/>
          <w:sz w:val="24"/>
          <w:highlight w:val="none"/>
        </w:rPr>
        <w:t>t/a</w:t>
      </w:r>
      <w:bookmarkEnd w:id="73"/>
      <w:r>
        <w:rPr>
          <w:rFonts w:ascii="Times New Roman" w:hAnsi="Times New Roman"/>
          <w:bCs/>
          <w:sz w:val="24"/>
          <w:szCs w:val="24"/>
        </w:rPr>
        <w:t>。</w:t>
      </w:r>
    </w:p>
    <w:p>
      <w:pPr>
        <w:pStyle w:val="7"/>
        <w:ind w:firstLine="480"/>
        <w:rPr>
          <w:rFonts w:cs="Times New Roman"/>
        </w:rPr>
        <w:sectPr>
          <w:pgSz w:w="11906" w:h="16838"/>
          <w:pgMar w:top="1440" w:right="1797" w:bottom="1440" w:left="1797" w:header="851" w:footer="992" w:gutter="0"/>
          <w:pgNumType w:fmt="numberInDash"/>
          <w:cols w:space="720" w:num="1"/>
          <w:docGrid w:type="lines" w:linePitch="312" w:charSpace="0"/>
        </w:sectPr>
      </w:pPr>
    </w:p>
    <w:p>
      <w:pPr>
        <w:pStyle w:val="3"/>
        <w:spacing w:before="156" w:after="156"/>
        <w:jc w:val="center"/>
        <w:rPr>
          <w:rFonts w:eastAsia="宋体"/>
        </w:rPr>
      </w:pPr>
      <w:bookmarkStart w:id="74" w:name="_Toc19947"/>
      <w:r>
        <w:rPr>
          <w:rFonts w:eastAsia="宋体"/>
        </w:rPr>
        <w:t>环境影响预测与评价</w:t>
      </w:r>
      <w:bookmarkEnd w:id="74"/>
    </w:p>
    <w:p>
      <w:pPr>
        <w:pStyle w:val="4"/>
        <w:spacing w:before="156" w:after="156"/>
        <w:rPr>
          <w:rFonts w:eastAsia="宋体"/>
        </w:rPr>
      </w:pPr>
      <w:bookmarkStart w:id="75" w:name="_Toc25925"/>
      <w:r>
        <w:rPr>
          <w:rFonts w:eastAsia="宋体"/>
        </w:rPr>
        <w:t>施工期环境影响分析</w:t>
      </w:r>
      <w:bookmarkEnd w:id="75"/>
    </w:p>
    <w:p>
      <w:pPr>
        <w:pStyle w:val="7"/>
        <w:ind w:firstLine="480"/>
        <w:rPr>
          <w:rFonts w:cs="Times New Roman"/>
          <w:lang w:val="zh-CN"/>
        </w:rPr>
      </w:pPr>
      <w:r>
        <w:rPr>
          <w:rFonts w:cs="Times New Roman"/>
          <w:lang w:val="zh-CN"/>
        </w:rPr>
        <w:t>本项目施工内容主要包括土建、附属设施及管道建设、设备安装等。施工期间对环境的影响主要是扬尘、废水、施工噪声、建筑垃圾等。</w:t>
      </w:r>
    </w:p>
    <w:p>
      <w:pPr>
        <w:pStyle w:val="7"/>
        <w:ind w:firstLine="480"/>
        <w:rPr>
          <w:rFonts w:cs="Times New Roman"/>
        </w:rPr>
      </w:pPr>
      <w:r>
        <w:rPr>
          <w:rFonts w:cs="Times New Roman"/>
        </w:rPr>
        <w:t>项目施工对环境污染影响特征见</w:t>
      </w:r>
      <w:r>
        <w:rPr>
          <w:rFonts w:hint="eastAsia" w:cs="Times New Roman"/>
          <w:lang w:val="zh-CN"/>
        </w:rPr>
        <w:t>表</w:t>
      </w:r>
      <w:r>
        <w:rPr>
          <w:rFonts w:hint="eastAsia" w:cs="Times New Roman"/>
          <w:lang w:val="en-US" w:eastAsia="zh-CN"/>
        </w:rPr>
        <w:t>4</w:t>
      </w:r>
      <w:r>
        <w:rPr>
          <w:rFonts w:hint="eastAsia" w:cs="Times New Roman"/>
          <w:lang w:val="zh-CN"/>
        </w:rPr>
        <w:t>.1-1</w:t>
      </w:r>
      <w:r>
        <w:rPr>
          <w:rFonts w:cs="Times New Roman"/>
        </w:rPr>
        <w:t>。</w:t>
      </w:r>
    </w:p>
    <w:p>
      <w:pPr>
        <w:pStyle w:val="36"/>
        <w:spacing w:before="156"/>
        <w:rPr>
          <w:rFonts w:eastAsia="宋体"/>
        </w:rPr>
      </w:pPr>
      <w:bookmarkStart w:id="76" w:name="_Ref10056349"/>
      <w:r>
        <w:rPr>
          <w:rFonts w:eastAsia="宋体"/>
        </w:rPr>
        <w:t>表</w:t>
      </w:r>
      <w:r>
        <w:rPr>
          <w:rFonts w:hint="eastAsia" w:eastAsia="宋体"/>
          <w:lang w:val="en-US" w:eastAsia="zh-CN"/>
        </w:rPr>
        <w:t>4</w:t>
      </w:r>
      <w:r>
        <w:rPr>
          <w:rFonts w:hint="eastAsia" w:eastAsia="宋体"/>
        </w:rPr>
        <w:t>.1-1</w:t>
      </w:r>
      <w:bookmarkEnd w:id="76"/>
      <w:r>
        <w:rPr>
          <w:rFonts w:eastAsia="宋体"/>
        </w:rPr>
        <w:t xml:space="preserve">  施工期环境影响特征表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17"/>
        <w:gridCol w:w="6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1033" w:type="pct"/>
            <w:tcBorders>
              <w:tl2br w:val="nil"/>
              <w:tr2bl w:val="nil"/>
            </w:tcBorders>
            <w:shd w:val="clear" w:color="auto" w:fill="auto"/>
            <w:vAlign w:val="center"/>
          </w:tcPr>
          <w:p>
            <w:pPr>
              <w:pStyle w:val="34"/>
            </w:pPr>
            <w:r>
              <w:t>施工期主要活动</w:t>
            </w:r>
          </w:p>
        </w:tc>
        <w:tc>
          <w:tcPr>
            <w:tcW w:w="3967" w:type="pct"/>
            <w:tcBorders>
              <w:tl2br w:val="nil"/>
              <w:tr2bl w:val="nil"/>
            </w:tcBorders>
            <w:shd w:val="clear" w:color="auto" w:fill="auto"/>
            <w:vAlign w:val="center"/>
          </w:tcPr>
          <w:p>
            <w:pPr>
              <w:pStyle w:val="34"/>
            </w:pPr>
            <w:r>
              <w:t>施工期环境影响特征说明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3" w:type="pct"/>
            <w:vMerge w:val="restart"/>
            <w:tcBorders>
              <w:tl2br w:val="nil"/>
              <w:tr2bl w:val="nil"/>
            </w:tcBorders>
            <w:shd w:val="clear" w:color="auto" w:fill="auto"/>
            <w:vAlign w:val="center"/>
          </w:tcPr>
          <w:p>
            <w:pPr>
              <w:pStyle w:val="34"/>
            </w:pPr>
            <w:r>
              <w:t>地表开挖及建构筑物施工</w:t>
            </w:r>
          </w:p>
        </w:tc>
        <w:tc>
          <w:tcPr>
            <w:tcW w:w="3967" w:type="pct"/>
            <w:tcBorders>
              <w:tl2br w:val="nil"/>
              <w:tr2bl w:val="nil"/>
            </w:tcBorders>
            <w:shd w:val="clear" w:color="auto" w:fill="auto"/>
            <w:vAlign w:val="center"/>
          </w:tcPr>
          <w:p>
            <w:pPr>
              <w:pStyle w:val="34"/>
            </w:pPr>
            <w:r>
              <w:t>废气：施工机械排放废气及运输产生汽车尾气</w:t>
            </w:r>
          </w:p>
          <w:p>
            <w:pPr>
              <w:pStyle w:val="34"/>
            </w:pPr>
            <w:r>
              <w:t>粉尘：运输产生地面扬尘，物料堆扬尘、地基开挖、建材装卸等过程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3" w:type="pct"/>
            <w:vMerge w:val="continue"/>
            <w:tcBorders>
              <w:tl2br w:val="nil"/>
              <w:tr2bl w:val="nil"/>
            </w:tcBorders>
            <w:shd w:val="clear" w:color="auto" w:fill="auto"/>
            <w:vAlign w:val="center"/>
          </w:tcPr>
          <w:p>
            <w:pPr>
              <w:pStyle w:val="34"/>
            </w:pPr>
          </w:p>
        </w:tc>
        <w:tc>
          <w:tcPr>
            <w:tcW w:w="3967" w:type="pct"/>
            <w:tcBorders>
              <w:tl2br w:val="nil"/>
              <w:tr2bl w:val="nil"/>
            </w:tcBorders>
            <w:shd w:val="clear" w:color="auto" w:fill="auto"/>
            <w:vAlign w:val="center"/>
          </w:tcPr>
          <w:p>
            <w:pPr>
              <w:pStyle w:val="34"/>
            </w:pPr>
            <w:r>
              <w:t>噪声：机械噪声、交通运输噪声等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3" w:type="pct"/>
            <w:vMerge w:val="continue"/>
            <w:tcBorders>
              <w:tl2br w:val="nil"/>
              <w:tr2bl w:val="nil"/>
            </w:tcBorders>
            <w:shd w:val="clear" w:color="auto" w:fill="auto"/>
            <w:vAlign w:val="center"/>
          </w:tcPr>
          <w:p>
            <w:pPr>
              <w:pStyle w:val="34"/>
            </w:pPr>
          </w:p>
        </w:tc>
        <w:tc>
          <w:tcPr>
            <w:tcW w:w="3967" w:type="pct"/>
            <w:tcBorders>
              <w:tl2br w:val="nil"/>
              <w:tr2bl w:val="nil"/>
            </w:tcBorders>
            <w:shd w:val="clear" w:color="auto" w:fill="auto"/>
            <w:vAlign w:val="center"/>
          </w:tcPr>
          <w:p>
            <w:pPr>
              <w:pStyle w:val="34"/>
            </w:pPr>
            <w:r>
              <w:t>弃渣：施工建筑垃圾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3" w:type="pct"/>
            <w:vMerge w:val="continue"/>
            <w:tcBorders>
              <w:tl2br w:val="nil"/>
              <w:tr2bl w:val="nil"/>
            </w:tcBorders>
            <w:shd w:val="clear" w:color="auto" w:fill="auto"/>
            <w:vAlign w:val="center"/>
          </w:tcPr>
          <w:p>
            <w:pPr>
              <w:pStyle w:val="34"/>
            </w:pPr>
          </w:p>
        </w:tc>
        <w:tc>
          <w:tcPr>
            <w:tcW w:w="3967" w:type="pct"/>
            <w:tcBorders>
              <w:tl2br w:val="nil"/>
              <w:tr2bl w:val="nil"/>
            </w:tcBorders>
            <w:shd w:val="clear" w:color="auto" w:fill="auto"/>
            <w:vAlign w:val="center"/>
          </w:tcPr>
          <w:p>
            <w:pPr>
              <w:pStyle w:val="34"/>
            </w:pPr>
            <w:r>
              <w:t>废水：主要为施工机械清洗废水、施工人员产生的</w:t>
            </w:r>
            <w:r>
              <w:rPr>
                <w:rFonts w:hint="eastAsia"/>
              </w:rPr>
              <w:t>生活污水</w:t>
            </w:r>
            <w: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3" w:type="pct"/>
            <w:vMerge w:val="restart"/>
            <w:tcBorders>
              <w:tl2br w:val="nil"/>
              <w:tr2bl w:val="nil"/>
            </w:tcBorders>
            <w:shd w:val="clear" w:color="auto" w:fill="auto"/>
            <w:vAlign w:val="center"/>
          </w:tcPr>
          <w:p>
            <w:pPr>
              <w:pStyle w:val="34"/>
            </w:pPr>
            <w:r>
              <w:t>设备安装施工</w:t>
            </w:r>
          </w:p>
        </w:tc>
        <w:tc>
          <w:tcPr>
            <w:tcW w:w="3967" w:type="pct"/>
            <w:tcBorders>
              <w:tl2br w:val="nil"/>
              <w:tr2bl w:val="nil"/>
            </w:tcBorders>
            <w:shd w:val="clear" w:color="auto" w:fill="auto"/>
            <w:vAlign w:val="center"/>
          </w:tcPr>
          <w:p>
            <w:pPr>
              <w:pStyle w:val="34"/>
            </w:pPr>
            <w:r>
              <w:t>噪声：电焊机、电钻等机械噪声等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3" w:type="pct"/>
            <w:vMerge w:val="continue"/>
            <w:tcBorders>
              <w:tl2br w:val="nil"/>
              <w:tr2bl w:val="nil"/>
            </w:tcBorders>
            <w:shd w:val="clear" w:color="auto" w:fill="auto"/>
            <w:vAlign w:val="center"/>
          </w:tcPr>
          <w:p>
            <w:pPr>
              <w:pStyle w:val="34"/>
            </w:pPr>
          </w:p>
        </w:tc>
        <w:tc>
          <w:tcPr>
            <w:tcW w:w="3967" w:type="pct"/>
            <w:tcBorders>
              <w:tl2br w:val="nil"/>
              <w:tr2bl w:val="nil"/>
            </w:tcBorders>
            <w:shd w:val="clear" w:color="auto" w:fill="auto"/>
            <w:vAlign w:val="center"/>
          </w:tcPr>
          <w:p>
            <w:pPr>
              <w:pStyle w:val="34"/>
            </w:pPr>
            <w:r>
              <w:t>弃渣：建筑垃圾、包装物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33" w:type="pct"/>
            <w:vMerge w:val="continue"/>
            <w:tcBorders>
              <w:tl2br w:val="nil"/>
              <w:tr2bl w:val="nil"/>
            </w:tcBorders>
            <w:shd w:val="clear" w:color="auto" w:fill="auto"/>
            <w:vAlign w:val="center"/>
          </w:tcPr>
          <w:p>
            <w:pPr>
              <w:pStyle w:val="34"/>
            </w:pPr>
          </w:p>
        </w:tc>
        <w:tc>
          <w:tcPr>
            <w:tcW w:w="3967" w:type="pct"/>
            <w:tcBorders>
              <w:tl2br w:val="nil"/>
              <w:tr2bl w:val="nil"/>
            </w:tcBorders>
            <w:shd w:val="clear" w:color="auto" w:fill="auto"/>
            <w:vAlign w:val="center"/>
          </w:tcPr>
          <w:p>
            <w:pPr>
              <w:pStyle w:val="34"/>
            </w:pPr>
            <w:r>
              <w:t>废水：施工人员产生的</w:t>
            </w:r>
            <w:r>
              <w:rPr>
                <w:rFonts w:hint="eastAsia"/>
              </w:rPr>
              <w:t>生活污水</w:t>
            </w:r>
          </w:p>
        </w:tc>
      </w:tr>
    </w:tbl>
    <w:p>
      <w:pPr>
        <w:pStyle w:val="5"/>
        <w:rPr>
          <w:rFonts w:cs="Times New Roman"/>
        </w:rPr>
      </w:pPr>
      <w:r>
        <w:rPr>
          <w:rFonts w:cs="Times New Roman"/>
        </w:rPr>
        <w:t>施工期水环境影响分析</w:t>
      </w:r>
    </w:p>
    <w:p>
      <w:pPr>
        <w:pStyle w:val="7"/>
        <w:ind w:firstLine="480"/>
        <w:rPr>
          <w:rFonts w:cs="Times New Roman"/>
          <w:lang w:val="zh-CN"/>
        </w:rPr>
      </w:pPr>
      <w:r>
        <w:rPr>
          <w:rFonts w:cs="Times New Roman"/>
          <w:lang w:val="zh-CN"/>
        </w:rPr>
        <w:t>施工期废水来源主要为施工人员生活污水、施工废水等。</w:t>
      </w:r>
    </w:p>
    <w:p>
      <w:pPr>
        <w:pStyle w:val="7"/>
        <w:adjustRightInd w:val="0"/>
        <w:snapToGrid w:val="0"/>
        <w:ind w:firstLine="480"/>
        <w:rPr>
          <w:rFonts w:cs="Times New Roman"/>
          <w:lang w:val="zh-CN"/>
        </w:rPr>
      </w:pPr>
      <w:r>
        <w:rPr>
          <w:rFonts w:cs="Times New Roman"/>
          <w:lang w:val="zh-CN"/>
        </w:rPr>
        <w:t>施工过程中产生的废水主要为浇灌混凝土等产生的废水，其产生量较小，施工废水采用临时沉淀池沉淀后回用于施工或用于施工场地洒水降尘，不外排，对环境影响较小。</w:t>
      </w:r>
    </w:p>
    <w:p>
      <w:pPr>
        <w:pStyle w:val="7"/>
        <w:adjustRightInd w:val="0"/>
        <w:snapToGrid w:val="0"/>
        <w:ind w:firstLine="480"/>
        <w:rPr>
          <w:rFonts w:cs="Times New Roman"/>
          <w:lang w:val="zh-CN"/>
        </w:rPr>
      </w:pPr>
      <w:r>
        <w:rPr>
          <w:rFonts w:cs="Times New Roman"/>
          <w:lang w:val="zh-CN"/>
        </w:rPr>
        <w:t>项目施工现场约有各类工人、管理人员</w:t>
      </w:r>
      <w:r>
        <w:rPr>
          <w:rFonts w:hint="eastAsia" w:cs="Times New Roman"/>
          <w:lang w:val="zh-CN"/>
        </w:rPr>
        <w:t>20</w:t>
      </w:r>
      <w:r>
        <w:rPr>
          <w:rFonts w:cs="Times New Roman"/>
          <w:lang w:val="zh-CN"/>
        </w:rPr>
        <w:t>人。</w:t>
      </w:r>
      <w:r>
        <w:rPr>
          <w:rFonts w:hint="eastAsia" w:cs="Times New Roman"/>
          <w:lang w:val="zh-CN"/>
        </w:rPr>
        <w:t>施工期先行建设防渗化粪池，施工生活污水暂存于防渗化粪池内，定期由环卫部门拉运处理。</w:t>
      </w:r>
    </w:p>
    <w:p>
      <w:pPr>
        <w:pStyle w:val="7"/>
        <w:adjustRightInd w:val="0"/>
        <w:snapToGrid w:val="0"/>
        <w:ind w:firstLine="480"/>
        <w:rPr>
          <w:rFonts w:cs="Times New Roman"/>
          <w:lang w:val="zh-CN"/>
        </w:rPr>
      </w:pPr>
      <w:r>
        <w:rPr>
          <w:rFonts w:cs="Times New Roman"/>
          <w:lang w:val="zh-CN"/>
        </w:rPr>
        <w:t>综上，施工期废水均采取有效处理措施，不会对水环境产生不利影响。</w:t>
      </w:r>
    </w:p>
    <w:p>
      <w:pPr>
        <w:pStyle w:val="5"/>
        <w:rPr>
          <w:rFonts w:cs="Times New Roman"/>
        </w:rPr>
      </w:pPr>
      <w:r>
        <w:rPr>
          <w:rFonts w:cs="Times New Roman"/>
        </w:rPr>
        <w:t>施工期大气环境影响分析</w:t>
      </w:r>
    </w:p>
    <w:p>
      <w:pPr>
        <w:pStyle w:val="7"/>
        <w:ind w:firstLine="480"/>
        <w:rPr>
          <w:rFonts w:cs="Times New Roman"/>
          <w:lang w:val="zh-CN"/>
        </w:rPr>
      </w:pPr>
      <w:r>
        <w:rPr>
          <w:rFonts w:cs="Times New Roman"/>
          <w:lang w:val="zh-CN"/>
        </w:rPr>
        <w:t>建设项目施工期产生的大气污染物主要是扬尘和施工机械燃油废气。</w:t>
      </w:r>
    </w:p>
    <w:p>
      <w:pPr>
        <w:pStyle w:val="7"/>
        <w:ind w:firstLine="480"/>
        <w:rPr>
          <w:rFonts w:cs="Times New Roman"/>
          <w:lang w:val="zh-CN"/>
        </w:rPr>
      </w:pPr>
      <w:r>
        <w:rPr>
          <w:rFonts w:cs="Times New Roman"/>
          <w:lang w:val="zh-CN"/>
        </w:rPr>
        <w:t>（1）扬尘</w:t>
      </w:r>
    </w:p>
    <w:p>
      <w:pPr>
        <w:pStyle w:val="7"/>
        <w:ind w:firstLine="480"/>
        <w:rPr>
          <w:rFonts w:cs="Times New Roman"/>
          <w:lang w:val="zh-CN"/>
        </w:rPr>
      </w:pPr>
      <w:r>
        <w:rPr>
          <w:rFonts w:cs="Times New Roman"/>
          <w:lang w:val="zh-CN"/>
        </w:rPr>
        <w:t>建设项目施工期的主要起尘环节如下：</w:t>
      </w:r>
    </w:p>
    <w:p>
      <w:pPr>
        <w:pStyle w:val="7"/>
        <w:ind w:firstLine="480"/>
        <w:rPr>
          <w:rFonts w:cs="Times New Roman"/>
          <w:lang w:val="zh-CN"/>
        </w:rPr>
      </w:pPr>
      <w:r>
        <w:rPr>
          <w:rFonts w:ascii="Cambria Math" w:hAnsi="Cambria Math" w:cs="Cambria Math"/>
          <w:lang w:val="zh-CN"/>
        </w:rPr>
        <w:t>①</w:t>
      </w:r>
      <w:r>
        <w:rPr>
          <w:rFonts w:cs="Times New Roman"/>
          <w:lang w:val="zh-CN"/>
        </w:rPr>
        <w:t>在基础施工和运输等过程将产生一定程度的扬尘污染；</w:t>
      </w:r>
    </w:p>
    <w:p>
      <w:pPr>
        <w:pStyle w:val="7"/>
        <w:ind w:firstLine="480"/>
        <w:rPr>
          <w:rFonts w:cs="Times New Roman"/>
          <w:lang w:val="zh-CN"/>
        </w:rPr>
      </w:pPr>
      <w:r>
        <w:rPr>
          <w:rFonts w:ascii="Cambria Math" w:hAnsi="Cambria Math" w:cs="Cambria Math"/>
          <w:lang w:val="zh-CN"/>
        </w:rPr>
        <w:t>②</w:t>
      </w:r>
      <w:r>
        <w:rPr>
          <w:rFonts w:cs="Times New Roman"/>
          <w:lang w:val="zh-CN"/>
        </w:rPr>
        <w:t>挖掘机、装载机等机械作业处产生的扬尘；</w:t>
      </w:r>
    </w:p>
    <w:p>
      <w:pPr>
        <w:pStyle w:val="7"/>
        <w:ind w:firstLine="480"/>
        <w:rPr>
          <w:rFonts w:cs="Times New Roman"/>
          <w:lang w:val="zh-CN"/>
        </w:rPr>
      </w:pPr>
      <w:r>
        <w:rPr>
          <w:rFonts w:ascii="Cambria Math" w:hAnsi="Cambria Math" w:cs="Cambria Math"/>
          <w:lang w:val="zh-CN"/>
        </w:rPr>
        <w:t>③</w:t>
      </w:r>
      <w:r>
        <w:rPr>
          <w:rFonts w:cs="Times New Roman"/>
          <w:lang w:val="zh-CN"/>
        </w:rPr>
        <w:t>材料堆场在空气动力作用下起尘；</w:t>
      </w:r>
    </w:p>
    <w:p>
      <w:pPr>
        <w:pStyle w:val="7"/>
        <w:ind w:firstLine="480"/>
        <w:rPr>
          <w:rFonts w:cs="Times New Roman"/>
          <w:lang w:val="zh-CN"/>
        </w:rPr>
      </w:pPr>
      <w:r>
        <w:rPr>
          <w:rFonts w:ascii="Cambria Math" w:hAnsi="Cambria Math" w:cs="Cambria Math"/>
          <w:lang w:val="zh-CN"/>
        </w:rPr>
        <w:t>④</w:t>
      </w:r>
      <w:r>
        <w:rPr>
          <w:rFonts w:cs="Times New Roman"/>
          <w:lang w:val="zh-CN"/>
        </w:rPr>
        <w:t>汽车在运送砂石料过程中，由于振动或风力等因素引起的物料洒落起尘或路面二次扬尘。</w:t>
      </w:r>
    </w:p>
    <w:p>
      <w:pPr>
        <w:pStyle w:val="7"/>
        <w:ind w:firstLine="480"/>
        <w:rPr>
          <w:rFonts w:cs="Times New Roman"/>
        </w:rPr>
      </w:pPr>
      <w:r>
        <w:rPr>
          <w:rFonts w:cs="Times New Roman"/>
        </w:rPr>
        <w:t>施工期，环境空气影响因素主要为施工扬尘，来源于多项粉尘无组织源：建筑场地的平整清理，土石方的开挖、回填、堆放及运输，物料堆存，建筑材料的装卸、搬运、使用，以及运料车辆的出入等，都易产生扬尘。根据多个建筑施工工地的扬尘情况监测调查，当风速为2.4m/s时，工地内TSP浓度为上风对照点的1.5～2.3倍；影响范围多在下风向360m之内，被影响的地区TSP浓度平均值约0.491mg/m</w:t>
      </w:r>
      <w:r>
        <w:rPr>
          <w:rFonts w:cs="Times New Roman"/>
          <w:vertAlign w:val="superscript"/>
        </w:rPr>
        <w:t>3</w:t>
      </w:r>
      <w:r>
        <w:rPr>
          <w:rFonts w:cs="Times New Roman"/>
        </w:rPr>
        <w:t>。施工扬尘主要影响下风向的下风区域，所以施工期间的扬尘污染源要严格管理，遇四级以上大风天气禁止土方施工，露天堆放的物料要苫盖，施工场地和车辆过往的道路要经常洒水，进出车辆的车轮要经常冲洗，这样可以把施工扬尘控制在最低水平。</w:t>
      </w:r>
    </w:p>
    <w:p>
      <w:pPr>
        <w:pStyle w:val="7"/>
        <w:ind w:firstLine="480"/>
        <w:rPr>
          <w:rFonts w:cs="Times New Roman"/>
          <w:lang w:val="zh-CN"/>
        </w:rPr>
      </w:pPr>
      <w:r>
        <w:rPr>
          <w:rFonts w:cs="Times New Roman"/>
          <w:lang w:val="zh-CN"/>
        </w:rPr>
        <w:t>（2）施工机械、车辆尾气</w:t>
      </w:r>
    </w:p>
    <w:p>
      <w:pPr>
        <w:pStyle w:val="7"/>
        <w:ind w:firstLine="480"/>
        <w:rPr>
          <w:rFonts w:cs="Times New Roman"/>
          <w:lang w:val="zh-CN"/>
        </w:rPr>
      </w:pPr>
      <w:r>
        <w:rPr>
          <w:rFonts w:cs="Times New Roman"/>
          <w:lang w:val="zh-CN"/>
        </w:rPr>
        <w:t>在项目施工过程中各类燃油动力机械在挖方、填筑、清理、平整、运输等过程中将排放燃油废气，其主要污染物为SO</w:t>
      </w:r>
      <w:r>
        <w:rPr>
          <w:rFonts w:cs="Times New Roman"/>
          <w:vertAlign w:val="subscript"/>
          <w:lang w:val="zh-CN"/>
        </w:rPr>
        <w:t>2</w:t>
      </w:r>
      <w:r>
        <w:rPr>
          <w:rFonts w:cs="Times New Roman"/>
          <w:lang w:val="zh-CN"/>
        </w:rPr>
        <w:t>、NO</w:t>
      </w:r>
      <w:r>
        <w:rPr>
          <w:rFonts w:cs="Times New Roman"/>
          <w:vertAlign w:val="subscript"/>
          <w:lang w:val="zh-CN"/>
        </w:rPr>
        <w:t>X</w:t>
      </w:r>
      <w:r>
        <w:rPr>
          <w:rFonts w:cs="Times New Roman"/>
          <w:lang w:val="zh-CN"/>
        </w:rPr>
        <w:t>和CO等。施工期较短，排放量有限，排放方式为间断散排。</w:t>
      </w:r>
    </w:p>
    <w:p>
      <w:pPr>
        <w:pStyle w:val="7"/>
        <w:ind w:firstLine="480"/>
        <w:rPr>
          <w:rFonts w:cs="Times New Roman"/>
          <w:lang w:val="zh-CN"/>
        </w:rPr>
      </w:pPr>
      <w:r>
        <w:rPr>
          <w:rFonts w:cs="Times New Roman"/>
          <w:lang w:val="zh-CN"/>
        </w:rPr>
        <w:t>由于施工的燃油机械为间断作业，且使用数量不多，因此所排的燃油废气污染物仅对施工点的空气质量产生间断的较小不利影响。</w:t>
      </w:r>
    </w:p>
    <w:p>
      <w:pPr>
        <w:pStyle w:val="5"/>
        <w:rPr>
          <w:rFonts w:cs="Times New Roman"/>
        </w:rPr>
      </w:pPr>
      <w:r>
        <w:rPr>
          <w:rFonts w:cs="Times New Roman"/>
        </w:rPr>
        <w:t>施工期声环境影响分析</w:t>
      </w:r>
    </w:p>
    <w:p>
      <w:pPr>
        <w:pStyle w:val="6"/>
      </w:pPr>
      <w:r>
        <w:t>噪声源强</w:t>
      </w:r>
    </w:p>
    <w:p>
      <w:pPr>
        <w:pStyle w:val="7"/>
        <w:ind w:firstLine="480"/>
        <w:rPr>
          <w:rFonts w:cs="Times New Roman"/>
          <w:lang w:val="zh-CN"/>
        </w:rPr>
      </w:pPr>
      <w:r>
        <w:rPr>
          <w:rFonts w:cs="Times New Roman"/>
          <w:lang w:val="zh-CN"/>
        </w:rPr>
        <w:t>噪声主要来自建筑施工、装修过程。建设期间产生的噪声具有阶段性、临时性和不固定性。</w:t>
      </w:r>
    </w:p>
    <w:p>
      <w:pPr>
        <w:pStyle w:val="7"/>
        <w:ind w:firstLine="480"/>
        <w:rPr>
          <w:rFonts w:cs="Times New Roman"/>
          <w:lang w:val="zh-CN"/>
        </w:rPr>
      </w:pPr>
      <w:r>
        <w:rPr>
          <w:rFonts w:cs="Times New Roman"/>
          <w:lang w:val="zh-CN"/>
        </w:rPr>
        <w:t>《</w:t>
      </w:r>
      <w:r>
        <w:rPr>
          <w:rFonts w:hint="eastAsia" w:cs="Times New Roman"/>
          <w:lang w:val="zh-CN"/>
        </w:rPr>
        <w:t>环境噪声与振动控制工程技术导则</w:t>
      </w:r>
      <w:r>
        <w:rPr>
          <w:rFonts w:cs="Times New Roman"/>
          <w:lang w:val="zh-CN"/>
        </w:rPr>
        <w:t>》(HJ2034-2013)附录A中列出了常用施工机械所产生的噪声值，具体见</w:t>
      </w:r>
      <w:r>
        <w:rPr>
          <w:rFonts w:hint="eastAsia" w:cs="Times New Roman"/>
          <w:lang w:val="zh-CN"/>
        </w:rPr>
        <w:t>表</w:t>
      </w:r>
      <w:r>
        <w:rPr>
          <w:rFonts w:hint="eastAsia" w:cs="Times New Roman"/>
          <w:lang w:val="en-US" w:eastAsia="zh-CN"/>
        </w:rPr>
        <w:t>4</w:t>
      </w:r>
      <w:r>
        <w:rPr>
          <w:rFonts w:hint="eastAsia" w:cs="Times New Roman"/>
          <w:lang w:val="zh-CN"/>
        </w:rPr>
        <w:t>.1-2</w:t>
      </w:r>
      <w:r>
        <w:rPr>
          <w:rFonts w:cs="Times New Roman"/>
          <w:lang w:val="zh-CN"/>
        </w:rPr>
        <w:t>。</w:t>
      </w:r>
    </w:p>
    <w:p>
      <w:pPr>
        <w:pStyle w:val="36"/>
        <w:spacing w:before="156"/>
        <w:rPr>
          <w:rFonts w:eastAsia="宋体"/>
        </w:rPr>
      </w:pPr>
      <w:bookmarkStart w:id="77" w:name="_Ref111547853"/>
      <w:r>
        <w:rPr>
          <w:rFonts w:eastAsia="宋体"/>
        </w:rPr>
        <w:t>表</w:t>
      </w:r>
      <w:r>
        <w:rPr>
          <w:rFonts w:hint="eastAsia" w:eastAsia="宋体"/>
          <w:lang w:val="en-US" w:eastAsia="zh-CN"/>
        </w:rPr>
        <w:t>4</w:t>
      </w:r>
      <w:r>
        <w:rPr>
          <w:rFonts w:hint="eastAsia" w:eastAsia="宋体"/>
        </w:rPr>
        <w:t>.1-2</w:t>
      </w:r>
      <w:bookmarkEnd w:id="77"/>
      <w:r>
        <w:rPr>
          <w:rFonts w:eastAsia="宋体"/>
        </w:rPr>
        <w:t xml:space="preserve">  常用施工机械噪声值   单位：dB（A）</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247"/>
        <w:gridCol w:w="1366"/>
        <w:gridCol w:w="1760"/>
        <w:gridCol w:w="1247"/>
        <w:gridCol w:w="1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施工设备名称</w:t>
            </w:r>
          </w:p>
        </w:tc>
        <w:tc>
          <w:tcPr>
            <w:tcW w:w="731" w:type="pct"/>
            <w:tcBorders>
              <w:tl2br w:val="nil"/>
              <w:tr2bl w:val="nil"/>
            </w:tcBorders>
            <w:vAlign w:val="center"/>
          </w:tcPr>
          <w:p>
            <w:pPr>
              <w:pStyle w:val="34"/>
              <w:rPr>
                <w:lang w:eastAsia="en-US"/>
              </w:rPr>
            </w:pPr>
            <w:r>
              <w:t>距声源5m</w:t>
            </w:r>
          </w:p>
        </w:tc>
        <w:tc>
          <w:tcPr>
            <w:tcW w:w="801" w:type="pct"/>
            <w:tcBorders>
              <w:tl2br w:val="nil"/>
              <w:tr2bl w:val="nil"/>
            </w:tcBorders>
            <w:vAlign w:val="center"/>
          </w:tcPr>
          <w:p>
            <w:pPr>
              <w:pStyle w:val="34"/>
              <w:rPr>
                <w:lang w:eastAsia="en-US"/>
              </w:rPr>
            </w:pPr>
            <w:r>
              <w:t>距声源10m</w:t>
            </w:r>
          </w:p>
        </w:tc>
        <w:tc>
          <w:tcPr>
            <w:tcW w:w="1032" w:type="pct"/>
            <w:tcBorders>
              <w:tl2br w:val="nil"/>
              <w:tr2bl w:val="nil"/>
            </w:tcBorders>
            <w:vAlign w:val="center"/>
          </w:tcPr>
          <w:p>
            <w:pPr>
              <w:pStyle w:val="34"/>
              <w:rPr>
                <w:lang w:eastAsia="en-US"/>
              </w:rPr>
            </w:pPr>
            <w:r>
              <w:t>施工设备名称</w:t>
            </w:r>
          </w:p>
        </w:tc>
        <w:tc>
          <w:tcPr>
            <w:tcW w:w="731" w:type="pct"/>
            <w:tcBorders>
              <w:tl2br w:val="nil"/>
              <w:tr2bl w:val="nil"/>
            </w:tcBorders>
            <w:vAlign w:val="center"/>
          </w:tcPr>
          <w:p>
            <w:pPr>
              <w:pStyle w:val="34"/>
              <w:rPr>
                <w:lang w:eastAsia="en-US"/>
              </w:rPr>
            </w:pPr>
            <w:r>
              <w:t>距声源5m</w:t>
            </w:r>
          </w:p>
        </w:tc>
        <w:tc>
          <w:tcPr>
            <w:tcW w:w="800" w:type="pct"/>
            <w:tcBorders>
              <w:tl2br w:val="nil"/>
              <w:tr2bl w:val="nil"/>
            </w:tcBorders>
            <w:vAlign w:val="center"/>
          </w:tcPr>
          <w:p>
            <w:pPr>
              <w:pStyle w:val="34"/>
              <w:rPr>
                <w:lang w:eastAsia="en-US"/>
              </w:rPr>
            </w:pPr>
            <w:r>
              <w:t>距声源10m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液压挖掘机</w:t>
            </w:r>
          </w:p>
        </w:tc>
        <w:tc>
          <w:tcPr>
            <w:tcW w:w="731" w:type="pct"/>
            <w:tcBorders>
              <w:tl2br w:val="nil"/>
              <w:tr2bl w:val="nil"/>
            </w:tcBorders>
            <w:vAlign w:val="center"/>
          </w:tcPr>
          <w:p>
            <w:pPr>
              <w:pStyle w:val="34"/>
              <w:rPr>
                <w:lang w:eastAsia="en-US"/>
              </w:rPr>
            </w:pPr>
            <w:r>
              <w:t>82～90</w:t>
            </w:r>
          </w:p>
        </w:tc>
        <w:tc>
          <w:tcPr>
            <w:tcW w:w="801" w:type="pct"/>
            <w:tcBorders>
              <w:tl2br w:val="nil"/>
              <w:tr2bl w:val="nil"/>
            </w:tcBorders>
            <w:vAlign w:val="center"/>
          </w:tcPr>
          <w:p>
            <w:pPr>
              <w:pStyle w:val="34"/>
              <w:rPr>
                <w:lang w:eastAsia="en-US"/>
              </w:rPr>
            </w:pPr>
            <w:r>
              <w:t>78～86</w:t>
            </w:r>
          </w:p>
        </w:tc>
        <w:tc>
          <w:tcPr>
            <w:tcW w:w="1032" w:type="pct"/>
            <w:tcBorders>
              <w:tl2br w:val="nil"/>
              <w:tr2bl w:val="nil"/>
            </w:tcBorders>
            <w:vAlign w:val="center"/>
          </w:tcPr>
          <w:p>
            <w:pPr>
              <w:pStyle w:val="34"/>
              <w:rPr>
                <w:lang w:eastAsia="en-US"/>
              </w:rPr>
            </w:pPr>
            <w:r>
              <w:t>振动夯锤</w:t>
            </w:r>
          </w:p>
        </w:tc>
        <w:tc>
          <w:tcPr>
            <w:tcW w:w="731" w:type="pct"/>
            <w:tcBorders>
              <w:tl2br w:val="nil"/>
              <w:tr2bl w:val="nil"/>
            </w:tcBorders>
            <w:vAlign w:val="center"/>
          </w:tcPr>
          <w:p>
            <w:pPr>
              <w:pStyle w:val="34"/>
              <w:rPr>
                <w:lang w:eastAsia="en-US"/>
              </w:rPr>
            </w:pPr>
            <w:r>
              <w:t>92～100</w:t>
            </w:r>
          </w:p>
        </w:tc>
        <w:tc>
          <w:tcPr>
            <w:tcW w:w="800" w:type="pct"/>
            <w:tcBorders>
              <w:tl2br w:val="nil"/>
              <w:tr2bl w:val="nil"/>
            </w:tcBorders>
            <w:vAlign w:val="center"/>
          </w:tcPr>
          <w:p>
            <w:pPr>
              <w:pStyle w:val="34"/>
              <w:rPr>
                <w:lang w:eastAsia="en-US"/>
              </w:rPr>
            </w:pPr>
            <w:r>
              <w:t>86～94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推土机</w:t>
            </w:r>
          </w:p>
        </w:tc>
        <w:tc>
          <w:tcPr>
            <w:tcW w:w="731" w:type="pct"/>
            <w:tcBorders>
              <w:tl2br w:val="nil"/>
              <w:tr2bl w:val="nil"/>
            </w:tcBorders>
            <w:vAlign w:val="center"/>
          </w:tcPr>
          <w:p>
            <w:pPr>
              <w:pStyle w:val="34"/>
              <w:rPr>
                <w:lang w:eastAsia="en-US"/>
              </w:rPr>
            </w:pPr>
            <w:r>
              <w:t>83～88</w:t>
            </w:r>
          </w:p>
        </w:tc>
        <w:tc>
          <w:tcPr>
            <w:tcW w:w="801" w:type="pct"/>
            <w:tcBorders>
              <w:tl2br w:val="nil"/>
              <w:tr2bl w:val="nil"/>
            </w:tcBorders>
            <w:vAlign w:val="center"/>
          </w:tcPr>
          <w:p>
            <w:pPr>
              <w:pStyle w:val="34"/>
              <w:rPr>
                <w:lang w:eastAsia="en-US"/>
              </w:rPr>
            </w:pPr>
            <w:r>
              <w:t>80～85</w:t>
            </w:r>
          </w:p>
        </w:tc>
        <w:tc>
          <w:tcPr>
            <w:tcW w:w="1032" w:type="pct"/>
            <w:tcBorders>
              <w:tl2br w:val="nil"/>
              <w:tr2bl w:val="nil"/>
            </w:tcBorders>
            <w:vAlign w:val="center"/>
          </w:tcPr>
          <w:p>
            <w:pPr>
              <w:pStyle w:val="34"/>
              <w:rPr>
                <w:lang w:eastAsia="en-US"/>
              </w:rPr>
            </w:pPr>
            <w:r>
              <w:t>风镐</w:t>
            </w:r>
          </w:p>
        </w:tc>
        <w:tc>
          <w:tcPr>
            <w:tcW w:w="731" w:type="pct"/>
            <w:tcBorders>
              <w:tl2br w:val="nil"/>
              <w:tr2bl w:val="nil"/>
            </w:tcBorders>
            <w:vAlign w:val="center"/>
          </w:tcPr>
          <w:p>
            <w:pPr>
              <w:pStyle w:val="34"/>
              <w:rPr>
                <w:lang w:eastAsia="en-US"/>
              </w:rPr>
            </w:pPr>
            <w:r>
              <w:t>88～92</w:t>
            </w:r>
          </w:p>
        </w:tc>
        <w:tc>
          <w:tcPr>
            <w:tcW w:w="800" w:type="pct"/>
            <w:tcBorders>
              <w:tl2br w:val="nil"/>
              <w:tr2bl w:val="nil"/>
            </w:tcBorders>
            <w:vAlign w:val="center"/>
          </w:tcPr>
          <w:p>
            <w:pPr>
              <w:pStyle w:val="34"/>
              <w:rPr>
                <w:lang w:eastAsia="en-US"/>
              </w:rPr>
            </w:pPr>
            <w:r>
              <w:t>83～87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移动式发电机</w:t>
            </w:r>
          </w:p>
        </w:tc>
        <w:tc>
          <w:tcPr>
            <w:tcW w:w="731" w:type="pct"/>
            <w:tcBorders>
              <w:tl2br w:val="nil"/>
              <w:tr2bl w:val="nil"/>
            </w:tcBorders>
            <w:vAlign w:val="center"/>
          </w:tcPr>
          <w:p>
            <w:pPr>
              <w:pStyle w:val="34"/>
              <w:rPr>
                <w:lang w:eastAsia="en-US"/>
              </w:rPr>
            </w:pPr>
            <w:r>
              <w:t>95～102</w:t>
            </w:r>
          </w:p>
        </w:tc>
        <w:tc>
          <w:tcPr>
            <w:tcW w:w="801" w:type="pct"/>
            <w:tcBorders>
              <w:tl2br w:val="nil"/>
              <w:tr2bl w:val="nil"/>
            </w:tcBorders>
            <w:vAlign w:val="center"/>
          </w:tcPr>
          <w:p>
            <w:pPr>
              <w:pStyle w:val="34"/>
              <w:rPr>
                <w:lang w:eastAsia="en-US"/>
              </w:rPr>
            </w:pPr>
            <w:r>
              <w:t>90～98</w:t>
            </w:r>
          </w:p>
        </w:tc>
        <w:tc>
          <w:tcPr>
            <w:tcW w:w="1032" w:type="pct"/>
            <w:tcBorders>
              <w:tl2br w:val="nil"/>
              <w:tr2bl w:val="nil"/>
            </w:tcBorders>
            <w:vAlign w:val="center"/>
          </w:tcPr>
          <w:p>
            <w:pPr>
              <w:pStyle w:val="34"/>
              <w:rPr>
                <w:lang w:eastAsia="en-US"/>
              </w:rPr>
            </w:pPr>
            <w:r>
              <w:t>混凝土输送泵</w:t>
            </w:r>
          </w:p>
        </w:tc>
        <w:tc>
          <w:tcPr>
            <w:tcW w:w="731" w:type="pct"/>
            <w:tcBorders>
              <w:tl2br w:val="nil"/>
              <w:tr2bl w:val="nil"/>
            </w:tcBorders>
            <w:vAlign w:val="center"/>
          </w:tcPr>
          <w:p>
            <w:pPr>
              <w:pStyle w:val="34"/>
              <w:rPr>
                <w:lang w:eastAsia="en-US"/>
              </w:rPr>
            </w:pPr>
            <w:r>
              <w:t>88～95</w:t>
            </w:r>
          </w:p>
        </w:tc>
        <w:tc>
          <w:tcPr>
            <w:tcW w:w="800" w:type="pct"/>
            <w:tcBorders>
              <w:tl2br w:val="nil"/>
              <w:tr2bl w:val="nil"/>
            </w:tcBorders>
            <w:vAlign w:val="center"/>
          </w:tcPr>
          <w:p>
            <w:pPr>
              <w:pStyle w:val="34"/>
              <w:rPr>
                <w:lang w:eastAsia="en-US"/>
              </w:rPr>
            </w:pPr>
            <w:r>
              <w:t>84～90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各类压路机</w:t>
            </w:r>
          </w:p>
        </w:tc>
        <w:tc>
          <w:tcPr>
            <w:tcW w:w="731" w:type="pct"/>
            <w:tcBorders>
              <w:tl2br w:val="nil"/>
              <w:tr2bl w:val="nil"/>
            </w:tcBorders>
            <w:vAlign w:val="center"/>
          </w:tcPr>
          <w:p>
            <w:pPr>
              <w:pStyle w:val="34"/>
              <w:rPr>
                <w:lang w:eastAsia="en-US"/>
              </w:rPr>
            </w:pPr>
            <w:r>
              <w:t>80～90</w:t>
            </w:r>
          </w:p>
        </w:tc>
        <w:tc>
          <w:tcPr>
            <w:tcW w:w="801" w:type="pct"/>
            <w:tcBorders>
              <w:tl2br w:val="nil"/>
              <w:tr2bl w:val="nil"/>
            </w:tcBorders>
            <w:vAlign w:val="center"/>
          </w:tcPr>
          <w:p>
            <w:pPr>
              <w:pStyle w:val="34"/>
              <w:rPr>
                <w:lang w:eastAsia="en-US"/>
              </w:rPr>
            </w:pPr>
            <w:r>
              <w:t>76～86</w:t>
            </w:r>
          </w:p>
        </w:tc>
        <w:tc>
          <w:tcPr>
            <w:tcW w:w="1032" w:type="pct"/>
            <w:tcBorders>
              <w:tl2br w:val="nil"/>
              <w:tr2bl w:val="nil"/>
            </w:tcBorders>
            <w:vAlign w:val="center"/>
          </w:tcPr>
          <w:p>
            <w:pPr>
              <w:pStyle w:val="34"/>
              <w:rPr>
                <w:lang w:eastAsia="en-US"/>
              </w:rPr>
            </w:pPr>
            <w:r>
              <w:t>商砼搅拌车</w:t>
            </w:r>
          </w:p>
        </w:tc>
        <w:tc>
          <w:tcPr>
            <w:tcW w:w="731" w:type="pct"/>
            <w:tcBorders>
              <w:tl2br w:val="nil"/>
              <w:tr2bl w:val="nil"/>
            </w:tcBorders>
            <w:vAlign w:val="center"/>
          </w:tcPr>
          <w:p>
            <w:pPr>
              <w:pStyle w:val="34"/>
              <w:rPr>
                <w:lang w:eastAsia="en-US"/>
              </w:rPr>
            </w:pPr>
            <w:r>
              <w:t>85～90</w:t>
            </w:r>
          </w:p>
        </w:tc>
        <w:tc>
          <w:tcPr>
            <w:tcW w:w="800" w:type="pct"/>
            <w:tcBorders>
              <w:tl2br w:val="nil"/>
              <w:tr2bl w:val="nil"/>
            </w:tcBorders>
            <w:vAlign w:val="center"/>
          </w:tcPr>
          <w:p>
            <w:pPr>
              <w:pStyle w:val="34"/>
              <w:rPr>
                <w:lang w:eastAsia="en-US"/>
              </w:rPr>
            </w:pPr>
            <w:r>
              <w:t>82～84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重型运输车</w:t>
            </w:r>
          </w:p>
        </w:tc>
        <w:tc>
          <w:tcPr>
            <w:tcW w:w="731" w:type="pct"/>
            <w:tcBorders>
              <w:tl2br w:val="nil"/>
              <w:tr2bl w:val="nil"/>
            </w:tcBorders>
            <w:vAlign w:val="center"/>
          </w:tcPr>
          <w:p>
            <w:pPr>
              <w:pStyle w:val="34"/>
              <w:rPr>
                <w:lang w:eastAsia="en-US"/>
              </w:rPr>
            </w:pPr>
            <w:r>
              <w:t>82～90</w:t>
            </w:r>
          </w:p>
        </w:tc>
        <w:tc>
          <w:tcPr>
            <w:tcW w:w="801" w:type="pct"/>
            <w:tcBorders>
              <w:tl2br w:val="nil"/>
              <w:tr2bl w:val="nil"/>
            </w:tcBorders>
            <w:vAlign w:val="center"/>
          </w:tcPr>
          <w:p>
            <w:pPr>
              <w:pStyle w:val="34"/>
              <w:rPr>
                <w:lang w:eastAsia="en-US"/>
              </w:rPr>
            </w:pPr>
            <w:r>
              <w:t>78～86</w:t>
            </w:r>
          </w:p>
        </w:tc>
        <w:tc>
          <w:tcPr>
            <w:tcW w:w="1032" w:type="pct"/>
            <w:tcBorders>
              <w:tl2br w:val="nil"/>
              <w:tr2bl w:val="nil"/>
            </w:tcBorders>
            <w:vAlign w:val="center"/>
          </w:tcPr>
          <w:p>
            <w:pPr>
              <w:pStyle w:val="34"/>
              <w:rPr>
                <w:lang w:eastAsia="en-US"/>
              </w:rPr>
            </w:pPr>
            <w:r>
              <w:t>混凝土震捣器</w:t>
            </w:r>
          </w:p>
        </w:tc>
        <w:tc>
          <w:tcPr>
            <w:tcW w:w="731" w:type="pct"/>
            <w:tcBorders>
              <w:tl2br w:val="nil"/>
              <w:tr2bl w:val="nil"/>
            </w:tcBorders>
            <w:vAlign w:val="center"/>
          </w:tcPr>
          <w:p>
            <w:pPr>
              <w:pStyle w:val="34"/>
              <w:rPr>
                <w:lang w:eastAsia="en-US"/>
              </w:rPr>
            </w:pPr>
            <w:r>
              <w:t>80～88</w:t>
            </w:r>
          </w:p>
        </w:tc>
        <w:tc>
          <w:tcPr>
            <w:tcW w:w="800" w:type="pct"/>
            <w:tcBorders>
              <w:tl2br w:val="nil"/>
              <w:tr2bl w:val="nil"/>
            </w:tcBorders>
            <w:vAlign w:val="center"/>
          </w:tcPr>
          <w:p>
            <w:pPr>
              <w:pStyle w:val="34"/>
              <w:rPr>
                <w:lang w:eastAsia="en-US"/>
              </w:rPr>
            </w:pPr>
            <w:r>
              <w:t>75～84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木工电锯</w:t>
            </w:r>
          </w:p>
        </w:tc>
        <w:tc>
          <w:tcPr>
            <w:tcW w:w="731" w:type="pct"/>
            <w:tcBorders>
              <w:tl2br w:val="nil"/>
              <w:tr2bl w:val="nil"/>
            </w:tcBorders>
            <w:vAlign w:val="center"/>
          </w:tcPr>
          <w:p>
            <w:pPr>
              <w:pStyle w:val="34"/>
              <w:rPr>
                <w:lang w:eastAsia="en-US"/>
              </w:rPr>
            </w:pPr>
            <w:r>
              <w:t>93～99</w:t>
            </w:r>
          </w:p>
        </w:tc>
        <w:tc>
          <w:tcPr>
            <w:tcW w:w="801" w:type="pct"/>
            <w:tcBorders>
              <w:tl2br w:val="nil"/>
              <w:tr2bl w:val="nil"/>
            </w:tcBorders>
            <w:vAlign w:val="center"/>
          </w:tcPr>
          <w:p>
            <w:pPr>
              <w:pStyle w:val="34"/>
              <w:rPr>
                <w:lang w:eastAsia="en-US"/>
              </w:rPr>
            </w:pPr>
            <w:r>
              <w:t>90～95</w:t>
            </w:r>
          </w:p>
        </w:tc>
        <w:tc>
          <w:tcPr>
            <w:tcW w:w="1032" w:type="pct"/>
            <w:tcBorders>
              <w:tl2br w:val="nil"/>
              <w:tr2bl w:val="nil"/>
            </w:tcBorders>
            <w:vAlign w:val="center"/>
          </w:tcPr>
          <w:p>
            <w:pPr>
              <w:pStyle w:val="34"/>
              <w:rPr>
                <w:lang w:eastAsia="en-US"/>
              </w:rPr>
            </w:pPr>
            <w:r>
              <w:t>云石机、角磨机</w:t>
            </w:r>
          </w:p>
        </w:tc>
        <w:tc>
          <w:tcPr>
            <w:tcW w:w="731" w:type="pct"/>
            <w:tcBorders>
              <w:tl2br w:val="nil"/>
              <w:tr2bl w:val="nil"/>
            </w:tcBorders>
            <w:vAlign w:val="center"/>
          </w:tcPr>
          <w:p>
            <w:pPr>
              <w:pStyle w:val="34"/>
              <w:rPr>
                <w:lang w:eastAsia="en-US"/>
              </w:rPr>
            </w:pPr>
            <w:r>
              <w:t>90～96</w:t>
            </w:r>
          </w:p>
        </w:tc>
        <w:tc>
          <w:tcPr>
            <w:tcW w:w="800" w:type="pct"/>
            <w:tcBorders>
              <w:tl2br w:val="nil"/>
              <w:tr2bl w:val="nil"/>
            </w:tcBorders>
            <w:vAlign w:val="center"/>
          </w:tcPr>
          <w:p>
            <w:pPr>
              <w:pStyle w:val="34"/>
              <w:rPr>
                <w:lang w:eastAsia="en-US"/>
              </w:rPr>
            </w:pPr>
            <w:r>
              <w:t>84～90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5" w:type="pct"/>
            <w:tcBorders>
              <w:tl2br w:val="nil"/>
              <w:tr2bl w:val="nil"/>
            </w:tcBorders>
            <w:vAlign w:val="center"/>
          </w:tcPr>
          <w:p>
            <w:pPr>
              <w:pStyle w:val="34"/>
              <w:rPr>
                <w:lang w:eastAsia="en-US"/>
              </w:rPr>
            </w:pPr>
            <w:r>
              <w:t>电锤</w:t>
            </w:r>
          </w:p>
        </w:tc>
        <w:tc>
          <w:tcPr>
            <w:tcW w:w="731" w:type="pct"/>
            <w:tcBorders>
              <w:tl2br w:val="nil"/>
              <w:tr2bl w:val="nil"/>
            </w:tcBorders>
            <w:vAlign w:val="center"/>
          </w:tcPr>
          <w:p>
            <w:pPr>
              <w:pStyle w:val="34"/>
              <w:rPr>
                <w:lang w:eastAsia="en-US"/>
              </w:rPr>
            </w:pPr>
            <w:r>
              <w:t>100～105</w:t>
            </w:r>
          </w:p>
        </w:tc>
        <w:tc>
          <w:tcPr>
            <w:tcW w:w="801" w:type="pct"/>
            <w:tcBorders>
              <w:tl2br w:val="nil"/>
              <w:tr2bl w:val="nil"/>
            </w:tcBorders>
            <w:vAlign w:val="center"/>
          </w:tcPr>
          <w:p>
            <w:pPr>
              <w:pStyle w:val="34"/>
              <w:rPr>
                <w:lang w:eastAsia="en-US"/>
              </w:rPr>
            </w:pPr>
            <w:r>
              <w:t>95～99</w:t>
            </w:r>
          </w:p>
        </w:tc>
        <w:tc>
          <w:tcPr>
            <w:tcW w:w="1032" w:type="pct"/>
            <w:tcBorders>
              <w:tl2br w:val="nil"/>
              <w:tr2bl w:val="nil"/>
            </w:tcBorders>
            <w:vAlign w:val="center"/>
          </w:tcPr>
          <w:p>
            <w:pPr>
              <w:pStyle w:val="34"/>
              <w:rPr>
                <w:lang w:eastAsia="en-US"/>
              </w:rPr>
            </w:pPr>
            <w:r>
              <w:t>空压机</w:t>
            </w:r>
          </w:p>
        </w:tc>
        <w:tc>
          <w:tcPr>
            <w:tcW w:w="731" w:type="pct"/>
            <w:tcBorders>
              <w:tl2br w:val="nil"/>
              <w:tr2bl w:val="nil"/>
            </w:tcBorders>
            <w:vAlign w:val="center"/>
          </w:tcPr>
          <w:p>
            <w:pPr>
              <w:pStyle w:val="34"/>
              <w:rPr>
                <w:lang w:eastAsia="en-US"/>
              </w:rPr>
            </w:pPr>
            <w:r>
              <w:t>88～92</w:t>
            </w:r>
          </w:p>
        </w:tc>
        <w:tc>
          <w:tcPr>
            <w:tcW w:w="800" w:type="pct"/>
            <w:tcBorders>
              <w:tl2br w:val="nil"/>
              <w:tr2bl w:val="nil"/>
            </w:tcBorders>
            <w:vAlign w:val="center"/>
          </w:tcPr>
          <w:p>
            <w:pPr>
              <w:pStyle w:val="34"/>
              <w:rPr>
                <w:lang w:eastAsia="en-US"/>
              </w:rPr>
            </w:pPr>
            <w:r>
              <w:t>83～88</w:t>
            </w:r>
          </w:p>
        </w:tc>
      </w:tr>
    </w:tbl>
    <w:p>
      <w:pPr>
        <w:pStyle w:val="6"/>
        <w:spacing w:after="0" w:afterLines="0"/>
      </w:pPr>
      <w:r>
        <w:t>声环境影响预测</w:t>
      </w:r>
    </w:p>
    <w:p>
      <w:pPr>
        <w:pStyle w:val="7"/>
        <w:ind w:firstLine="480"/>
        <w:rPr>
          <w:rFonts w:cs="Times New Roman"/>
        </w:rPr>
      </w:pPr>
      <w:r>
        <w:rPr>
          <w:rFonts w:cs="Times New Roman"/>
        </w:rPr>
        <w:t>（1）预测模式</w:t>
      </w:r>
    </w:p>
    <w:p>
      <w:pPr>
        <w:pStyle w:val="7"/>
        <w:ind w:firstLine="480"/>
        <w:rPr>
          <w:rFonts w:cs="Times New Roman"/>
          <w:szCs w:val="24"/>
        </w:rPr>
      </w:pPr>
      <w:r>
        <w:rPr>
          <w:rFonts w:cs="Times New Roman"/>
        </w:rPr>
        <w:t>项目在建设期的施工噪声影响范围，采用距离衰减模式来预测，其传播衰减模式为：</w:t>
      </w:r>
      <w:r>
        <w:rPr>
          <w:rFonts w:cs="Times New Roman"/>
          <w:i/>
          <w:w w:val="96"/>
          <w:szCs w:val="24"/>
        </w:rPr>
        <w:t>L</w:t>
      </w:r>
      <w:r>
        <w:rPr>
          <w:rFonts w:cs="Times New Roman"/>
          <w:i/>
          <w:w w:val="98"/>
          <w:position w:val="-3"/>
          <w:szCs w:val="24"/>
        </w:rPr>
        <w:t>p</w:t>
      </w:r>
      <w:r>
        <w:rPr>
          <w:rFonts w:cs="Times New Roman"/>
          <w:i/>
          <w:spacing w:val="13"/>
          <w:position w:val="-3"/>
          <w:szCs w:val="24"/>
        </w:rPr>
        <w:t xml:space="preserve"> </w:t>
      </w:r>
      <w:r>
        <w:rPr>
          <w:rFonts w:cs="Times New Roman"/>
          <w:spacing w:val="14"/>
          <w:w w:val="72"/>
          <w:szCs w:val="24"/>
        </w:rPr>
        <w:t>(</w:t>
      </w:r>
      <w:r>
        <w:rPr>
          <w:rFonts w:cs="Times New Roman"/>
          <w:i/>
          <w:w w:val="96"/>
          <w:szCs w:val="24"/>
        </w:rPr>
        <w:t>r</w:t>
      </w:r>
      <w:r>
        <w:rPr>
          <w:rFonts w:cs="Times New Roman"/>
          <w:i/>
          <w:spacing w:val="-38"/>
          <w:szCs w:val="24"/>
        </w:rPr>
        <w:t xml:space="preserve"> </w:t>
      </w:r>
      <w:r>
        <w:rPr>
          <w:rFonts w:cs="Times New Roman"/>
          <w:w w:val="72"/>
          <w:szCs w:val="24"/>
        </w:rPr>
        <w:t>)</w:t>
      </w:r>
      <w:r>
        <w:rPr>
          <w:rFonts w:cs="Times New Roman"/>
          <w:spacing w:val="-31"/>
          <w:szCs w:val="24"/>
        </w:rPr>
        <w:t xml:space="preserve"> </w:t>
      </w:r>
      <w:r>
        <w:rPr>
          <w:rFonts w:cs="Times New Roman"/>
          <w:w w:val="96"/>
          <w:szCs w:val="24"/>
        </w:rPr>
        <w:t>=</w:t>
      </w:r>
      <w:r>
        <w:rPr>
          <w:rFonts w:cs="Times New Roman"/>
          <w:spacing w:val="-8"/>
          <w:szCs w:val="24"/>
        </w:rPr>
        <w:t xml:space="preserve"> </w:t>
      </w:r>
      <w:r>
        <w:rPr>
          <w:rFonts w:cs="Times New Roman"/>
          <w:i/>
          <w:w w:val="96"/>
          <w:szCs w:val="24"/>
        </w:rPr>
        <w:t>L</w:t>
      </w:r>
      <w:r>
        <w:rPr>
          <w:rFonts w:cs="Times New Roman"/>
          <w:i/>
          <w:w w:val="98"/>
          <w:position w:val="-3"/>
          <w:szCs w:val="24"/>
          <w:vertAlign w:val="subscript"/>
        </w:rPr>
        <w:t>p</w:t>
      </w:r>
      <w:r>
        <w:rPr>
          <w:rFonts w:cs="Times New Roman"/>
          <w:i/>
          <w:spacing w:val="13"/>
          <w:position w:val="-3"/>
          <w:szCs w:val="24"/>
        </w:rPr>
        <w:t xml:space="preserve"> </w:t>
      </w:r>
      <w:r>
        <w:rPr>
          <w:rFonts w:cs="Times New Roman"/>
          <w:spacing w:val="12"/>
          <w:w w:val="73"/>
          <w:szCs w:val="24"/>
        </w:rPr>
        <w:t>(</w:t>
      </w:r>
      <w:r>
        <w:rPr>
          <w:rFonts w:cs="Times New Roman"/>
          <w:i/>
          <w:spacing w:val="-26"/>
          <w:w w:val="96"/>
          <w:szCs w:val="24"/>
        </w:rPr>
        <w:t>r</w:t>
      </w:r>
      <w:r>
        <w:rPr>
          <w:rFonts w:cs="Times New Roman"/>
          <w:w w:val="98"/>
          <w:position w:val="-3"/>
          <w:szCs w:val="24"/>
          <w:vertAlign w:val="subscript"/>
        </w:rPr>
        <w:t>0</w:t>
      </w:r>
      <w:r>
        <w:rPr>
          <w:rFonts w:cs="Times New Roman"/>
          <w:spacing w:val="1"/>
          <w:position w:val="-3"/>
          <w:szCs w:val="24"/>
        </w:rPr>
        <w:t xml:space="preserve"> </w:t>
      </w:r>
      <w:r>
        <w:rPr>
          <w:rFonts w:cs="Times New Roman"/>
          <w:w w:val="73"/>
          <w:szCs w:val="24"/>
        </w:rPr>
        <w:t>)</w:t>
      </w:r>
      <w:r>
        <w:rPr>
          <w:rFonts w:cs="Times New Roman"/>
          <w:spacing w:val="-39"/>
          <w:szCs w:val="24"/>
        </w:rPr>
        <w:t xml:space="preserve"> </w:t>
      </w:r>
      <w:r>
        <w:rPr>
          <w:rFonts w:cs="Times New Roman"/>
          <w:w w:val="96"/>
          <w:szCs w:val="24"/>
        </w:rPr>
        <w:t>-</w:t>
      </w:r>
      <w:r>
        <w:rPr>
          <w:rFonts w:cs="Times New Roman"/>
          <w:spacing w:val="-21"/>
          <w:szCs w:val="24"/>
        </w:rPr>
        <w:t xml:space="preserve"> </w:t>
      </w:r>
      <w:r>
        <w:rPr>
          <w:rFonts w:cs="Times New Roman"/>
          <w:spacing w:val="-6"/>
          <w:w w:val="96"/>
          <w:szCs w:val="24"/>
        </w:rPr>
        <w:t>2</w:t>
      </w:r>
      <w:r>
        <w:rPr>
          <w:rFonts w:cs="Times New Roman"/>
          <w:spacing w:val="15"/>
          <w:w w:val="96"/>
          <w:szCs w:val="24"/>
        </w:rPr>
        <w:t>0</w:t>
      </w:r>
      <w:r>
        <w:rPr>
          <w:rFonts w:cs="Times New Roman"/>
          <w:spacing w:val="-6"/>
          <w:w w:val="96"/>
          <w:szCs w:val="24"/>
        </w:rPr>
        <w:t>l</w:t>
      </w:r>
      <w:r>
        <w:rPr>
          <w:rFonts w:cs="Times New Roman"/>
          <w:spacing w:val="19"/>
          <w:w w:val="96"/>
          <w:szCs w:val="24"/>
        </w:rPr>
        <w:t>g</w:t>
      </w:r>
      <w:r>
        <w:rPr>
          <w:rFonts w:cs="Times New Roman"/>
          <w:spacing w:val="12"/>
          <w:w w:val="73"/>
          <w:szCs w:val="24"/>
        </w:rPr>
        <w:t>(</w:t>
      </w:r>
      <w:r>
        <w:rPr>
          <w:rFonts w:cs="Times New Roman"/>
          <w:i/>
          <w:w w:val="96"/>
          <w:szCs w:val="24"/>
        </w:rPr>
        <w:t>r/</w:t>
      </w:r>
      <w:r>
        <w:rPr>
          <w:rFonts w:cs="Times New Roman"/>
          <w:i/>
          <w:spacing w:val="-26"/>
          <w:w w:val="96"/>
          <w:szCs w:val="24"/>
        </w:rPr>
        <w:t>r</w:t>
      </w:r>
      <w:r>
        <w:rPr>
          <w:rFonts w:cs="Times New Roman"/>
          <w:w w:val="98"/>
          <w:position w:val="-3"/>
          <w:szCs w:val="24"/>
          <w:vertAlign w:val="subscript"/>
        </w:rPr>
        <w:t>0</w:t>
      </w:r>
      <w:r>
        <w:rPr>
          <w:rFonts w:cs="Times New Roman"/>
          <w:spacing w:val="1"/>
          <w:position w:val="-3"/>
          <w:szCs w:val="24"/>
        </w:rPr>
        <w:t xml:space="preserve"> </w:t>
      </w:r>
      <w:r>
        <w:rPr>
          <w:rFonts w:cs="Times New Roman"/>
          <w:w w:val="73"/>
          <w:szCs w:val="24"/>
        </w:rPr>
        <w:t>)</w:t>
      </w:r>
    </w:p>
    <w:p>
      <w:pPr>
        <w:pStyle w:val="7"/>
        <w:ind w:firstLine="480"/>
        <w:rPr>
          <w:rFonts w:cs="Times New Roman"/>
        </w:rPr>
      </w:pPr>
      <w:r>
        <w:rPr>
          <w:rFonts w:cs="Times New Roman"/>
        </w:rPr>
        <w:t>式中：L</w:t>
      </w:r>
      <w:r>
        <w:rPr>
          <w:rFonts w:cs="Times New Roman"/>
          <w:vertAlign w:val="subscript"/>
        </w:rPr>
        <w:t>p</w:t>
      </w:r>
      <w:r>
        <w:rPr>
          <w:rFonts w:cs="Times New Roman"/>
        </w:rPr>
        <w:t>(r) ——预测点处声压级，dB；</w:t>
      </w:r>
    </w:p>
    <w:p>
      <w:pPr>
        <w:pStyle w:val="7"/>
        <w:ind w:firstLine="1200" w:firstLineChars="500"/>
        <w:rPr>
          <w:rFonts w:cs="Times New Roman"/>
        </w:rPr>
      </w:pPr>
      <w:r>
        <w:rPr>
          <w:rFonts w:cs="Times New Roman"/>
        </w:rPr>
        <w:t>L</w:t>
      </w:r>
      <w:r>
        <w:rPr>
          <w:rFonts w:cs="Times New Roman"/>
          <w:vertAlign w:val="subscript"/>
        </w:rPr>
        <w:t>p</w:t>
      </w:r>
      <w:r>
        <w:rPr>
          <w:rFonts w:cs="Times New Roman"/>
        </w:rPr>
        <w:t>(r</w:t>
      </w:r>
      <w:r>
        <w:rPr>
          <w:rFonts w:cs="Times New Roman"/>
          <w:vertAlign w:val="subscript"/>
        </w:rPr>
        <w:t>0</w:t>
      </w:r>
      <w:r>
        <w:rPr>
          <w:rFonts w:cs="Times New Roman"/>
        </w:rPr>
        <w:t>) ——参考位置r</w:t>
      </w:r>
      <w:r>
        <w:rPr>
          <w:rFonts w:cs="Times New Roman"/>
          <w:vertAlign w:val="subscript"/>
        </w:rPr>
        <w:t>0</w:t>
      </w:r>
      <w:r>
        <w:rPr>
          <w:rFonts w:cs="Times New Roman"/>
        </w:rPr>
        <w:t>处的声压级，dB；</w:t>
      </w:r>
    </w:p>
    <w:p>
      <w:pPr>
        <w:pStyle w:val="7"/>
        <w:ind w:firstLine="1200" w:firstLineChars="500"/>
        <w:rPr>
          <w:rFonts w:cs="Times New Roman"/>
        </w:rPr>
      </w:pPr>
      <w:r>
        <w:rPr>
          <w:rFonts w:cs="Times New Roman"/>
        </w:rPr>
        <w:t>r ——预测点距声源的距离；</w:t>
      </w:r>
    </w:p>
    <w:p>
      <w:pPr>
        <w:pStyle w:val="7"/>
        <w:ind w:firstLine="1200" w:firstLineChars="500"/>
        <w:rPr>
          <w:rFonts w:cs="Times New Roman"/>
        </w:rPr>
      </w:pPr>
      <w:r>
        <w:rPr>
          <w:rFonts w:cs="Times New Roman"/>
        </w:rPr>
        <w:t>r</w:t>
      </w:r>
      <w:r>
        <w:rPr>
          <w:rFonts w:cs="Times New Roman"/>
          <w:vertAlign w:val="subscript"/>
        </w:rPr>
        <w:t>0</w:t>
      </w:r>
      <w:r>
        <w:rPr>
          <w:rFonts w:cs="Times New Roman"/>
        </w:rPr>
        <w:t>——参考位置距声源的距离。</w:t>
      </w:r>
    </w:p>
    <w:p>
      <w:pPr>
        <w:pStyle w:val="7"/>
        <w:ind w:firstLine="480"/>
        <w:rPr>
          <w:rFonts w:cs="Times New Roman"/>
        </w:rPr>
      </w:pPr>
      <w:r>
        <w:rPr>
          <w:rFonts w:cs="Times New Roman"/>
        </w:rPr>
        <w:t>（2）预测结果</w:t>
      </w:r>
    </w:p>
    <w:p>
      <w:pPr>
        <w:pStyle w:val="7"/>
        <w:ind w:firstLine="480"/>
        <w:rPr>
          <w:rFonts w:cs="Times New Roman"/>
        </w:rPr>
      </w:pPr>
      <w:r>
        <w:rPr>
          <w:rFonts w:cs="Times New Roman"/>
        </w:rPr>
        <w:t>根据预测模式对施工机械噪声的影响范围进行预测，预测结果见</w:t>
      </w:r>
      <w:r>
        <w:rPr>
          <w:rFonts w:hint="eastAsia" w:cs="Times New Roman"/>
          <w:lang w:val="zh-CN"/>
        </w:rPr>
        <w:t>表</w:t>
      </w:r>
      <w:r>
        <w:rPr>
          <w:rFonts w:hint="eastAsia" w:cs="Times New Roman"/>
          <w:lang w:val="en-US" w:eastAsia="zh-CN"/>
        </w:rPr>
        <w:t>4</w:t>
      </w:r>
      <w:r>
        <w:rPr>
          <w:rFonts w:hint="eastAsia" w:cs="Times New Roman"/>
          <w:lang w:val="zh-CN"/>
        </w:rPr>
        <w:t>.1-3</w:t>
      </w:r>
      <w:r>
        <w:rPr>
          <w:rFonts w:cs="Times New Roman"/>
        </w:rPr>
        <w:t>。</w:t>
      </w:r>
    </w:p>
    <w:p>
      <w:pPr>
        <w:pStyle w:val="36"/>
        <w:spacing w:before="156"/>
        <w:rPr>
          <w:rFonts w:eastAsia="宋体"/>
        </w:rPr>
      </w:pPr>
      <w:bookmarkStart w:id="78" w:name="_Ref83742056"/>
      <w:r>
        <w:rPr>
          <w:rFonts w:eastAsia="宋体"/>
        </w:rPr>
        <w:t>表</w:t>
      </w:r>
      <w:r>
        <w:rPr>
          <w:rFonts w:hint="eastAsia" w:eastAsia="宋体"/>
          <w:lang w:val="en-US" w:eastAsia="zh-CN"/>
        </w:rPr>
        <w:t>4</w:t>
      </w:r>
      <w:r>
        <w:rPr>
          <w:rFonts w:hint="eastAsia" w:eastAsia="宋体"/>
        </w:rPr>
        <w:t>.1-3</w:t>
      </w:r>
      <w:bookmarkEnd w:id="78"/>
      <w:r>
        <w:rPr>
          <w:rFonts w:eastAsia="宋体"/>
        </w:rPr>
        <w:t xml:space="preserve">  施工机械在不同距离的噪声预测结果</w:t>
      </w:r>
      <w:r>
        <w:rPr>
          <w:rFonts w:hint="eastAsia" w:eastAsia="宋体"/>
        </w:rPr>
        <w:t>（</w:t>
      </w:r>
      <w:r>
        <w:rPr>
          <w:rFonts w:eastAsia="宋体"/>
        </w:rPr>
        <w:t>单位：dB（A）</w:t>
      </w:r>
      <w:r>
        <w:rPr>
          <w:rFonts w:hint="eastAsia" w:eastAsia="宋体"/>
        </w:rPr>
        <w:t>）</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50"/>
        <w:gridCol w:w="725"/>
        <w:gridCol w:w="582"/>
        <w:gridCol w:w="725"/>
        <w:gridCol w:w="798"/>
        <w:gridCol w:w="725"/>
        <w:gridCol w:w="725"/>
        <w:gridCol w:w="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2023" w:type="pct"/>
            <w:tcBorders>
              <w:top w:val="single" w:color="auto" w:sz="12" w:space="0"/>
              <w:bottom w:val="single" w:color="auto" w:sz="4" w:space="0"/>
              <w:tl2br w:val="single" w:color="auto" w:sz="4" w:space="0"/>
              <w:tr2bl w:val="nil"/>
            </w:tcBorders>
          </w:tcPr>
          <w:p>
            <w:pPr>
              <w:pStyle w:val="34"/>
            </w:pPr>
            <w:r>
              <w:rPr>
                <w:rFonts w:hint="eastAsia"/>
              </w:rPr>
              <w:t xml:space="preserve">          </w:t>
            </w:r>
            <w:r>
              <w:t>距离/m</w:t>
            </w:r>
          </w:p>
          <w:p>
            <w:pPr>
              <w:pStyle w:val="34"/>
              <w:ind w:firstLine="630" w:firstLineChars="300"/>
              <w:jc w:val="left"/>
            </w:pPr>
            <w:r>
              <w:t>设备名称</w:t>
            </w:r>
          </w:p>
        </w:tc>
        <w:tc>
          <w:tcPr>
            <w:tcW w:w="425" w:type="pct"/>
            <w:tcBorders>
              <w:tl2br w:val="nil"/>
              <w:tr2bl w:val="nil"/>
            </w:tcBorders>
          </w:tcPr>
          <w:p>
            <w:pPr>
              <w:pStyle w:val="34"/>
            </w:pPr>
            <w:r>
              <w:t>50</w:t>
            </w:r>
          </w:p>
        </w:tc>
        <w:tc>
          <w:tcPr>
            <w:tcW w:w="341" w:type="pct"/>
            <w:tcBorders>
              <w:tl2br w:val="nil"/>
              <w:tr2bl w:val="nil"/>
            </w:tcBorders>
          </w:tcPr>
          <w:p>
            <w:pPr>
              <w:pStyle w:val="34"/>
            </w:pPr>
            <w:r>
              <w:t>100</w:t>
            </w:r>
          </w:p>
        </w:tc>
        <w:tc>
          <w:tcPr>
            <w:tcW w:w="425" w:type="pct"/>
            <w:tcBorders>
              <w:tl2br w:val="nil"/>
              <w:tr2bl w:val="nil"/>
            </w:tcBorders>
          </w:tcPr>
          <w:p>
            <w:pPr>
              <w:pStyle w:val="34"/>
            </w:pPr>
            <w:r>
              <w:t>150</w:t>
            </w:r>
          </w:p>
        </w:tc>
        <w:tc>
          <w:tcPr>
            <w:tcW w:w="468" w:type="pct"/>
            <w:tcBorders>
              <w:tl2br w:val="nil"/>
              <w:tr2bl w:val="nil"/>
            </w:tcBorders>
          </w:tcPr>
          <w:p>
            <w:pPr>
              <w:pStyle w:val="34"/>
            </w:pPr>
            <w:r>
              <w:t>200</w:t>
            </w:r>
          </w:p>
        </w:tc>
        <w:tc>
          <w:tcPr>
            <w:tcW w:w="425" w:type="pct"/>
            <w:tcBorders>
              <w:tl2br w:val="nil"/>
              <w:tr2bl w:val="nil"/>
            </w:tcBorders>
          </w:tcPr>
          <w:p>
            <w:pPr>
              <w:pStyle w:val="34"/>
            </w:pPr>
            <w:r>
              <w:t>250</w:t>
            </w:r>
          </w:p>
        </w:tc>
        <w:tc>
          <w:tcPr>
            <w:tcW w:w="425" w:type="pct"/>
            <w:tcBorders>
              <w:tl2br w:val="nil"/>
              <w:tr2bl w:val="nil"/>
            </w:tcBorders>
          </w:tcPr>
          <w:p>
            <w:pPr>
              <w:pStyle w:val="34"/>
            </w:pPr>
            <w:r>
              <w:t>300</w:t>
            </w:r>
          </w:p>
        </w:tc>
        <w:tc>
          <w:tcPr>
            <w:tcW w:w="468" w:type="pct"/>
            <w:tcBorders>
              <w:tl2br w:val="nil"/>
              <w:tr2bl w:val="nil"/>
            </w:tcBorders>
          </w:tcPr>
          <w:p>
            <w:pPr>
              <w:pStyle w:val="34"/>
            </w:pPr>
            <w: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op w:val="single" w:color="auto" w:sz="4" w:space="0"/>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液压挖掘机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70</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电动挖掘机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66</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52</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50</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轮式装载机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75</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69</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65</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63</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61</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59</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推土机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68</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62</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52</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移动式发电机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82</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72</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70</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66</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各类压路机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70</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重型运输车</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70</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木工电锯</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79</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73</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69</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67</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65</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63</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电锤</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85</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79</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75</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73</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71</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69</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振动夯锤</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80</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70</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64</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风镐</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72</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62</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混凝土输送泵</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75</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69</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65</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63</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61</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59</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商砼搅拌车</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70</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混凝土震捣器</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68</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62</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52</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云石机、角磨机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76</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70</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66</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64</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62</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23"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空压机</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72</w:t>
            </w:r>
          </w:p>
        </w:tc>
        <w:tc>
          <w:tcPr>
            <w:tcW w:w="341"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66</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62</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60</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58</w:t>
            </w:r>
          </w:p>
        </w:tc>
        <w:tc>
          <w:tcPr>
            <w:tcW w:w="425"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56</w:t>
            </w:r>
          </w:p>
        </w:tc>
        <w:tc>
          <w:tcPr>
            <w:tcW w:w="468" w:type="pct"/>
            <w:tcBorders>
              <w:tl2br w:val="nil"/>
              <w:tr2bl w:val="nil"/>
            </w:tcBorders>
          </w:tcPr>
          <w:p>
            <w:pPr>
              <w:autoSpaceDE w:val="0"/>
              <w:autoSpaceDN w:val="0"/>
              <w:adjustRightInd w:val="0"/>
              <w:snapToGrid w:val="0"/>
              <w:spacing w:line="240" w:lineRule="exact"/>
              <w:jc w:val="center"/>
              <w:rPr>
                <w:rFonts w:ascii="Times New Roman" w:hAnsi="Times New Roman"/>
                <w:lang w:eastAsia="en-US"/>
              </w:rPr>
            </w:pPr>
            <w:r>
              <w:rPr>
                <w:rFonts w:ascii="Times New Roman" w:hAnsi="Times New Roman"/>
              </w:rPr>
              <w:t>54</w:t>
            </w:r>
          </w:p>
        </w:tc>
      </w:tr>
    </w:tbl>
    <w:p>
      <w:pPr>
        <w:pStyle w:val="6"/>
      </w:pPr>
      <w:r>
        <w:t>声环境影响分析</w:t>
      </w:r>
    </w:p>
    <w:p>
      <w:pPr>
        <w:pStyle w:val="7"/>
        <w:spacing w:before="156" w:beforeLines="50"/>
        <w:ind w:firstLine="480"/>
        <w:rPr>
          <w:rFonts w:cs="Times New Roman"/>
        </w:rPr>
      </w:pPr>
      <w:r>
        <w:rPr>
          <w:rFonts w:cs="Times New Roman"/>
        </w:rPr>
        <w:t>由</w:t>
      </w:r>
      <w:r>
        <w:rPr>
          <w:rFonts w:hint="eastAsia" w:cs="Times New Roman"/>
          <w:lang w:val="zh-CN"/>
        </w:rPr>
        <w:t>表5.1-3</w:t>
      </w:r>
      <w:r>
        <w:rPr>
          <w:rFonts w:cs="Times New Roman"/>
        </w:rPr>
        <w:t>可知，</w:t>
      </w:r>
      <w:r>
        <w:rPr>
          <w:rFonts w:hint="eastAsia" w:cs="Times New Roman"/>
        </w:rPr>
        <w:t>在项目区300米处，每台施工机械的噪声值均小于</w:t>
      </w:r>
      <w:r>
        <w:rPr>
          <w:rFonts w:cs="Times New Roman"/>
        </w:rPr>
        <w:t>施工阶段场界昼间噪声限值</w:t>
      </w:r>
      <w:r>
        <w:rPr>
          <w:rFonts w:hint="eastAsia" w:cs="Times New Roman"/>
        </w:rPr>
        <w:t>70</w:t>
      </w:r>
      <w:r>
        <w:rPr>
          <w:rFonts w:cs="Times New Roman"/>
          <w:szCs w:val="21"/>
        </w:rPr>
        <w:t>dB（A）</w:t>
      </w:r>
      <w:r>
        <w:rPr>
          <w:rFonts w:hint="eastAsia" w:cs="Times New Roman"/>
          <w:szCs w:val="21"/>
        </w:rPr>
        <w:t>。</w:t>
      </w:r>
    </w:p>
    <w:p>
      <w:pPr>
        <w:pStyle w:val="7"/>
        <w:ind w:firstLine="480"/>
        <w:rPr>
          <w:rFonts w:cs="Times New Roman"/>
        </w:rPr>
      </w:pPr>
      <w:r>
        <w:rPr>
          <w:rFonts w:cs="Times New Roman"/>
        </w:rPr>
        <w:t>为减少施工对周边环境的影响，施工单位应严格执行《中华人民共和国噪声污染防治法》和《建筑施工场界环境噪声排放标准》（GB12523-2011）相关要求，做好以下几点：</w:t>
      </w:r>
    </w:p>
    <w:p>
      <w:pPr>
        <w:pStyle w:val="7"/>
        <w:ind w:firstLine="472"/>
        <w:rPr>
          <w:rFonts w:cs="Times New Roman"/>
          <w:spacing w:val="-2"/>
        </w:rPr>
      </w:pPr>
      <w:r>
        <w:rPr>
          <w:rFonts w:cs="Times New Roman"/>
          <w:spacing w:val="-2"/>
        </w:rPr>
        <w:t xml:space="preserve">（1）施工单位要加强操作人员的环境意识，对一些零星的手工作业。如拆装模板、装卸建材，尽可能做到轻拿轻放，并辅以一定的减缓措施，如铺设草包等。 </w:t>
      </w:r>
    </w:p>
    <w:p>
      <w:pPr>
        <w:pStyle w:val="7"/>
        <w:ind w:firstLine="480"/>
        <w:rPr>
          <w:rFonts w:cs="Times New Roman"/>
        </w:rPr>
      </w:pPr>
      <w:r>
        <w:rPr>
          <w:rFonts w:cs="Times New Roman"/>
        </w:rPr>
        <w:t>（2）施工期间对于噪声值较高的搅拌机等设备需放置于远离居民的地方，对于固定设备需设操作棚或临时声屏障。</w:t>
      </w:r>
    </w:p>
    <w:p>
      <w:pPr>
        <w:pStyle w:val="7"/>
        <w:ind w:firstLine="480"/>
        <w:rPr>
          <w:rFonts w:cs="Times New Roman"/>
        </w:rPr>
      </w:pPr>
      <w:r>
        <w:rPr>
          <w:rFonts w:cs="Times New Roman"/>
        </w:rPr>
        <w:t>（3）禁止在夜间施工，因工艺因素或其它特殊原因确需夜间施工的应提前向当地生态环境部门申请夜间施工许可，并依法接受监督。</w:t>
      </w:r>
    </w:p>
    <w:p>
      <w:pPr>
        <w:pStyle w:val="7"/>
        <w:ind w:firstLine="480"/>
        <w:rPr>
          <w:rFonts w:cs="Times New Roman"/>
        </w:rPr>
      </w:pPr>
      <w:r>
        <w:rPr>
          <w:rFonts w:hint="eastAsia" w:cs="Times New Roman"/>
        </w:rPr>
        <w:t>本</w:t>
      </w:r>
      <w:r>
        <w:rPr>
          <w:rFonts w:cs="Times New Roman"/>
        </w:rPr>
        <w:t>项目区</w:t>
      </w:r>
      <w:r>
        <w:rPr>
          <w:rFonts w:hint="eastAsia" w:cs="Times New Roman"/>
        </w:rPr>
        <w:t>距离最近的人群聚集区珠茹社日村360m。因此，采取措施后基本不会影响到村民的正常生产生活。</w:t>
      </w:r>
    </w:p>
    <w:p>
      <w:pPr>
        <w:pStyle w:val="5"/>
        <w:rPr>
          <w:rFonts w:cs="Times New Roman"/>
        </w:rPr>
      </w:pPr>
      <w:r>
        <w:rPr>
          <w:rFonts w:cs="Times New Roman"/>
        </w:rPr>
        <w:t>施工期固废环境影响分析</w:t>
      </w:r>
    </w:p>
    <w:p>
      <w:pPr>
        <w:pStyle w:val="7"/>
        <w:ind w:firstLine="480"/>
        <w:rPr>
          <w:rFonts w:cs="Times New Roman"/>
          <w:lang w:val="zh-CN"/>
        </w:rPr>
      </w:pPr>
      <w:r>
        <w:rPr>
          <w:rFonts w:cs="Times New Roman"/>
          <w:lang w:val="zh-CN"/>
        </w:rPr>
        <w:t>施工期产生的固体废物主要为生活垃圾和建筑垃圾。</w:t>
      </w:r>
    </w:p>
    <w:p>
      <w:pPr>
        <w:pStyle w:val="7"/>
        <w:ind w:firstLine="480"/>
        <w:rPr>
          <w:rFonts w:cs="Times New Roman"/>
          <w:lang w:val="zh-CN"/>
        </w:rPr>
      </w:pPr>
      <w:r>
        <w:rPr>
          <w:rFonts w:cs="Times New Roman"/>
          <w:lang w:val="zh-CN"/>
        </w:rPr>
        <w:t>（1）建筑垃圾</w:t>
      </w:r>
    </w:p>
    <w:p>
      <w:pPr>
        <w:pStyle w:val="7"/>
        <w:ind w:firstLine="480"/>
        <w:rPr>
          <w:rFonts w:cs="Times New Roman"/>
          <w:lang w:val="zh-CN"/>
        </w:rPr>
      </w:pPr>
      <w:r>
        <w:rPr>
          <w:rFonts w:cs="Times New Roman"/>
          <w:lang w:val="zh-CN"/>
        </w:rPr>
        <w:t>施工期建筑垃圾主要包括渣土、残砖断瓦、废瓷片、废玻璃、废钢筋头、废金属碎片、废包装袋等。渣土等建筑垃圾若长期堆存，会产生大量扬尘，影响周围环境，应由施工方清运至管理部门指定的</w:t>
      </w:r>
      <w:r>
        <w:rPr>
          <w:rFonts w:hint="eastAsia" w:cs="Times New Roman"/>
          <w:lang w:val="zh-CN"/>
        </w:rPr>
        <w:t>场地</w:t>
      </w:r>
      <w:r>
        <w:rPr>
          <w:rFonts w:cs="Times New Roman"/>
          <w:lang w:val="zh-CN"/>
        </w:rPr>
        <w:t>。</w:t>
      </w:r>
    </w:p>
    <w:p>
      <w:pPr>
        <w:pStyle w:val="7"/>
        <w:ind w:firstLine="480"/>
        <w:rPr>
          <w:rFonts w:cs="Times New Roman"/>
          <w:lang w:val="zh-CN"/>
        </w:rPr>
      </w:pPr>
      <w:r>
        <w:rPr>
          <w:rFonts w:cs="Times New Roman"/>
          <w:lang w:val="zh-CN"/>
        </w:rPr>
        <w:t>工程建设单位应会同有关部门，为本项目的建筑垃圾制定处置计划，尽可能做到土石方平衡，尽可能用于厂内筑路、填沟等。需要外运处理的应按规定路线运输，按规定地点处置，严禁乱排建筑垃圾。</w:t>
      </w:r>
    </w:p>
    <w:p>
      <w:pPr>
        <w:pStyle w:val="7"/>
        <w:ind w:firstLine="480"/>
        <w:rPr>
          <w:rFonts w:cs="Times New Roman"/>
          <w:lang w:val="zh-CN"/>
        </w:rPr>
      </w:pPr>
      <w:r>
        <w:rPr>
          <w:rFonts w:cs="Times New Roman"/>
          <w:lang w:val="zh-CN"/>
        </w:rPr>
        <w:t>（2）生活垃圾</w:t>
      </w:r>
    </w:p>
    <w:p>
      <w:pPr>
        <w:pStyle w:val="7"/>
        <w:ind w:firstLine="480"/>
        <w:rPr>
          <w:rFonts w:cs="Times New Roman"/>
          <w:lang w:val="zh-CN"/>
        </w:rPr>
      </w:pPr>
      <w:r>
        <w:rPr>
          <w:rFonts w:cs="Times New Roman"/>
          <w:lang w:val="zh-CN"/>
        </w:rPr>
        <w:t>项目施工期间施工人员约20人，每人每天产生垃圾量按0.5kg计算，施工人员产生的生活垃圾约为10kg/d，项目施工期约180天，生活垃圾总产生量为1.8t。生活垃圾收集于垃圾桶内，垃圾桶加盖密闭，避免臭气逸散，收集后定期清运至当地垃圾填埋场进行集中处理，对环境不利影响较小。</w:t>
      </w:r>
    </w:p>
    <w:p>
      <w:pPr>
        <w:pStyle w:val="7"/>
        <w:ind w:firstLine="480"/>
        <w:rPr>
          <w:rFonts w:cs="Times New Roman"/>
          <w:lang w:val="zh-CN"/>
        </w:rPr>
      </w:pPr>
      <w:r>
        <w:rPr>
          <w:rFonts w:cs="Times New Roman"/>
          <w:lang w:val="zh-CN"/>
        </w:rPr>
        <w:t>通过采取以上措施，施工期固废对环境</w:t>
      </w:r>
      <w:r>
        <w:rPr>
          <w:rFonts w:hint="eastAsia" w:cs="Times New Roman"/>
          <w:lang w:val="zh-CN"/>
        </w:rPr>
        <w:t>影响较小，采取措施后，不会对环境造成二次污染</w:t>
      </w:r>
      <w:r>
        <w:rPr>
          <w:rFonts w:cs="Times New Roman"/>
          <w:lang w:val="zh-CN"/>
        </w:rPr>
        <w:t>。</w:t>
      </w:r>
    </w:p>
    <w:p>
      <w:pPr>
        <w:pStyle w:val="5"/>
        <w:rPr>
          <w:rFonts w:cs="Times New Roman"/>
        </w:rPr>
      </w:pPr>
      <w:r>
        <w:rPr>
          <w:rFonts w:cs="Times New Roman"/>
        </w:rPr>
        <w:t>施工期生态环境影响分析</w:t>
      </w:r>
    </w:p>
    <w:p>
      <w:pPr>
        <w:pStyle w:val="6"/>
        <w:snapToGrid/>
      </w:pPr>
      <w:r>
        <w:t>工程占地影响评价</w:t>
      </w:r>
    </w:p>
    <w:p>
      <w:pPr>
        <w:pStyle w:val="7"/>
        <w:ind w:firstLine="480"/>
        <w:rPr>
          <w:rFonts w:cs="Times New Roman"/>
          <w:lang w:val="zh-CN"/>
        </w:rPr>
      </w:pPr>
      <w:r>
        <w:rPr>
          <w:rFonts w:cs="Times New Roman"/>
          <w:lang w:val="zh-CN"/>
        </w:rPr>
        <w:t>工程建设将彻底改变占地范围内的土地利用方式，对占地区域的现有地表自然植被和土壤造成破坏，表现出土壤质地粘重、结构变差、同一层次土壤松紧度增大、根系变少、容重增大等特点。</w:t>
      </w:r>
    </w:p>
    <w:p>
      <w:pPr>
        <w:pStyle w:val="6"/>
        <w:snapToGrid/>
      </w:pPr>
      <w:r>
        <w:t>工程建设对自然景观影响分析</w:t>
      </w:r>
    </w:p>
    <w:p>
      <w:pPr>
        <w:pStyle w:val="7"/>
        <w:ind w:firstLine="480"/>
        <w:rPr>
          <w:rFonts w:cs="Times New Roman"/>
          <w:lang w:val="zh-CN"/>
        </w:rPr>
      </w:pPr>
      <w:r>
        <w:rPr>
          <w:rFonts w:cs="Times New Roman"/>
          <w:lang w:val="zh-CN"/>
        </w:rPr>
        <w:t>本项目建成后，项目区自然景观将变为工业景观。因此，为了使项目建设与周围生态景观相协调，在建筑外观设计上应与周围环境相协调。即保持厂区特有的工业建筑景观特点，又要考虑与周围生态景观的融合。在本项目建设期和运营前期应及早投入绿化工作，并提前做好厂区内外的绿化规划工作，以达到与周围协调，改善区域生态环境。加强厂区周围绿化，以便恢复区域生态环境。</w:t>
      </w:r>
    </w:p>
    <w:p>
      <w:pPr>
        <w:pStyle w:val="6"/>
        <w:snapToGrid/>
      </w:pPr>
      <w:r>
        <w:rPr>
          <w:rFonts w:hint="eastAsia"/>
        </w:rPr>
        <w:t>工程建设对水土流失</w:t>
      </w:r>
      <w:r>
        <w:t>影响</w:t>
      </w:r>
      <w:r>
        <w:rPr>
          <w:rFonts w:hint="eastAsia"/>
        </w:rPr>
        <w:t>分析</w:t>
      </w:r>
    </w:p>
    <w:p>
      <w:pPr>
        <w:pStyle w:val="7"/>
        <w:tabs>
          <w:tab w:val="left" w:pos="4320"/>
        </w:tabs>
        <w:ind w:firstLine="480"/>
        <w:rPr>
          <w:rFonts w:cs="Times New Roman"/>
          <w:lang w:val="zh-CN"/>
        </w:rPr>
      </w:pPr>
      <w:r>
        <w:rPr>
          <w:rFonts w:hint="eastAsia" w:cs="Times New Roman"/>
          <w:lang w:val="zh-CN"/>
        </w:rPr>
        <w:t>施工期水土流失主要来源于工程建设区和弃渣流失，建设过程中将扰动当地的原生地貌，损坏土地，破坏植被，造成水土流失。建议施工期采取如下措施：对于土质较好的地段，建议采用深挖、表土回覆的方式；对于砾石土，建议将石土分离，土层覆于地表，易于植被恢复。应避开风季、暴雨季施工，减少水土流失。如此能够有效减轻项目施工造成的水土流水影响。</w:t>
      </w:r>
    </w:p>
    <w:p>
      <w:pPr>
        <w:pStyle w:val="6"/>
        <w:snapToGrid/>
      </w:pPr>
      <w:r>
        <w:t>工程施工对动植物的影响分析</w:t>
      </w:r>
    </w:p>
    <w:p>
      <w:pPr>
        <w:pStyle w:val="7"/>
        <w:ind w:firstLine="480"/>
        <w:rPr>
          <w:rFonts w:cs="Times New Roman"/>
          <w:lang w:val="zh-CN"/>
        </w:rPr>
      </w:pPr>
      <w:r>
        <w:rPr>
          <w:rFonts w:cs="Times New Roman"/>
          <w:lang w:val="zh-CN"/>
        </w:rPr>
        <w:t>（1）影响分析</w:t>
      </w:r>
    </w:p>
    <w:p>
      <w:pPr>
        <w:pStyle w:val="7"/>
        <w:ind w:firstLine="464"/>
        <w:rPr>
          <w:rFonts w:cs="Times New Roman"/>
          <w:spacing w:val="-4"/>
          <w:lang w:val="zh-CN"/>
        </w:rPr>
      </w:pPr>
      <w:r>
        <w:rPr>
          <w:rFonts w:cs="Times New Roman"/>
          <w:spacing w:val="-4"/>
          <w:lang w:val="zh-CN"/>
        </w:rPr>
        <w:t>项目建设过程中必然会对所在区域的生态环境带来一定的破坏，使现有的土地利用类型发生变化，占地范围内地表植被会消失，同时各种机动车辆碾压和施工人员的践踏及土石的堆放，也会对植被造成较为严重的破坏和影响。随着施工期的进行，施工范围内的一些植物种类将会消失，植物种类数量将会减少，区域生物多样性受到一定影响。但由于受破坏的植被类型均为评价区的常见类型，且所破坏的植物种类亦为评价区的常见种类，无国家重点保护的珍稀濒危植物和野生植物。因此，项目的建设对植物区系、植被类型的影响不大，不会导致区域内现有种类和植物类型的消失灭绝，且随着施工期的结束，经过绿化建设，植被会得到逐步恢复，将可弥补植物种属多样性的损失。施工期对植被的影响情况见</w:t>
      </w:r>
      <w:r>
        <w:rPr>
          <w:rFonts w:hint="eastAsia" w:cs="Times New Roman"/>
          <w:lang w:val="zh-CN"/>
        </w:rPr>
        <w:t>表5.1-4</w:t>
      </w:r>
      <w:r>
        <w:rPr>
          <w:rFonts w:cs="Times New Roman"/>
          <w:spacing w:val="-4"/>
          <w:lang w:val="zh-CN"/>
        </w:rPr>
        <w:t>。</w:t>
      </w:r>
    </w:p>
    <w:p>
      <w:pPr>
        <w:pStyle w:val="36"/>
        <w:spacing w:before="156"/>
        <w:rPr>
          <w:rFonts w:eastAsia="宋体"/>
        </w:rPr>
      </w:pPr>
      <w:r>
        <w:rPr>
          <w:rFonts w:eastAsia="宋体"/>
        </w:rPr>
        <w:t>表</w:t>
      </w:r>
      <w:r>
        <w:rPr>
          <w:rFonts w:hint="eastAsia" w:eastAsia="宋体"/>
        </w:rPr>
        <w:t>5.1-4</w:t>
      </w:r>
      <w:r>
        <w:rPr>
          <w:rFonts w:eastAsia="宋体"/>
        </w:rPr>
        <w:t xml:space="preserve">  施工期对植被的影响因素</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985"/>
        <w:gridCol w:w="4153"/>
        <w:gridCol w:w="1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77" w:type="pct"/>
            <w:tcBorders>
              <w:tl2br w:val="nil"/>
              <w:tr2bl w:val="nil"/>
            </w:tcBorders>
          </w:tcPr>
          <w:p>
            <w:pPr>
              <w:pStyle w:val="34"/>
            </w:pPr>
            <w:r>
              <w:t>序号</w:t>
            </w:r>
          </w:p>
        </w:tc>
        <w:tc>
          <w:tcPr>
            <w:tcW w:w="1164" w:type="pct"/>
            <w:tcBorders>
              <w:tl2br w:val="nil"/>
              <w:tr2bl w:val="nil"/>
            </w:tcBorders>
          </w:tcPr>
          <w:p>
            <w:pPr>
              <w:pStyle w:val="34"/>
            </w:pPr>
            <w:r>
              <w:t>施工环节</w:t>
            </w:r>
          </w:p>
        </w:tc>
        <w:tc>
          <w:tcPr>
            <w:tcW w:w="2435" w:type="pct"/>
            <w:tcBorders>
              <w:tl2br w:val="nil"/>
              <w:tr2bl w:val="nil"/>
            </w:tcBorders>
          </w:tcPr>
          <w:p>
            <w:pPr>
              <w:pStyle w:val="34"/>
            </w:pPr>
            <w:r>
              <w:t>影响原因</w:t>
            </w:r>
          </w:p>
        </w:tc>
        <w:tc>
          <w:tcPr>
            <w:tcW w:w="1024" w:type="pct"/>
            <w:tcBorders>
              <w:tl2br w:val="nil"/>
              <w:tr2bl w:val="nil"/>
            </w:tcBorders>
          </w:tcPr>
          <w:p>
            <w:pPr>
              <w:pStyle w:val="34"/>
            </w:pPr>
            <w:r>
              <w:t>影响范围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77" w:type="pct"/>
            <w:tcBorders>
              <w:tl2br w:val="nil"/>
              <w:tr2bl w:val="nil"/>
            </w:tcBorders>
          </w:tcPr>
          <w:p>
            <w:pPr>
              <w:pStyle w:val="34"/>
            </w:pPr>
            <w:r>
              <w:t>1</w:t>
            </w:r>
          </w:p>
        </w:tc>
        <w:tc>
          <w:tcPr>
            <w:tcW w:w="1164" w:type="pct"/>
            <w:tcBorders>
              <w:tl2br w:val="nil"/>
              <w:tr2bl w:val="nil"/>
            </w:tcBorders>
          </w:tcPr>
          <w:p>
            <w:pPr>
              <w:pStyle w:val="34"/>
            </w:pPr>
            <w:r>
              <w:t>人工开挖</w:t>
            </w:r>
          </w:p>
        </w:tc>
        <w:tc>
          <w:tcPr>
            <w:tcW w:w="2435" w:type="pct"/>
            <w:tcBorders>
              <w:tl2br w:val="nil"/>
              <w:tr2bl w:val="nil"/>
            </w:tcBorders>
          </w:tcPr>
          <w:p>
            <w:pPr>
              <w:pStyle w:val="34"/>
            </w:pPr>
            <w:r>
              <w:t>直接破坏开挖带的植被</w:t>
            </w:r>
          </w:p>
        </w:tc>
        <w:tc>
          <w:tcPr>
            <w:tcW w:w="1024" w:type="pct"/>
            <w:tcBorders>
              <w:tl2br w:val="nil"/>
              <w:tr2bl w:val="nil"/>
            </w:tcBorders>
          </w:tcPr>
          <w:p>
            <w:pPr>
              <w:pStyle w:val="34"/>
            </w:pPr>
            <w:r>
              <w:t>开挖带两侧3m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77" w:type="pct"/>
            <w:tcBorders>
              <w:tl2br w:val="nil"/>
              <w:tr2bl w:val="nil"/>
            </w:tcBorders>
          </w:tcPr>
          <w:p>
            <w:pPr>
              <w:pStyle w:val="34"/>
            </w:pPr>
            <w:r>
              <w:t>2</w:t>
            </w:r>
          </w:p>
        </w:tc>
        <w:tc>
          <w:tcPr>
            <w:tcW w:w="1164" w:type="pct"/>
            <w:tcBorders>
              <w:tl2br w:val="nil"/>
              <w:tr2bl w:val="nil"/>
            </w:tcBorders>
          </w:tcPr>
          <w:p>
            <w:pPr>
              <w:pStyle w:val="34"/>
            </w:pPr>
            <w:r>
              <w:t>回填土</w:t>
            </w:r>
          </w:p>
        </w:tc>
        <w:tc>
          <w:tcPr>
            <w:tcW w:w="2435" w:type="pct"/>
            <w:tcBorders>
              <w:tl2br w:val="nil"/>
              <w:tr2bl w:val="nil"/>
            </w:tcBorders>
          </w:tcPr>
          <w:p>
            <w:pPr>
              <w:pStyle w:val="34"/>
            </w:pPr>
            <w:r>
              <w:t>若违反回填程序，将造成表层土壤严重损失</w:t>
            </w:r>
          </w:p>
        </w:tc>
        <w:tc>
          <w:tcPr>
            <w:tcW w:w="1024" w:type="pct"/>
            <w:tcBorders>
              <w:tl2br w:val="nil"/>
              <w:tr2bl w:val="nil"/>
            </w:tcBorders>
          </w:tcPr>
          <w:p>
            <w:pPr>
              <w:pStyle w:val="34"/>
            </w:pPr>
            <w:r>
              <w:t>场地两侧10m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77" w:type="pct"/>
            <w:tcBorders>
              <w:tl2br w:val="nil"/>
              <w:tr2bl w:val="nil"/>
            </w:tcBorders>
          </w:tcPr>
          <w:p>
            <w:pPr>
              <w:pStyle w:val="34"/>
            </w:pPr>
            <w:r>
              <w:t>3</w:t>
            </w:r>
          </w:p>
        </w:tc>
        <w:tc>
          <w:tcPr>
            <w:tcW w:w="1164" w:type="pct"/>
            <w:tcBorders>
              <w:tl2br w:val="nil"/>
              <w:tr2bl w:val="nil"/>
            </w:tcBorders>
          </w:tcPr>
          <w:p>
            <w:pPr>
              <w:pStyle w:val="34"/>
            </w:pPr>
            <w:r>
              <w:t>机械作业</w:t>
            </w:r>
          </w:p>
        </w:tc>
        <w:tc>
          <w:tcPr>
            <w:tcW w:w="2435" w:type="pct"/>
            <w:tcBorders>
              <w:tl2br w:val="nil"/>
              <w:tr2bl w:val="nil"/>
            </w:tcBorders>
          </w:tcPr>
          <w:p>
            <w:pPr>
              <w:pStyle w:val="34"/>
            </w:pPr>
            <w:r>
              <w:t>碾压施工场地的植被</w:t>
            </w:r>
          </w:p>
        </w:tc>
        <w:tc>
          <w:tcPr>
            <w:tcW w:w="1024" w:type="pct"/>
            <w:tcBorders>
              <w:tl2br w:val="nil"/>
              <w:tr2bl w:val="nil"/>
            </w:tcBorders>
          </w:tcPr>
          <w:p>
            <w:pPr>
              <w:pStyle w:val="34"/>
            </w:pPr>
            <w:r>
              <w:t>施工场地</w:t>
            </w:r>
          </w:p>
        </w:tc>
      </w:tr>
    </w:tbl>
    <w:p>
      <w:pPr>
        <w:pStyle w:val="7"/>
        <w:spacing w:before="156" w:beforeLines="50"/>
        <w:ind w:firstLine="480"/>
        <w:rPr>
          <w:rFonts w:cs="Times New Roman"/>
        </w:rPr>
      </w:pPr>
      <w:r>
        <w:rPr>
          <w:rFonts w:cs="Times New Roman"/>
        </w:rPr>
        <w:t>施工期对陆生动物的直接影响主要是施工人员集中活动和工程施工过程对动物的惊扰；间接影响主要是工业企业建设破坏植被和土壤，造成部分陆生动物栖息地的丧失。</w:t>
      </w:r>
    </w:p>
    <w:p>
      <w:pPr>
        <w:pStyle w:val="7"/>
        <w:ind w:firstLine="480"/>
        <w:rPr>
          <w:rFonts w:cs="Times New Roman"/>
        </w:rPr>
      </w:pPr>
      <w:r>
        <w:rPr>
          <w:rFonts w:cs="Times New Roman"/>
        </w:rPr>
        <w:t>但施工区没有发现重要的兽类及两爬动物的活动痕迹，主要动物是小型兽类、小型常见鸟类和蛙类、常见的蜥蜴类，且数量不多，具有较强的迁移能力，因此，施工期不会影响这些动物的生存。</w:t>
      </w:r>
    </w:p>
    <w:p>
      <w:pPr>
        <w:pStyle w:val="7"/>
        <w:ind w:firstLine="480"/>
        <w:rPr>
          <w:rFonts w:cs="Times New Roman"/>
        </w:rPr>
      </w:pPr>
      <w:r>
        <w:rPr>
          <w:rFonts w:cs="Times New Roman"/>
        </w:rPr>
        <w:t>（2）施工期对生态破坏减缓措施</w:t>
      </w:r>
    </w:p>
    <w:p>
      <w:pPr>
        <w:pStyle w:val="7"/>
        <w:ind w:firstLine="480"/>
        <w:rPr>
          <w:rFonts w:cs="Times New Roman"/>
        </w:rPr>
      </w:pPr>
      <w:r>
        <w:rPr>
          <w:rFonts w:cs="Times New Roman"/>
        </w:rPr>
        <w:t>保护植被，提高环境系统本身的自我调节能力，必须对施工单位实行生态保护目标责任制，在施工建设挖掘土石方过程中，应遵守施工建筑规范及有关水土保持的规定，尽量降低植被破坏程度，减少扬尘及水土流失(风蚀)，保护区域生态及大气环境。</w:t>
      </w:r>
    </w:p>
    <w:p>
      <w:pPr>
        <w:pStyle w:val="7"/>
        <w:tabs>
          <w:tab w:val="left" w:pos="5979"/>
        </w:tabs>
        <w:ind w:firstLine="480"/>
        <w:rPr>
          <w:rFonts w:cs="Times New Roman"/>
          <w:lang w:val="zh-CN"/>
        </w:rPr>
      </w:pPr>
      <w:r>
        <w:rPr>
          <w:rFonts w:cs="Times New Roman"/>
        </w:rPr>
        <w:t>综上分析，项目施工对生态影响较小</w:t>
      </w:r>
      <w:r>
        <w:rPr>
          <w:rFonts w:hint="eastAsia" w:cs="Times New Roman"/>
        </w:rPr>
        <w:t>。</w:t>
      </w:r>
    </w:p>
    <w:p>
      <w:pPr>
        <w:pStyle w:val="4"/>
        <w:spacing w:before="156" w:after="156"/>
        <w:rPr>
          <w:rFonts w:eastAsia="宋体"/>
          <w:lang w:val="zh-CN"/>
        </w:rPr>
      </w:pPr>
      <w:bookmarkStart w:id="79" w:name="_Toc9297"/>
      <w:r>
        <w:rPr>
          <w:rFonts w:eastAsia="宋体"/>
          <w:lang w:val="zh-CN"/>
        </w:rPr>
        <w:t>运营期环境影响预测与评价</w:t>
      </w:r>
      <w:bookmarkEnd w:id="79"/>
    </w:p>
    <w:p>
      <w:pPr>
        <w:pStyle w:val="5"/>
        <w:rPr>
          <w:rFonts w:cs="Times New Roman"/>
        </w:rPr>
      </w:pPr>
      <w:r>
        <w:rPr>
          <w:rFonts w:cs="Times New Roman"/>
        </w:rPr>
        <w:t>运营期大气环境影响预测与评价</w:t>
      </w:r>
    </w:p>
    <w:p>
      <w:pPr>
        <w:pStyle w:val="7"/>
        <w:ind w:firstLine="480"/>
      </w:pPr>
      <w:r>
        <w:rPr>
          <w:rFonts w:hint="eastAsia"/>
        </w:rPr>
        <w:t>根据工程分析，项目运营期废气主要为造粒工序、滴灌带及水带生产工序产生的挥发性有机气体。</w:t>
      </w:r>
    </w:p>
    <w:p>
      <w:pPr>
        <w:pStyle w:val="7"/>
        <w:ind w:firstLine="480"/>
      </w:pPr>
      <w:r>
        <w:rPr>
          <w:rFonts w:hint="eastAsia"/>
        </w:rPr>
        <w:t>1、达标性分析</w:t>
      </w:r>
    </w:p>
    <w:p>
      <w:pPr>
        <w:pStyle w:val="7"/>
        <w:ind w:firstLine="480"/>
      </w:pPr>
      <w:r>
        <w:rPr>
          <w:rFonts w:hint="eastAsia"/>
        </w:rPr>
        <w:t>本项目挥发性有机废气（以非甲烷总烃计）主要为造粒工序、滴灌带及水带挤出成型工序产生的废气，主要污染物为非甲烷总烃。根据工程分析计算，本项目全厂造粒工序产生的非甲烷总烃量为1.77t</w:t>
      </w:r>
      <w:r>
        <w:t>/a</w:t>
      </w:r>
      <w:r>
        <w:rPr>
          <w:rFonts w:hint="eastAsia"/>
        </w:rPr>
        <w:t>，全厂滴灌带及水带挤出成型工序产生的非甲烷总烃量为8.91t</w:t>
      </w:r>
      <w:r>
        <w:t>/a</w:t>
      </w:r>
      <w:r>
        <w:rPr>
          <w:rFonts w:hint="eastAsia"/>
        </w:rPr>
        <w:t>。本次评价要求在造粒工序、滴灌带及水带挤出成型工序每台挤出设备上方分别设置一套集气罩收集废气，废气经收集后进入一套UV光催化氧化装置+活性炭吸附装置处理，处理后通过一根15m高排气筒外排。根据工程分析计算，经处理后非甲烷总烃排放量为7.3t/a，排放浓度为84.49mg/m</w:t>
      </w:r>
      <w:r>
        <w:rPr>
          <w:rFonts w:hint="eastAsia"/>
          <w:vertAlign w:val="superscript"/>
        </w:rPr>
        <w:t>3</w:t>
      </w:r>
      <w:r>
        <w:rPr>
          <w:rFonts w:hint="eastAsia"/>
        </w:rPr>
        <w:t>，满足《合成树脂工业污染物排放标准》（</w:t>
      </w:r>
      <w:r>
        <w:t>GB 31572-2015</w:t>
      </w:r>
      <w:r>
        <w:rPr>
          <w:rFonts w:hint="eastAsia"/>
        </w:rPr>
        <w:t>）中表4大气污染物排放限值中要求（非甲烷总烃：100mg/m</w:t>
      </w:r>
      <w:r>
        <w:rPr>
          <w:rFonts w:hint="eastAsia"/>
          <w:vertAlign w:val="superscript"/>
        </w:rPr>
        <w:t>3</w:t>
      </w:r>
      <w:r>
        <w:rPr>
          <w:rFonts w:hint="eastAsia"/>
        </w:rPr>
        <w:t>）。</w:t>
      </w:r>
    </w:p>
    <w:p>
      <w:pPr>
        <w:pStyle w:val="7"/>
        <w:ind w:firstLine="480"/>
      </w:pPr>
      <w:r>
        <w:rPr>
          <w:rFonts w:hint="eastAsia"/>
        </w:rPr>
        <w:t>根据《挥发性有机物无组织排放控制标准》</w:t>
      </w:r>
      <w:r>
        <w:t>(GB37822-2019)</w:t>
      </w:r>
      <w:r>
        <w:rPr>
          <w:rFonts w:hint="eastAsia"/>
        </w:rPr>
        <w:t>中关于有机聚合物产品用于制品生产过程的要求，加工成型等工序需要在密闭设备或密闭空间内操作，废气排至</w:t>
      </w:r>
      <w:r>
        <w:t>VOCs</w:t>
      </w:r>
      <w:r>
        <w:rPr>
          <w:rFonts w:hint="eastAsia"/>
        </w:rPr>
        <w:t>废气收集处理系统，无法密闭的，应采取局部气体收集措施，废气排至</w:t>
      </w:r>
      <w:r>
        <w:t>VOCs</w:t>
      </w:r>
      <w:r>
        <w:rPr>
          <w:rFonts w:hint="eastAsia"/>
        </w:rPr>
        <w:t>废气收集处理系统。本项目造粒工序、滴灌带及水带生产工序产气设备设置集气罩收集废气，经收集后的废气通过通风管道进入废气处理设施统一处理。对造粒车间及滴灌带、水带生产车间按照工程设计要求加强车间通风，制定运行控制要求，</w:t>
      </w:r>
      <w:r>
        <w:rPr>
          <w:rFonts w:hint="eastAsia"/>
          <w:spacing w:val="-6"/>
        </w:rPr>
        <w:t>保证生产车间无组织废气满足《挥发性有机物无组织排放控制标准》</w:t>
      </w:r>
      <w:r>
        <w:rPr>
          <w:spacing w:val="-6"/>
        </w:rPr>
        <w:t>(GB37822-2019)</w:t>
      </w:r>
      <w:r>
        <w:rPr>
          <w:rFonts w:hint="eastAsia"/>
          <w:spacing w:val="-6"/>
        </w:rPr>
        <w:t>要求</w:t>
      </w:r>
      <w:r>
        <w:rPr>
          <w:rFonts w:hint="eastAsia"/>
        </w:rPr>
        <w:t>。</w:t>
      </w:r>
    </w:p>
    <w:p>
      <w:pPr>
        <w:pStyle w:val="7"/>
        <w:ind w:firstLine="480"/>
      </w:pPr>
      <w:r>
        <w:rPr>
          <w:rFonts w:hint="eastAsia"/>
        </w:rPr>
        <w:t>2、废气影响预测与分析</w:t>
      </w:r>
    </w:p>
    <w:p>
      <w:pPr>
        <w:pStyle w:val="7"/>
        <w:ind w:firstLine="480"/>
      </w:pPr>
      <w:r>
        <w:rPr>
          <w:rFonts w:hint="eastAsia"/>
        </w:rPr>
        <w:t>（1）估算模型选取</w:t>
      </w:r>
    </w:p>
    <w:p>
      <w:pPr>
        <w:pStyle w:val="7"/>
        <w:ind w:firstLine="456"/>
        <w:rPr>
          <w:spacing w:val="-6"/>
        </w:rPr>
      </w:pPr>
      <w:r>
        <w:rPr>
          <w:rFonts w:hint="eastAsia"/>
          <w:spacing w:val="-6"/>
        </w:rPr>
        <w:t>为了解本项目废气对周边环境的影响，本此评价根据《环境影响评价技术导则 大气环境》（HJ2.2-2018），采用估算模式（AERSCREEN）对项目排放的废气进行预测分析。结合本项目特点，本评价选取非甲烷总烃作为评价因子。</w:t>
      </w:r>
    </w:p>
    <w:p>
      <w:pPr>
        <w:pStyle w:val="7"/>
        <w:ind w:firstLine="480"/>
      </w:pPr>
      <w:r>
        <w:rPr>
          <w:rFonts w:hint="eastAsia"/>
        </w:rPr>
        <w:t>（2）评价标准</w:t>
      </w:r>
    </w:p>
    <w:p>
      <w:pPr>
        <w:pStyle w:val="7"/>
        <w:ind w:firstLine="480"/>
      </w:pPr>
      <w:r>
        <w:rPr>
          <w:rFonts w:hint="eastAsia"/>
        </w:rPr>
        <w:t>项目评价因子和和评价标准详见</w:t>
      </w:r>
      <w:r>
        <w:rPr>
          <w:rFonts w:hint="eastAsia" w:cs="Times New Roman"/>
          <w:lang w:val="zh-CN"/>
        </w:rPr>
        <w:t>表</w:t>
      </w:r>
      <w:r>
        <w:rPr>
          <w:rFonts w:hint="eastAsia" w:cs="Times New Roman"/>
          <w:lang w:val="en-US" w:eastAsia="zh-CN"/>
        </w:rPr>
        <w:t>4</w:t>
      </w:r>
      <w:r>
        <w:rPr>
          <w:rFonts w:hint="eastAsia" w:cs="Times New Roman"/>
          <w:lang w:val="zh-CN"/>
        </w:rPr>
        <w:t>.2-1</w:t>
      </w:r>
      <w:r>
        <w:rPr>
          <w:rFonts w:hint="eastAsia"/>
        </w:rPr>
        <w:t>。</w:t>
      </w:r>
    </w:p>
    <w:p>
      <w:pPr>
        <w:pStyle w:val="36"/>
        <w:spacing w:before="156"/>
        <w:rPr>
          <w:rFonts w:eastAsia="宋体"/>
        </w:rPr>
      </w:pPr>
      <w:r>
        <w:rPr>
          <w:rFonts w:eastAsia="宋体"/>
        </w:rPr>
        <w:t>表</w:t>
      </w:r>
      <w:r>
        <w:rPr>
          <w:rFonts w:hint="eastAsia" w:eastAsia="宋体"/>
          <w:lang w:val="en-US" w:eastAsia="zh-CN"/>
        </w:rPr>
        <w:t>4</w:t>
      </w:r>
      <w:r>
        <w:rPr>
          <w:rFonts w:hint="eastAsia" w:eastAsia="宋体"/>
        </w:rPr>
        <w:t>.2-1</w:t>
      </w:r>
      <w:r>
        <w:rPr>
          <w:rFonts w:eastAsia="宋体"/>
        </w:rPr>
        <w:t xml:space="preserve">  评价因子和评价标准表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58"/>
        <w:gridCol w:w="2512"/>
        <w:gridCol w:w="34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0" w:type="pct"/>
            <w:tcBorders>
              <w:tl2br w:val="nil"/>
              <w:tr2bl w:val="nil"/>
            </w:tcBorders>
          </w:tcPr>
          <w:p>
            <w:pPr>
              <w:pStyle w:val="34"/>
            </w:pPr>
            <w:r>
              <w:t>评价因子</w:t>
            </w:r>
          </w:p>
        </w:tc>
        <w:tc>
          <w:tcPr>
            <w:tcW w:w="1473" w:type="pct"/>
            <w:tcBorders>
              <w:tl2br w:val="nil"/>
              <w:tr2bl w:val="nil"/>
            </w:tcBorders>
          </w:tcPr>
          <w:p>
            <w:pPr>
              <w:pStyle w:val="34"/>
            </w:pPr>
            <w:r>
              <w:t>标准值</w:t>
            </w:r>
          </w:p>
        </w:tc>
        <w:tc>
          <w:tcPr>
            <w:tcW w:w="2028" w:type="pct"/>
            <w:tcBorders>
              <w:tl2br w:val="nil"/>
              <w:tr2bl w:val="nil"/>
            </w:tcBorders>
          </w:tcPr>
          <w:p>
            <w:pPr>
              <w:pStyle w:val="34"/>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0" w:type="pct"/>
            <w:tcBorders>
              <w:tl2br w:val="nil"/>
              <w:tr2bl w:val="nil"/>
            </w:tcBorders>
          </w:tcPr>
          <w:p>
            <w:pPr>
              <w:pStyle w:val="34"/>
            </w:pPr>
            <w:r>
              <w:t>NMHC</w:t>
            </w:r>
          </w:p>
        </w:tc>
        <w:tc>
          <w:tcPr>
            <w:tcW w:w="1473" w:type="pct"/>
            <w:tcBorders>
              <w:tl2br w:val="nil"/>
              <w:tr2bl w:val="nil"/>
            </w:tcBorders>
          </w:tcPr>
          <w:p>
            <w:pPr>
              <w:pStyle w:val="34"/>
            </w:pPr>
            <w:r>
              <w:t>2.0 mg/m</w:t>
            </w:r>
            <w:r>
              <w:rPr>
                <w:vertAlign w:val="superscript"/>
              </w:rPr>
              <w:t>3</w:t>
            </w:r>
          </w:p>
        </w:tc>
        <w:tc>
          <w:tcPr>
            <w:tcW w:w="2028" w:type="pct"/>
            <w:tcBorders>
              <w:tl2br w:val="nil"/>
              <w:tr2bl w:val="nil"/>
            </w:tcBorders>
          </w:tcPr>
          <w:p>
            <w:pPr>
              <w:pStyle w:val="34"/>
            </w:pPr>
            <w:r>
              <w:t>《大气污染物综合排放标准详解》</w:t>
            </w:r>
          </w:p>
        </w:tc>
      </w:tr>
    </w:tbl>
    <w:p>
      <w:pPr>
        <w:pStyle w:val="7"/>
        <w:ind w:firstLine="480"/>
        <w:rPr>
          <w:rFonts w:cs="Times New Roman"/>
          <w:lang w:val="zh-CN"/>
        </w:rPr>
      </w:pPr>
      <w:r>
        <w:rPr>
          <w:rFonts w:hint="eastAsia" w:cs="Times New Roman"/>
          <w:lang w:val="zh-CN"/>
        </w:rPr>
        <w:t>（3）污染源强</w:t>
      </w:r>
    </w:p>
    <w:p>
      <w:pPr>
        <w:pStyle w:val="7"/>
        <w:ind w:firstLine="480"/>
        <w:rPr>
          <w:rFonts w:cs="Times New Roman"/>
          <w:lang w:val="zh-CN"/>
        </w:rPr>
      </w:pPr>
      <w:r>
        <w:rPr>
          <w:rFonts w:hint="eastAsia" w:cs="Times New Roman"/>
          <w:lang w:val="zh-CN"/>
        </w:rPr>
        <w:t>根据工程分析，项目非甲烷总烃排放源主要分有组织排放源与无组织排放源，具体见表</w:t>
      </w:r>
      <w:r>
        <w:rPr>
          <w:rFonts w:hint="eastAsia" w:cs="Times New Roman"/>
          <w:lang w:val="en-US" w:eastAsia="zh-CN"/>
        </w:rPr>
        <w:t>4</w:t>
      </w:r>
      <w:r>
        <w:rPr>
          <w:rFonts w:hint="eastAsia" w:cs="Times New Roman"/>
          <w:lang w:val="zh-CN"/>
        </w:rPr>
        <w:t>.2-2至表</w:t>
      </w:r>
      <w:r>
        <w:rPr>
          <w:rFonts w:hint="eastAsia" w:cs="Times New Roman"/>
          <w:lang w:val="en-US" w:eastAsia="zh-CN"/>
        </w:rPr>
        <w:t>4</w:t>
      </w:r>
      <w:r>
        <w:rPr>
          <w:rFonts w:hint="eastAsia" w:cs="Times New Roman"/>
          <w:lang w:val="zh-CN"/>
        </w:rPr>
        <w:t>.2-3。</w:t>
      </w:r>
    </w:p>
    <w:p>
      <w:pPr>
        <w:pStyle w:val="36"/>
        <w:spacing w:before="156"/>
        <w:rPr>
          <w:rFonts w:eastAsia="宋体"/>
        </w:rPr>
      </w:pPr>
      <w:r>
        <w:rPr>
          <w:rFonts w:eastAsia="宋体"/>
        </w:rPr>
        <w:t>表</w:t>
      </w:r>
      <w:r>
        <w:rPr>
          <w:rFonts w:hint="eastAsia" w:eastAsia="宋体"/>
          <w:lang w:val="en-US" w:eastAsia="zh-CN"/>
        </w:rPr>
        <w:t>4</w:t>
      </w:r>
      <w:r>
        <w:rPr>
          <w:rFonts w:hint="eastAsia" w:eastAsia="宋体"/>
        </w:rPr>
        <w:t>.2-2</w:t>
      </w:r>
      <w:r>
        <w:rPr>
          <w:rFonts w:eastAsia="宋体"/>
        </w:rPr>
        <w:t xml:space="preserve">  本项目点源参数表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74"/>
        <w:gridCol w:w="426"/>
        <w:gridCol w:w="567"/>
        <w:gridCol w:w="850"/>
        <w:gridCol w:w="567"/>
        <w:gridCol w:w="709"/>
        <w:gridCol w:w="709"/>
        <w:gridCol w:w="567"/>
        <w:gridCol w:w="708"/>
        <w:gridCol w:w="709"/>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35" w:type="dxa"/>
            <w:vMerge w:val="restart"/>
            <w:tcBorders>
              <w:tl2br w:val="nil"/>
              <w:tr2bl w:val="nil"/>
            </w:tcBorders>
          </w:tcPr>
          <w:p>
            <w:pPr>
              <w:pStyle w:val="34"/>
              <w:rPr>
                <w:lang w:val="zh-CN"/>
              </w:rPr>
            </w:pPr>
            <w:r>
              <w:rPr>
                <w:lang w:val="zh-CN"/>
              </w:rPr>
              <w:t>编号</w:t>
            </w:r>
          </w:p>
        </w:tc>
        <w:tc>
          <w:tcPr>
            <w:tcW w:w="974" w:type="dxa"/>
            <w:vMerge w:val="restart"/>
            <w:tcBorders>
              <w:tl2br w:val="nil"/>
              <w:tr2bl w:val="nil"/>
            </w:tcBorders>
          </w:tcPr>
          <w:p>
            <w:pPr>
              <w:pStyle w:val="34"/>
              <w:rPr>
                <w:lang w:val="zh-CN"/>
              </w:rPr>
            </w:pPr>
            <w:r>
              <w:rPr>
                <w:lang w:val="zh-CN"/>
              </w:rPr>
              <w:t>名称</w:t>
            </w:r>
          </w:p>
        </w:tc>
        <w:tc>
          <w:tcPr>
            <w:tcW w:w="993" w:type="dxa"/>
            <w:gridSpan w:val="2"/>
            <w:tcBorders>
              <w:tl2br w:val="nil"/>
              <w:tr2bl w:val="nil"/>
            </w:tcBorders>
          </w:tcPr>
          <w:p>
            <w:pPr>
              <w:pStyle w:val="34"/>
              <w:rPr>
                <w:lang w:val="zh-CN"/>
              </w:rPr>
            </w:pPr>
            <w:r>
              <w:rPr>
                <w:lang w:val="zh-CN"/>
              </w:rPr>
              <w:t>排气筒底部中心坐标/m</w:t>
            </w:r>
          </w:p>
        </w:tc>
        <w:tc>
          <w:tcPr>
            <w:tcW w:w="850" w:type="dxa"/>
            <w:vMerge w:val="restart"/>
            <w:tcBorders>
              <w:tl2br w:val="nil"/>
              <w:tr2bl w:val="nil"/>
            </w:tcBorders>
          </w:tcPr>
          <w:p>
            <w:pPr>
              <w:pStyle w:val="34"/>
              <w:rPr>
                <w:lang w:val="zh-CN"/>
              </w:rPr>
            </w:pPr>
            <w:r>
              <w:rPr>
                <w:lang w:val="zh-CN"/>
              </w:rPr>
              <w:t>排气筒底部海拔高度/m</w:t>
            </w:r>
          </w:p>
        </w:tc>
        <w:tc>
          <w:tcPr>
            <w:tcW w:w="567" w:type="dxa"/>
            <w:vMerge w:val="restart"/>
            <w:tcBorders>
              <w:tl2br w:val="nil"/>
              <w:tr2bl w:val="nil"/>
            </w:tcBorders>
          </w:tcPr>
          <w:p>
            <w:pPr>
              <w:pStyle w:val="34"/>
              <w:rPr>
                <w:lang w:val="zh-CN"/>
              </w:rPr>
            </w:pPr>
            <w:r>
              <w:rPr>
                <w:lang w:val="zh-CN"/>
              </w:rPr>
              <w:t>排气筒高度/m</w:t>
            </w:r>
          </w:p>
        </w:tc>
        <w:tc>
          <w:tcPr>
            <w:tcW w:w="709" w:type="dxa"/>
            <w:vMerge w:val="restart"/>
            <w:tcBorders>
              <w:tl2br w:val="nil"/>
              <w:tr2bl w:val="nil"/>
            </w:tcBorders>
          </w:tcPr>
          <w:p>
            <w:pPr>
              <w:pStyle w:val="34"/>
              <w:rPr>
                <w:lang w:val="zh-CN"/>
              </w:rPr>
            </w:pPr>
            <w:r>
              <w:rPr>
                <w:lang w:val="zh-CN"/>
              </w:rPr>
              <w:t>排气筒出口内径/m</w:t>
            </w:r>
          </w:p>
        </w:tc>
        <w:tc>
          <w:tcPr>
            <w:tcW w:w="709" w:type="dxa"/>
            <w:vMerge w:val="restart"/>
            <w:tcBorders>
              <w:tl2br w:val="nil"/>
              <w:tr2bl w:val="nil"/>
            </w:tcBorders>
          </w:tcPr>
          <w:p>
            <w:pPr>
              <w:pStyle w:val="34"/>
              <w:rPr>
                <w:lang w:val="zh-CN"/>
              </w:rPr>
            </w:pPr>
            <w:r>
              <w:rPr>
                <w:lang w:val="zh-CN"/>
              </w:rPr>
              <w:t>烟气</w:t>
            </w:r>
          </w:p>
          <w:p>
            <w:pPr>
              <w:pStyle w:val="34"/>
              <w:rPr>
                <w:lang w:val="zh-CN"/>
              </w:rPr>
            </w:pPr>
            <w:r>
              <w:rPr>
                <w:lang w:val="zh-CN"/>
              </w:rPr>
              <w:t>流</w:t>
            </w:r>
            <w:r>
              <w:rPr>
                <w:rFonts w:hint="eastAsia"/>
                <w:lang w:val="zh-CN"/>
              </w:rPr>
              <w:t>量</w:t>
            </w:r>
            <w:r>
              <w:rPr>
                <w:lang w:val="zh-CN"/>
              </w:rPr>
              <w:t>/</w:t>
            </w:r>
          </w:p>
          <w:p>
            <w:pPr>
              <w:pStyle w:val="34"/>
              <w:rPr>
                <w:lang w:val="zh-CN"/>
              </w:rPr>
            </w:pPr>
            <w:r>
              <w:rPr>
                <w:lang w:val="zh-CN"/>
              </w:rPr>
              <w:t>m</w:t>
            </w:r>
            <w:r>
              <w:rPr>
                <w:rFonts w:hint="eastAsia"/>
                <w:vertAlign w:val="superscript"/>
                <w:lang w:val="zh-CN"/>
              </w:rPr>
              <w:t>3</w:t>
            </w:r>
            <w:r>
              <w:rPr>
                <w:lang w:val="zh-CN"/>
              </w:rPr>
              <w:t>/</w:t>
            </w:r>
            <w:r>
              <w:rPr>
                <w:rFonts w:hint="eastAsia"/>
                <w:lang w:val="zh-CN"/>
              </w:rPr>
              <w:t>h</w:t>
            </w:r>
          </w:p>
        </w:tc>
        <w:tc>
          <w:tcPr>
            <w:tcW w:w="567" w:type="dxa"/>
            <w:vMerge w:val="restart"/>
            <w:tcBorders>
              <w:tl2br w:val="nil"/>
              <w:tr2bl w:val="nil"/>
            </w:tcBorders>
          </w:tcPr>
          <w:p>
            <w:pPr>
              <w:pStyle w:val="34"/>
              <w:rPr>
                <w:lang w:val="zh-CN"/>
              </w:rPr>
            </w:pPr>
            <w:r>
              <w:rPr>
                <w:lang w:val="zh-CN"/>
              </w:rPr>
              <w:t>烟气</w:t>
            </w:r>
          </w:p>
          <w:p>
            <w:pPr>
              <w:pStyle w:val="34"/>
              <w:rPr>
                <w:lang w:val="zh-CN"/>
              </w:rPr>
            </w:pPr>
            <w:r>
              <w:rPr>
                <w:lang w:val="zh-CN"/>
              </w:rPr>
              <w:t>温度</w:t>
            </w:r>
          </w:p>
          <w:p>
            <w:pPr>
              <w:pStyle w:val="34"/>
              <w:rPr>
                <w:lang w:val="zh-CN"/>
              </w:rPr>
            </w:pPr>
            <w:r>
              <w:rPr>
                <w:lang w:val="zh-CN"/>
              </w:rPr>
              <w:t>/℃</w:t>
            </w:r>
          </w:p>
        </w:tc>
        <w:tc>
          <w:tcPr>
            <w:tcW w:w="708" w:type="dxa"/>
            <w:vMerge w:val="restart"/>
            <w:tcBorders>
              <w:tl2br w:val="nil"/>
              <w:tr2bl w:val="nil"/>
            </w:tcBorders>
          </w:tcPr>
          <w:p>
            <w:pPr>
              <w:pStyle w:val="34"/>
              <w:rPr>
                <w:lang w:val="zh-CN"/>
              </w:rPr>
            </w:pPr>
            <w:r>
              <w:rPr>
                <w:lang w:val="zh-CN"/>
              </w:rPr>
              <w:t>年排放小时数/h</w:t>
            </w:r>
          </w:p>
        </w:tc>
        <w:tc>
          <w:tcPr>
            <w:tcW w:w="709" w:type="dxa"/>
            <w:vMerge w:val="restart"/>
            <w:tcBorders>
              <w:tl2br w:val="nil"/>
              <w:tr2bl w:val="nil"/>
            </w:tcBorders>
          </w:tcPr>
          <w:p>
            <w:pPr>
              <w:pStyle w:val="34"/>
              <w:rPr>
                <w:lang w:val="zh-CN"/>
              </w:rPr>
            </w:pPr>
            <w:r>
              <w:rPr>
                <w:lang w:val="zh-CN"/>
              </w:rPr>
              <w:t>排放工况</w:t>
            </w:r>
          </w:p>
        </w:tc>
        <w:tc>
          <w:tcPr>
            <w:tcW w:w="907" w:type="dxa"/>
            <w:tcBorders>
              <w:tl2br w:val="nil"/>
              <w:tr2bl w:val="nil"/>
            </w:tcBorders>
          </w:tcPr>
          <w:p>
            <w:pPr>
              <w:pStyle w:val="34"/>
              <w:rPr>
                <w:lang w:val="zh-CN"/>
              </w:rPr>
            </w:pPr>
            <w:r>
              <w:rPr>
                <w:lang w:val="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 w:type="dxa"/>
            <w:vMerge w:val="continue"/>
            <w:tcBorders>
              <w:tl2br w:val="nil"/>
              <w:tr2bl w:val="nil"/>
            </w:tcBorders>
          </w:tcPr>
          <w:p>
            <w:pPr>
              <w:pStyle w:val="34"/>
              <w:rPr>
                <w:lang w:val="zh-CN"/>
              </w:rPr>
            </w:pPr>
          </w:p>
        </w:tc>
        <w:tc>
          <w:tcPr>
            <w:tcW w:w="974" w:type="dxa"/>
            <w:vMerge w:val="continue"/>
            <w:tcBorders>
              <w:tl2br w:val="nil"/>
              <w:tr2bl w:val="nil"/>
            </w:tcBorders>
          </w:tcPr>
          <w:p>
            <w:pPr>
              <w:pStyle w:val="34"/>
              <w:rPr>
                <w:lang w:val="zh-CN"/>
              </w:rPr>
            </w:pPr>
          </w:p>
        </w:tc>
        <w:tc>
          <w:tcPr>
            <w:tcW w:w="426" w:type="dxa"/>
            <w:tcBorders>
              <w:tl2br w:val="nil"/>
              <w:tr2bl w:val="nil"/>
            </w:tcBorders>
          </w:tcPr>
          <w:p>
            <w:pPr>
              <w:pStyle w:val="34"/>
              <w:rPr>
                <w:lang w:val="zh-CN"/>
              </w:rPr>
            </w:pPr>
            <w:r>
              <w:rPr>
                <w:lang w:val="zh-CN"/>
              </w:rPr>
              <w:t>X</w:t>
            </w:r>
          </w:p>
        </w:tc>
        <w:tc>
          <w:tcPr>
            <w:tcW w:w="567" w:type="dxa"/>
            <w:tcBorders>
              <w:tl2br w:val="nil"/>
              <w:tr2bl w:val="nil"/>
            </w:tcBorders>
          </w:tcPr>
          <w:p>
            <w:pPr>
              <w:pStyle w:val="34"/>
              <w:rPr>
                <w:lang w:val="zh-CN"/>
              </w:rPr>
            </w:pPr>
            <w:r>
              <w:rPr>
                <w:lang w:val="zh-CN"/>
              </w:rPr>
              <w:t>Y</w:t>
            </w:r>
          </w:p>
        </w:tc>
        <w:tc>
          <w:tcPr>
            <w:tcW w:w="850" w:type="dxa"/>
            <w:vMerge w:val="continue"/>
            <w:tcBorders>
              <w:tl2br w:val="nil"/>
              <w:tr2bl w:val="nil"/>
            </w:tcBorders>
          </w:tcPr>
          <w:p>
            <w:pPr>
              <w:pStyle w:val="34"/>
              <w:rPr>
                <w:lang w:val="zh-CN"/>
              </w:rPr>
            </w:pPr>
          </w:p>
        </w:tc>
        <w:tc>
          <w:tcPr>
            <w:tcW w:w="567" w:type="dxa"/>
            <w:vMerge w:val="continue"/>
            <w:tcBorders>
              <w:tl2br w:val="nil"/>
              <w:tr2bl w:val="nil"/>
            </w:tcBorders>
          </w:tcPr>
          <w:p>
            <w:pPr>
              <w:pStyle w:val="34"/>
              <w:rPr>
                <w:lang w:val="zh-CN"/>
              </w:rPr>
            </w:pPr>
          </w:p>
        </w:tc>
        <w:tc>
          <w:tcPr>
            <w:tcW w:w="709" w:type="dxa"/>
            <w:vMerge w:val="continue"/>
            <w:tcBorders>
              <w:tl2br w:val="nil"/>
              <w:tr2bl w:val="nil"/>
            </w:tcBorders>
          </w:tcPr>
          <w:p>
            <w:pPr>
              <w:pStyle w:val="34"/>
              <w:rPr>
                <w:lang w:val="zh-CN"/>
              </w:rPr>
            </w:pPr>
          </w:p>
        </w:tc>
        <w:tc>
          <w:tcPr>
            <w:tcW w:w="709" w:type="dxa"/>
            <w:vMerge w:val="continue"/>
            <w:tcBorders>
              <w:tl2br w:val="nil"/>
              <w:tr2bl w:val="nil"/>
            </w:tcBorders>
          </w:tcPr>
          <w:p>
            <w:pPr>
              <w:pStyle w:val="34"/>
              <w:rPr>
                <w:lang w:val="zh-CN"/>
              </w:rPr>
            </w:pPr>
          </w:p>
        </w:tc>
        <w:tc>
          <w:tcPr>
            <w:tcW w:w="567" w:type="dxa"/>
            <w:vMerge w:val="continue"/>
            <w:tcBorders>
              <w:tl2br w:val="nil"/>
              <w:tr2bl w:val="nil"/>
            </w:tcBorders>
          </w:tcPr>
          <w:p>
            <w:pPr>
              <w:pStyle w:val="34"/>
              <w:rPr>
                <w:lang w:val="zh-CN"/>
              </w:rPr>
            </w:pPr>
          </w:p>
        </w:tc>
        <w:tc>
          <w:tcPr>
            <w:tcW w:w="708" w:type="dxa"/>
            <w:vMerge w:val="continue"/>
            <w:tcBorders>
              <w:tl2br w:val="nil"/>
              <w:tr2bl w:val="nil"/>
            </w:tcBorders>
          </w:tcPr>
          <w:p>
            <w:pPr>
              <w:pStyle w:val="34"/>
              <w:rPr>
                <w:lang w:val="zh-CN"/>
              </w:rPr>
            </w:pPr>
          </w:p>
        </w:tc>
        <w:tc>
          <w:tcPr>
            <w:tcW w:w="709" w:type="dxa"/>
            <w:vMerge w:val="continue"/>
            <w:tcBorders>
              <w:tl2br w:val="nil"/>
              <w:tr2bl w:val="nil"/>
            </w:tcBorders>
          </w:tcPr>
          <w:p>
            <w:pPr>
              <w:pStyle w:val="34"/>
              <w:rPr>
                <w:lang w:val="zh-CN"/>
              </w:rPr>
            </w:pPr>
          </w:p>
        </w:tc>
        <w:tc>
          <w:tcPr>
            <w:tcW w:w="907" w:type="dxa"/>
            <w:tcBorders>
              <w:tl2br w:val="nil"/>
              <w:tr2bl w:val="nil"/>
            </w:tcBorders>
          </w:tcPr>
          <w:p>
            <w:pPr>
              <w:pStyle w:val="34"/>
              <w:rPr>
                <w:lang w:val="zh-CN"/>
              </w:rPr>
            </w:pPr>
            <w:r>
              <w:rPr>
                <w:lang w:val="zh-CN"/>
              </w:rPr>
              <w:t>NMHC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dxa"/>
            <w:tcBorders>
              <w:tl2br w:val="nil"/>
              <w:tr2bl w:val="nil"/>
            </w:tcBorders>
            <w:vAlign w:val="center"/>
          </w:tcPr>
          <w:p>
            <w:pPr>
              <w:pStyle w:val="34"/>
              <w:rPr>
                <w:lang w:val="zh-CN"/>
              </w:rPr>
            </w:pPr>
            <w:r>
              <w:rPr>
                <w:lang w:val="zh-CN"/>
              </w:rPr>
              <w:t>DA001</w:t>
            </w:r>
          </w:p>
        </w:tc>
        <w:tc>
          <w:tcPr>
            <w:tcW w:w="974" w:type="dxa"/>
            <w:tcBorders>
              <w:tl2br w:val="nil"/>
              <w:tr2bl w:val="nil"/>
            </w:tcBorders>
            <w:vAlign w:val="center"/>
          </w:tcPr>
          <w:p>
            <w:pPr>
              <w:pStyle w:val="34"/>
              <w:rPr>
                <w:lang w:val="zh-CN"/>
              </w:rPr>
            </w:pPr>
            <w:r>
              <w:rPr>
                <w:lang w:val="zh-CN"/>
              </w:rPr>
              <w:t>排气筒</w:t>
            </w:r>
          </w:p>
        </w:tc>
        <w:tc>
          <w:tcPr>
            <w:tcW w:w="426" w:type="dxa"/>
            <w:tcBorders>
              <w:tl2br w:val="nil"/>
              <w:tr2bl w:val="nil"/>
            </w:tcBorders>
            <w:vAlign w:val="center"/>
          </w:tcPr>
          <w:p>
            <w:pPr>
              <w:pStyle w:val="34"/>
              <w:rPr>
                <w:lang w:val="zh-CN"/>
              </w:rPr>
            </w:pPr>
            <w:r>
              <w:rPr>
                <w:rFonts w:hint="eastAsia"/>
                <w:lang w:val="zh-CN"/>
              </w:rPr>
              <w:t>13</w:t>
            </w:r>
          </w:p>
        </w:tc>
        <w:tc>
          <w:tcPr>
            <w:tcW w:w="567" w:type="dxa"/>
            <w:tcBorders>
              <w:tl2br w:val="nil"/>
              <w:tr2bl w:val="nil"/>
            </w:tcBorders>
            <w:vAlign w:val="center"/>
          </w:tcPr>
          <w:p>
            <w:pPr>
              <w:pStyle w:val="34"/>
              <w:rPr>
                <w:lang w:val="zh-CN"/>
              </w:rPr>
            </w:pPr>
            <w:r>
              <w:rPr>
                <w:rFonts w:hint="eastAsia"/>
                <w:lang w:val="zh-CN"/>
              </w:rPr>
              <w:t>-48</w:t>
            </w:r>
          </w:p>
        </w:tc>
        <w:tc>
          <w:tcPr>
            <w:tcW w:w="850" w:type="dxa"/>
            <w:tcBorders>
              <w:tl2br w:val="nil"/>
              <w:tr2bl w:val="nil"/>
            </w:tcBorders>
            <w:vAlign w:val="center"/>
          </w:tcPr>
          <w:p>
            <w:pPr>
              <w:pStyle w:val="34"/>
              <w:rPr>
                <w:lang w:val="zh-CN"/>
              </w:rPr>
            </w:pPr>
            <w:r>
              <w:rPr>
                <w:lang w:val="zh-CN"/>
              </w:rPr>
              <w:t>6</w:t>
            </w:r>
            <w:r>
              <w:rPr>
                <w:rFonts w:hint="eastAsia"/>
                <w:lang w:val="zh-CN"/>
              </w:rPr>
              <w:t>43</w:t>
            </w:r>
          </w:p>
        </w:tc>
        <w:tc>
          <w:tcPr>
            <w:tcW w:w="567" w:type="dxa"/>
            <w:tcBorders>
              <w:tl2br w:val="nil"/>
              <w:tr2bl w:val="nil"/>
            </w:tcBorders>
            <w:vAlign w:val="center"/>
          </w:tcPr>
          <w:p>
            <w:pPr>
              <w:pStyle w:val="34"/>
              <w:rPr>
                <w:lang w:val="zh-CN"/>
              </w:rPr>
            </w:pPr>
            <w:r>
              <w:rPr>
                <w:lang w:val="zh-CN"/>
              </w:rPr>
              <w:t>15</w:t>
            </w:r>
          </w:p>
        </w:tc>
        <w:tc>
          <w:tcPr>
            <w:tcW w:w="709" w:type="dxa"/>
            <w:tcBorders>
              <w:tl2br w:val="nil"/>
              <w:tr2bl w:val="nil"/>
            </w:tcBorders>
            <w:vAlign w:val="center"/>
          </w:tcPr>
          <w:p>
            <w:pPr>
              <w:pStyle w:val="34"/>
            </w:pPr>
            <w:r>
              <w:rPr>
                <w:rFonts w:hint="eastAsia"/>
                <w:lang w:val="zh-CN"/>
              </w:rPr>
              <w:t>20000</w:t>
            </w:r>
          </w:p>
        </w:tc>
        <w:tc>
          <w:tcPr>
            <w:tcW w:w="709" w:type="dxa"/>
            <w:tcBorders>
              <w:tl2br w:val="nil"/>
              <w:tr2bl w:val="nil"/>
            </w:tcBorders>
            <w:vAlign w:val="center"/>
          </w:tcPr>
          <w:p>
            <w:pPr>
              <w:pStyle w:val="34"/>
              <w:rPr>
                <w:lang w:val="zh-CN"/>
              </w:rPr>
            </w:pPr>
            <w:r>
              <w:rPr>
                <w:rFonts w:hint="eastAsia"/>
                <w:lang w:val="zh-CN"/>
              </w:rPr>
              <w:t>20000</w:t>
            </w:r>
          </w:p>
        </w:tc>
        <w:tc>
          <w:tcPr>
            <w:tcW w:w="567" w:type="dxa"/>
            <w:tcBorders>
              <w:tl2br w:val="nil"/>
              <w:tr2bl w:val="nil"/>
            </w:tcBorders>
            <w:vAlign w:val="center"/>
          </w:tcPr>
          <w:p>
            <w:pPr>
              <w:pStyle w:val="34"/>
              <w:rPr>
                <w:lang w:val="zh-CN"/>
              </w:rPr>
            </w:pPr>
            <w:r>
              <w:rPr>
                <w:lang w:val="zh-CN"/>
              </w:rPr>
              <w:t>20</w:t>
            </w:r>
          </w:p>
        </w:tc>
        <w:tc>
          <w:tcPr>
            <w:tcW w:w="708" w:type="dxa"/>
            <w:tcBorders>
              <w:tl2br w:val="nil"/>
              <w:tr2bl w:val="nil"/>
            </w:tcBorders>
            <w:vAlign w:val="center"/>
          </w:tcPr>
          <w:p>
            <w:pPr>
              <w:pStyle w:val="34"/>
              <w:rPr>
                <w:lang w:val="zh-CN"/>
              </w:rPr>
            </w:pPr>
            <w:r>
              <w:rPr>
                <w:lang w:val="zh-CN"/>
              </w:rPr>
              <w:t>4320</w:t>
            </w:r>
          </w:p>
        </w:tc>
        <w:tc>
          <w:tcPr>
            <w:tcW w:w="709" w:type="dxa"/>
            <w:tcBorders>
              <w:tl2br w:val="nil"/>
              <w:tr2bl w:val="nil"/>
            </w:tcBorders>
            <w:vAlign w:val="center"/>
          </w:tcPr>
          <w:p>
            <w:pPr>
              <w:pStyle w:val="34"/>
              <w:rPr>
                <w:lang w:val="zh-CN"/>
              </w:rPr>
            </w:pPr>
            <w:r>
              <w:rPr>
                <w:lang w:val="zh-CN"/>
              </w:rPr>
              <w:t>正常</w:t>
            </w:r>
          </w:p>
        </w:tc>
        <w:tc>
          <w:tcPr>
            <w:tcW w:w="907" w:type="dxa"/>
            <w:tcBorders>
              <w:tl2br w:val="nil"/>
              <w:tr2bl w:val="nil"/>
            </w:tcBorders>
            <w:vAlign w:val="center"/>
          </w:tcPr>
          <w:p>
            <w:pPr>
              <w:pStyle w:val="34"/>
            </w:pPr>
            <w:r>
              <w:rPr>
                <w:rFonts w:hint="eastAsia"/>
              </w:rPr>
              <w:t>1.22</w:t>
            </w:r>
          </w:p>
        </w:tc>
      </w:tr>
    </w:tbl>
    <w:p>
      <w:pPr>
        <w:pStyle w:val="36"/>
        <w:spacing w:before="156"/>
        <w:rPr>
          <w:rFonts w:eastAsia="宋体"/>
        </w:rPr>
      </w:pPr>
    </w:p>
    <w:p>
      <w:pPr>
        <w:pStyle w:val="36"/>
        <w:spacing w:before="156"/>
        <w:rPr>
          <w:rFonts w:eastAsia="宋体"/>
        </w:rPr>
      </w:pPr>
      <w:r>
        <w:rPr>
          <w:rFonts w:eastAsia="宋体"/>
        </w:rPr>
        <w:t>表</w:t>
      </w:r>
      <w:r>
        <w:rPr>
          <w:rFonts w:hint="eastAsia" w:eastAsia="宋体"/>
          <w:lang w:val="en-US" w:eastAsia="zh-CN"/>
        </w:rPr>
        <w:t>4</w:t>
      </w:r>
      <w:r>
        <w:rPr>
          <w:rFonts w:hint="eastAsia" w:eastAsia="宋体"/>
        </w:rPr>
        <w:t>.2-3</w:t>
      </w:r>
      <w:r>
        <w:rPr>
          <w:rFonts w:eastAsia="宋体"/>
        </w:rPr>
        <w:t xml:space="preserve">  本项目面源参数表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067"/>
        <w:gridCol w:w="633"/>
        <w:gridCol w:w="628"/>
        <w:gridCol w:w="628"/>
        <w:gridCol w:w="628"/>
        <w:gridCol w:w="628"/>
        <w:gridCol w:w="928"/>
        <w:gridCol w:w="631"/>
        <w:gridCol w:w="653"/>
        <w:gridCol w:w="631"/>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56" w:type="pct"/>
            <w:vMerge w:val="restart"/>
            <w:tcBorders>
              <w:tl2br w:val="nil"/>
              <w:tr2bl w:val="nil"/>
            </w:tcBorders>
          </w:tcPr>
          <w:p>
            <w:pPr>
              <w:pStyle w:val="34"/>
              <w:rPr>
                <w:lang w:val="zh-CN"/>
              </w:rPr>
            </w:pPr>
            <w:r>
              <w:rPr>
                <w:lang w:val="zh-CN"/>
              </w:rPr>
              <w:t>编号</w:t>
            </w:r>
          </w:p>
        </w:tc>
        <w:tc>
          <w:tcPr>
            <w:tcW w:w="626" w:type="pct"/>
            <w:vMerge w:val="restart"/>
            <w:tcBorders>
              <w:tl2br w:val="nil"/>
              <w:tr2bl w:val="nil"/>
            </w:tcBorders>
          </w:tcPr>
          <w:p>
            <w:pPr>
              <w:pStyle w:val="34"/>
              <w:rPr>
                <w:lang w:val="zh-CN"/>
              </w:rPr>
            </w:pPr>
            <w:r>
              <w:rPr>
                <w:lang w:val="zh-CN"/>
              </w:rPr>
              <w:t>名称</w:t>
            </w:r>
          </w:p>
        </w:tc>
        <w:tc>
          <w:tcPr>
            <w:tcW w:w="739" w:type="pct"/>
            <w:gridSpan w:val="2"/>
            <w:tcBorders>
              <w:tl2br w:val="nil"/>
              <w:tr2bl w:val="nil"/>
            </w:tcBorders>
          </w:tcPr>
          <w:p>
            <w:pPr>
              <w:pStyle w:val="34"/>
              <w:rPr>
                <w:lang w:val="zh-CN"/>
              </w:rPr>
            </w:pPr>
            <w:r>
              <w:rPr>
                <w:lang w:val="zh-CN"/>
              </w:rPr>
              <w:t>面源起点坐标/m</w:t>
            </w:r>
          </w:p>
        </w:tc>
        <w:tc>
          <w:tcPr>
            <w:tcW w:w="368" w:type="pct"/>
            <w:vMerge w:val="restart"/>
            <w:tcBorders>
              <w:tl2br w:val="nil"/>
              <w:tr2bl w:val="nil"/>
            </w:tcBorders>
          </w:tcPr>
          <w:p>
            <w:pPr>
              <w:pStyle w:val="34"/>
              <w:rPr>
                <w:lang w:val="zh-CN"/>
              </w:rPr>
            </w:pPr>
            <w:r>
              <w:rPr>
                <w:lang w:val="zh-CN"/>
              </w:rPr>
              <w:t>面源海拔高度</w:t>
            </w:r>
          </w:p>
          <w:p>
            <w:pPr>
              <w:pStyle w:val="34"/>
              <w:rPr>
                <w:lang w:val="zh-CN"/>
              </w:rPr>
            </w:pPr>
            <w:r>
              <w:rPr>
                <w:lang w:val="zh-CN"/>
              </w:rPr>
              <w:t>/m</w:t>
            </w:r>
          </w:p>
        </w:tc>
        <w:tc>
          <w:tcPr>
            <w:tcW w:w="368" w:type="pct"/>
            <w:vMerge w:val="restart"/>
            <w:tcBorders>
              <w:tl2br w:val="nil"/>
              <w:tr2bl w:val="nil"/>
            </w:tcBorders>
          </w:tcPr>
          <w:p>
            <w:pPr>
              <w:pStyle w:val="34"/>
              <w:rPr>
                <w:lang w:val="zh-CN"/>
              </w:rPr>
            </w:pPr>
            <w:r>
              <w:rPr>
                <w:lang w:val="zh-CN"/>
              </w:rPr>
              <w:t>面源长度/m</w:t>
            </w:r>
          </w:p>
        </w:tc>
        <w:tc>
          <w:tcPr>
            <w:tcW w:w="368" w:type="pct"/>
            <w:vMerge w:val="restart"/>
            <w:tcBorders>
              <w:tl2br w:val="nil"/>
              <w:tr2bl w:val="nil"/>
            </w:tcBorders>
          </w:tcPr>
          <w:p>
            <w:pPr>
              <w:pStyle w:val="34"/>
              <w:rPr>
                <w:lang w:val="zh-CN"/>
              </w:rPr>
            </w:pPr>
            <w:r>
              <w:rPr>
                <w:lang w:val="zh-CN"/>
              </w:rPr>
              <w:t>面源宽度/m</w:t>
            </w:r>
          </w:p>
        </w:tc>
        <w:tc>
          <w:tcPr>
            <w:tcW w:w="544" w:type="pct"/>
            <w:vMerge w:val="restart"/>
            <w:tcBorders>
              <w:tl2br w:val="nil"/>
              <w:tr2bl w:val="nil"/>
            </w:tcBorders>
          </w:tcPr>
          <w:p>
            <w:pPr>
              <w:pStyle w:val="34"/>
              <w:rPr>
                <w:lang w:val="zh-CN"/>
              </w:rPr>
            </w:pPr>
            <w:r>
              <w:rPr>
                <w:lang w:val="zh-CN"/>
              </w:rPr>
              <w:t xml:space="preserve">与正北向夹角/ </w:t>
            </w:r>
          </w:p>
          <w:p>
            <w:pPr>
              <w:pStyle w:val="34"/>
              <w:rPr>
                <w:lang w:val="zh-CN"/>
              </w:rPr>
            </w:pPr>
            <w:r>
              <w:rPr>
                <w:lang w:val="zh-CN"/>
              </w:rPr>
              <w:t>（°）</w:t>
            </w:r>
          </w:p>
        </w:tc>
        <w:tc>
          <w:tcPr>
            <w:tcW w:w="370" w:type="pct"/>
            <w:vMerge w:val="restart"/>
            <w:tcBorders>
              <w:tl2br w:val="nil"/>
              <w:tr2bl w:val="nil"/>
            </w:tcBorders>
          </w:tcPr>
          <w:p>
            <w:pPr>
              <w:pStyle w:val="34"/>
              <w:rPr>
                <w:lang w:val="zh-CN"/>
              </w:rPr>
            </w:pPr>
            <w:r>
              <w:rPr>
                <w:lang w:val="zh-CN"/>
              </w:rPr>
              <w:t>面源有效排放高度/ m</w:t>
            </w:r>
          </w:p>
        </w:tc>
        <w:tc>
          <w:tcPr>
            <w:tcW w:w="383" w:type="pct"/>
            <w:vMerge w:val="restart"/>
            <w:tcBorders>
              <w:tl2br w:val="nil"/>
              <w:tr2bl w:val="nil"/>
            </w:tcBorders>
          </w:tcPr>
          <w:p>
            <w:pPr>
              <w:pStyle w:val="34"/>
              <w:rPr>
                <w:lang w:val="zh-CN"/>
              </w:rPr>
            </w:pPr>
            <w:r>
              <w:rPr>
                <w:lang w:val="zh-CN"/>
              </w:rPr>
              <w:t>年排放小时数/h</w:t>
            </w:r>
          </w:p>
        </w:tc>
        <w:tc>
          <w:tcPr>
            <w:tcW w:w="370" w:type="pct"/>
            <w:vMerge w:val="restart"/>
            <w:tcBorders>
              <w:tl2br w:val="nil"/>
              <w:tr2bl w:val="nil"/>
            </w:tcBorders>
          </w:tcPr>
          <w:p>
            <w:pPr>
              <w:pStyle w:val="34"/>
              <w:rPr>
                <w:lang w:val="zh-CN"/>
              </w:rPr>
            </w:pPr>
            <w:r>
              <w:rPr>
                <w:lang w:val="zh-CN"/>
              </w:rPr>
              <w:t>排放工况</w:t>
            </w:r>
          </w:p>
        </w:tc>
        <w:tc>
          <w:tcPr>
            <w:tcW w:w="608" w:type="pct"/>
            <w:tcBorders>
              <w:tl2br w:val="nil"/>
              <w:tr2bl w:val="nil"/>
            </w:tcBorders>
          </w:tcPr>
          <w:p>
            <w:pPr>
              <w:pStyle w:val="34"/>
              <w:rPr>
                <w:lang w:val="zh-CN"/>
              </w:rPr>
            </w:pPr>
            <w:r>
              <w:rPr>
                <w:lang w:val="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56" w:type="pct"/>
            <w:vMerge w:val="continue"/>
            <w:tcBorders>
              <w:tl2br w:val="nil"/>
              <w:tr2bl w:val="nil"/>
            </w:tcBorders>
          </w:tcPr>
          <w:p>
            <w:pPr>
              <w:pStyle w:val="34"/>
              <w:rPr>
                <w:lang w:val="zh-CN"/>
              </w:rPr>
            </w:pPr>
          </w:p>
        </w:tc>
        <w:tc>
          <w:tcPr>
            <w:tcW w:w="626" w:type="pct"/>
            <w:vMerge w:val="continue"/>
            <w:tcBorders>
              <w:tl2br w:val="nil"/>
              <w:tr2bl w:val="nil"/>
            </w:tcBorders>
          </w:tcPr>
          <w:p>
            <w:pPr>
              <w:pStyle w:val="34"/>
              <w:rPr>
                <w:lang w:val="zh-CN"/>
              </w:rPr>
            </w:pPr>
          </w:p>
        </w:tc>
        <w:tc>
          <w:tcPr>
            <w:tcW w:w="371" w:type="pct"/>
            <w:tcBorders>
              <w:tl2br w:val="nil"/>
              <w:tr2bl w:val="nil"/>
            </w:tcBorders>
          </w:tcPr>
          <w:p>
            <w:pPr>
              <w:pStyle w:val="34"/>
              <w:rPr>
                <w:lang w:val="zh-CN"/>
              </w:rPr>
            </w:pPr>
            <w:r>
              <w:rPr>
                <w:lang w:val="zh-CN"/>
              </w:rPr>
              <w:t>X</w:t>
            </w:r>
          </w:p>
        </w:tc>
        <w:tc>
          <w:tcPr>
            <w:tcW w:w="368" w:type="pct"/>
            <w:tcBorders>
              <w:tl2br w:val="nil"/>
              <w:tr2bl w:val="nil"/>
            </w:tcBorders>
          </w:tcPr>
          <w:p>
            <w:pPr>
              <w:pStyle w:val="34"/>
              <w:rPr>
                <w:lang w:val="zh-CN"/>
              </w:rPr>
            </w:pPr>
            <w:r>
              <w:rPr>
                <w:lang w:val="zh-CN"/>
              </w:rPr>
              <w:t>Y</w:t>
            </w:r>
          </w:p>
        </w:tc>
        <w:tc>
          <w:tcPr>
            <w:tcW w:w="368" w:type="pct"/>
            <w:vMerge w:val="continue"/>
            <w:tcBorders>
              <w:tl2br w:val="nil"/>
              <w:tr2bl w:val="nil"/>
            </w:tcBorders>
          </w:tcPr>
          <w:p>
            <w:pPr>
              <w:pStyle w:val="34"/>
              <w:rPr>
                <w:lang w:val="zh-CN"/>
              </w:rPr>
            </w:pPr>
          </w:p>
        </w:tc>
        <w:tc>
          <w:tcPr>
            <w:tcW w:w="368" w:type="pct"/>
            <w:vMerge w:val="continue"/>
            <w:tcBorders>
              <w:tl2br w:val="nil"/>
              <w:tr2bl w:val="nil"/>
            </w:tcBorders>
          </w:tcPr>
          <w:p>
            <w:pPr>
              <w:pStyle w:val="34"/>
              <w:rPr>
                <w:lang w:val="zh-CN"/>
              </w:rPr>
            </w:pPr>
          </w:p>
        </w:tc>
        <w:tc>
          <w:tcPr>
            <w:tcW w:w="368" w:type="pct"/>
            <w:vMerge w:val="continue"/>
            <w:tcBorders>
              <w:tl2br w:val="nil"/>
              <w:tr2bl w:val="nil"/>
            </w:tcBorders>
          </w:tcPr>
          <w:p>
            <w:pPr>
              <w:pStyle w:val="34"/>
              <w:rPr>
                <w:lang w:val="zh-CN"/>
              </w:rPr>
            </w:pPr>
          </w:p>
        </w:tc>
        <w:tc>
          <w:tcPr>
            <w:tcW w:w="544" w:type="pct"/>
            <w:vMerge w:val="continue"/>
            <w:tcBorders>
              <w:tl2br w:val="nil"/>
              <w:tr2bl w:val="nil"/>
            </w:tcBorders>
          </w:tcPr>
          <w:p>
            <w:pPr>
              <w:pStyle w:val="34"/>
              <w:rPr>
                <w:lang w:val="zh-CN"/>
              </w:rPr>
            </w:pPr>
          </w:p>
        </w:tc>
        <w:tc>
          <w:tcPr>
            <w:tcW w:w="370" w:type="pct"/>
            <w:vMerge w:val="continue"/>
            <w:tcBorders>
              <w:tl2br w:val="nil"/>
              <w:tr2bl w:val="nil"/>
            </w:tcBorders>
          </w:tcPr>
          <w:p>
            <w:pPr>
              <w:pStyle w:val="34"/>
              <w:rPr>
                <w:lang w:val="zh-CN"/>
              </w:rPr>
            </w:pPr>
          </w:p>
        </w:tc>
        <w:tc>
          <w:tcPr>
            <w:tcW w:w="383" w:type="pct"/>
            <w:vMerge w:val="continue"/>
            <w:tcBorders>
              <w:tl2br w:val="nil"/>
              <w:tr2bl w:val="nil"/>
            </w:tcBorders>
          </w:tcPr>
          <w:p>
            <w:pPr>
              <w:pStyle w:val="34"/>
              <w:rPr>
                <w:lang w:val="zh-CN"/>
              </w:rPr>
            </w:pPr>
          </w:p>
        </w:tc>
        <w:tc>
          <w:tcPr>
            <w:tcW w:w="370" w:type="pct"/>
            <w:vMerge w:val="continue"/>
            <w:tcBorders>
              <w:tl2br w:val="nil"/>
              <w:tr2bl w:val="nil"/>
            </w:tcBorders>
          </w:tcPr>
          <w:p>
            <w:pPr>
              <w:pStyle w:val="34"/>
              <w:rPr>
                <w:lang w:val="zh-CN"/>
              </w:rPr>
            </w:pPr>
          </w:p>
        </w:tc>
        <w:tc>
          <w:tcPr>
            <w:tcW w:w="608" w:type="pct"/>
            <w:tcBorders>
              <w:tl2br w:val="nil"/>
              <w:tr2bl w:val="nil"/>
            </w:tcBorders>
          </w:tcPr>
          <w:p>
            <w:pPr>
              <w:pStyle w:val="34"/>
              <w:rPr>
                <w:lang w:val="zh-CN"/>
              </w:rPr>
            </w:pPr>
            <w:r>
              <w:rPr>
                <w:lang w:val="zh-CN"/>
              </w:rPr>
              <w:t>NMHC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tcBorders>
              <w:tl2br w:val="nil"/>
              <w:tr2bl w:val="nil"/>
            </w:tcBorders>
          </w:tcPr>
          <w:p>
            <w:pPr>
              <w:pStyle w:val="34"/>
              <w:rPr>
                <w:lang w:val="zh-CN"/>
              </w:rPr>
            </w:pPr>
            <w:r>
              <w:rPr>
                <w:lang w:val="zh-CN"/>
              </w:rPr>
              <w:t>1</w:t>
            </w:r>
          </w:p>
        </w:tc>
        <w:tc>
          <w:tcPr>
            <w:tcW w:w="626" w:type="pct"/>
            <w:tcBorders>
              <w:tl2br w:val="nil"/>
              <w:tr2bl w:val="nil"/>
            </w:tcBorders>
          </w:tcPr>
          <w:p>
            <w:pPr>
              <w:pStyle w:val="34"/>
              <w:rPr>
                <w:lang w:val="zh-CN"/>
              </w:rPr>
            </w:pPr>
            <w:r>
              <w:rPr>
                <w:rFonts w:hint="eastAsia"/>
              </w:rPr>
              <w:t>粉碎</w:t>
            </w:r>
            <w:r>
              <w:t>造粒间</w:t>
            </w:r>
          </w:p>
        </w:tc>
        <w:tc>
          <w:tcPr>
            <w:tcW w:w="371" w:type="pct"/>
            <w:tcBorders>
              <w:tl2br w:val="nil"/>
              <w:tr2bl w:val="nil"/>
            </w:tcBorders>
          </w:tcPr>
          <w:p>
            <w:pPr>
              <w:pStyle w:val="34"/>
            </w:pPr>
            <w:r>
              <w:t>-</w:t>
            </w:r>
            <w:r>
              <w:rPr>
                <w:rFonts w:hint="eastAsia"/>
              </w:rPr>
              <w:t>3</w:t>
            </w:r>
          </w:p>
        </w:tc>
        <w:tc>
          <w:tcPr>
            <w:tcW w:w="368" w:type="pct"/>
            <w:tcBorders>
              <w:tl2br w:val="nil"/>
              <w:tr2bl w:val="nil"/>
            </w:tcBorders>
          </w:tcPr>
          <w:p>
            <w:pPr>
              <w:pStyle w:val="34"/>
              <w:rPr>
                <w:lang w:val="zh-CN"/>
              </w:rPr>
            </w:pPr>
            <w:r>
              <w:rPr>
                <w:rFonts w:hint="eastAsia"/>
              </w:rPr>
              <w:t>-42</w:t>
            </w:r>
          </w:p>
        </w:tc>
        <w:tc>
          <w:tcPr>
            <w:tcW w:w="368" w:type="pct"/>
            <w:tcBorders>
              <w:tl2br w:val="nil"/>
              <w:tr2bl w:val="nil"/>
            </w:tcBorders>
          </w:tcPr>
          <w:p>
            <w:pPr>
              <w:pStyle w:val="34"/>
              <w:rPr>
                <w:lang w:val="zh-CN"/>
              </w:rPr>
            </w:pPr>
            <w:r>
              <w:rPr>
                <w:lang w:val="zh-CN"/>
              </w:rPr>
              <w:t>6</w:t>
            </w:r>
            <w:r>
              <w:rPr>
                <w:rFonts w:hint="eastAsia"/>
                <w:lang w:val="zh-CN"/>
              </w:rPr>
              <w:t>43</w:t>
            </w:r>
          </w:p>
        </w:tc>
        <w:tc>
          <w:tcPr>
            <w:tcW w:w="368" w:type="pct"/>
            <w:tcBorders>
              <w:tl2br w:val="nil"/>
              <w:tr2bl w:val="nil"/>
            </w:tcBorders>
          </w:tcPr>
          <w:p>
            <w:pPr>
              <w:pStyle w:val="34"/>
            </w:pPr>
            <w:r>
              <w:rPr>
                <w:rFonts w:hint="eastAsia"/>
              </w:rPr>
              <w:t>20</w:t>
            </w:r>
          </w:p>
        </w:tc>
        <w:tc>
          <w:tcPr>
            <w:tcW w:w="368" w:type="pct"/>
            <w:tcBorders>
              <w:tl2br w:val="nil"/>
              <w:tr2bl w:val="nil"/>
            </w:tcBorders>
          </w:tcPr>
          <w:p>
            <w:pPr>
              <w:pStyle w:val="34"/>
            </w:pPr>
            <w:r>
              <w:rPr>
                <w:rFonts w:hint="eastAsia"/>
              </w:rPr>
              <w:t>40</w:t>
            </w:r>
          </w:p>
        </w:tc>
        <w:tc>
          <w:tcPr>
            <w:tcW w:w="544" w:type="pct"/>
            <w:tcBorders>
              <w:tl2br w:val="nil"/>
              <w:tr2bl w:val="nil"/>
            </w:tcBorders>
          </w:tcPr>
          <w:p>
            <w:pPr>
              <w:pStyle w:val="34"/>
              <w:rPr>
                <w:lang w:val="zh-CN"/>
              </w:rPr>
            </w:pPr>
            <w:r>
              <w:rPr>
                <w:lang w:val="zh-CN"/>
              </w:rPr>
              <w:t>0</w:t>
            </w:r>
          </w:p>
        </w:tc>
        <w:tc>
          <w:tcPr>
            <w:tcW w:w="370" w:type="pct"/>
            <w:tcBorders>
              <w:tl2br w:val="nil"/>
              <w:tr2bl w:val="nil"/>
            </w:tcBorders>
          </w:tcPr>
          <w:p>
            <w:pPr>
              <w:pStyle w:val="34"/>
              <w:rPr>
                <w:lang w:val="zh-CN"/>
              </w:rPr>
            </w:pPr>
            <w:r>
              <w:rPr>
                <w:lang w:val="zh-CN"/>
              </w:rPr>
              <w:t>6</w:t>
            </w:r>
          </w:p>
        </w:tc>
        <w:tc>
          <w:tcPr>
            <w:tcW w:w="383" w:type="pct"/>
            <w:tcBorders>
              <w:tl2br w:val="nil"/>
              <w:tr2bl w:val="nil"/>
            </w:tcBorders>
          </w:tcPr>
          <w:p>
            <w:pPr>
              <w:pStyle w:val="34"/>
              <w:rPr>
                <w:lang w:val="zh-CN"/>
              </w:rPr>
            </w:pPr>
            <w:r>
              <w:rPr>
                <w:lang w:val="zh-CN"/>
              </w:rPr>
              <w:t>4320</w:t>
            </w:r>
          </w:p>
        </w:tc>
        <w:tc>
          <w:tcPr>
            <w:tcW w:w="370" w:type="pct"/>
            <w:tcBorders>
              <w:tl2br w:val="nil"/>
              <w:tr2bl w:val="nil"/>
            </w:tcBorders>
          </w:tcPr>
          <w:p>
            <w:pPr>
              <w:pStyle w:val="34"/>
              <w:rPr>
                <w:lang w:val="zh-CN"/>
              </w:rPr>
            </w:pPr>
            <w:r>
              <w:rPr>
                <w:lang w:val="zh-CN"/>
              </w:rPr>
              <w:t>正常</w:t>
            </w:r>
          </w:p>
        </w:tc>
        <w:tc>
          <w:tcPr>
            <w:tcW w:w="608" w:type="pct"/>
            <w:tcBorders>
              <w:tl2br w:val="nil"/>
              <w:tr2bl w:val="nil"/>
            </w:tcBorders>
          </w:tcPr>
          <w:p>
            <w:pPr>
              <w:pStyle w:val="34"/>
            </w:pPr>
            <w: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tcBorders>
              <w:tl2br w:val="nil"/>
              <w:tr2bl w:val="nil"/>
            </w:tcBorders>
          </w:tcPr>
          <w:p>
            <w:pPr>
              <w:pStyle w:val="34"/>
              <w:rPr>
                <w:lang w:val="zh-CN"/>
              </w:rPr>
            </w:pPr>
            <w:r>
              <w:rPr>
                <w:lang w:val="zh-CN"/>
              </w:rPr>
              <w:t>2</w:t>
            </w:r>
          </w:p>
        </w:tc>
        <w:tc>
          <w:tcPr>
            <w:tcW w:w="626" w:type="pct"/>
            <w:tcBorders>
              <w:tl2br w:val="nil"/>
              <w:tr2bl w:val="nil"/>
            </w:tcBorders>
          </w:tcPr>
          <w:p>
            <w:pPr>
              <w:pStyle w:val="34"/>
            </w:pPr>
            <w:r>
              <w:t>成品生产车间</w:t>
            </w:r>
          </w:p>
        </w:tc>
        <w:tc>
          <w:tcPr>
            <w:tcW w:w="371" w:type="pct"/>
            <w:tcBorders>
              <w:tl2br w:val="nil"/>
              <w:tr2bl w:val="nil"/>
            </w:tcBorders>
          </w:tcPr>
          <w:p>
            <w:pPr>
              <w:pStyle w:val="34"/>
            </w:pPr>
            <w:r>
              <w:rPr>
                <w:rFonts w:hint="eastAsia"/>
              </w:rPr>
              <w:t>21</w:t>
            </w:r>
          </w:p>
        </w:tc>
        <w:tc>
          <w:tcPr>
            <w:tcW w:w="368" w:type="pct"/>
            <w:tcBorders>
              <w:tl2br w:val="nil"/>
              <w:tr2bl w:val="nil"/>
            </w:tcBorders>
          </w:tcPr>
          <w:p>
            <w:pPr>
              <w:pStyle w:val="34"/>
            </w:pPr>
            <w:r>
              <w:t>-</w:t>
            </w:r>
            <w:r>
              <w:rPr>
                <w:rFonts w:hint="eastAsia"/>
              </w:rPr>
              <w:t>31</w:t>
            </w:r>
          </w:p>
        </w:tc>
        <w:tc>
          <w:tcPr>
            <w:tcW w:w="368" w:type="pct"/>
            <w:tcBorders>
              <w:tl2br w:val="nil"/>
              <w:tr2bl w:val="nil"/>
            </w:tcBorders>
          </w:tcPr>
          <w:p>
            <w:pPr>
              <w:pStyle w:val="34"/>
              <w:rPr>
                <w:lang w:val="zh-CN"/>
              </w:rPr>
            </w:pPr>
            <w:r>
              <w:rPr>
                <w:lang w:val="zh-CN"/>
              </w:rPr>
              <w:t>6</w:t>
            </w:r>
            <w:r>
              <w:rPr>
                <w:rFonts w:hint="eastAsia"/>
                <w:lang w:val="zh-CN"/>
              </w:rPr>
              <w:t>43</w:t>
            </w:r>
          </w:p>
        </w:tc>
        <w:tc>
          <w:tcPr>
            <w:tcW w:w="368" w:type="pct"/>
            <w:tcBorders>
              <w:tl2br w:val="nil"/>
              <w:tr2bl w:val="nil"/>
            </w:tcBorders>
          </w:tcPr>
          <w:p>
            <w:pPr>
              <w:pStyle w:val="34"/>
            </w:pPr>
            <w:r>
              <w:rPr>
                <w:rFonts w:hint="eastAsia"/>
              </w:rPr>
              <w:t>50</w:t>
            </w:r>
          </w:p>
        </w:tc>
        <w:tc>
          <w:tcPr>
            <w:tcW w:w="368" w:type="pct"/>
            <w:tcBorders>
              <w:tl2br w:val="nil"/>
              <w:tr2bl w:val="nil"/>
            </w:tcBorders>
          </w:tcPr>
          <w:p>
            <w:pPr>
              <w:pStyle w:val="34"/>
            </w:pPr>
            <w:r>
              <w:rPr>
                <w:rFonts w:hint="eastAsia"/>
              </w:rPr>
              <w:t>22</w:t>
            </w:r>
          </w:p>
        </w:tc>
        <w:tc>
          <w:tcPr>
            <w:tcW w:w="544" w:type="pct"/>
            <w:tcBorders>
              <w:tl2br w:val="nil"/>
              <w:tr2bl w:val="nil"/>
            </w:tcBorders>
          </w:tcPr>
          <w:p>
            <w:pPr>
              <w:pStyle w:val="34"/>
              <w:rPr>
                <w:lang w:val="zh-CN"/>
              </w:rPr>
            </w:pPr>
            <w:r>
              <w:rPr>
                <w:lang w:val="zh-CN"/>
              </w:rPr>
              <w:t>0</w:t>
            </w:r>
          </w:p>
        </w:tc>
        <w:tc>
          <w:tcPr>
            <w:tcW w:w="370" w:type="pct"/>
            <w:tcBorders>
              <w:tl2br w:val="nil"/>
              <w:tr2bl w:val="nil"/>
            </w:tcBorders>
          </w:tcPr>
          <w:p>
            <w:pPr>
              <w:pStyle w:val="34"/>
              <w:rPr>
                <w:lang w:val="zh-CN"/>
              </w:rPr>
            </w:pPr>
            <w:r>
              <w:rPr>
                <w:lang w:val="zh-CN"/>
              </w:rPr>
              <w:t>6</w:t>
            </w:r>
          </w:p>
        </w:tc>
        <w:tc>
          <w:tcPr>
            <w:tcW w:w="383" w:type="pct"/>
            <w:tcBorders>
              <w:tl2br w:val="nil"/>
              <w:tr2bl w:val="nil"/>
            </w:tcBorders>
          </w:tcPr>
          <w:p>
            <w:pPr>
              <w:pStyle w:val="34"/>
              <w:rPr>
                <w:lang w:val="zh-CN"/>
              </w:rPr>
            </w:pPr>
            <w:r>
              <w:rPr>
                <w:lang w:val="zh-CN"/>
              </w:rPr>
              <w:t>4320</w:t>
            </w:r>
          </w:p>
        </w:tc>
        <w:tc>
          <w:tcPr>
            <w:tcW w:w="370" w:type="pct"/>
            <w:tcBorders>
              <w:tl2br w:val="nil"/>
              <w:tr2bl w:val="nil"/>
            </w:tcBorders>
          </w:tcPr>
          <w:p>
            <w:pPr>
              <w:pStyle w:val="34"/>
              <w:rPr>
                <w:lang w:val="zh-CN"/>
              </w:rPr>
            </w:pPr>
            <w:r>
              <w:rPr>
                <w:lang w:val="zh-CN"/>
              </w:rPr>
              <w:t>正常</w:t>
            </w:r>
          </w:p>
        </w:tc>
        <w:tc>
          <w:tcPr>
            <w:tcW w:w="608" w:type="pct"/>
            <w:tcBorders>
              <w:tl2br w:val="nil"/>
              <w:tr2bl w:val="nil"/>
            </w:tcBorders>
          </w:tcPr>
          <w:p>
            <w:pPr>
              <w:pStyle w:val="34"/>
            </w:pPr>
            <w:r>
              <w:rPr>
                <w:rFonts w:hint="eastAsia"/>
              </w:rPr>
              <w:t>0.17</w:t>
            </w:r>
          </w:p>
        </w:tc>
      </w:tr>
    </w:tbl>
    <w:p>
      <w:pPr>
        <w:pStyle w:val="7"/>
        <w:ind w:firstLine="480"/>
        <w:rPr>
          <w:rFonts w:cs="Times New Roman"/>
          <w:lang w:val="zh-CN"/>
        </w:rPr>
      </w:pPr>
      <w:r>
        <w:rPr>
          <w:rFonts w:hint="eastAsia" w:cs="Times New Roman"/>
          <w:lang w:val="zh-CN"/>
        </w:rPr>
        <w:t>（4）估算模型参数</w:t>
      </w:r>
    </w:p>
    <w:p>
      <w:pPr>
        <w:pStyle w:val="7"/>
        <w:ind w:firstLine="480"/>
        <w:rPr>
          <w:rFonts w:cs="Times New Roman"/>
          <w:lang w:val="zh-CN"/>
        </w:rPr>
      </w:pPr>
      <w:r>
        <w:rPr>
          <w:rFonts w:hint="eastAsia" w:cs="Times New Roman"/>
          <w:lang w:val="zh-CN"/>
        </w:rPr>
        <w:t>本次评价选用《环境影响评价技术导则</w:t>
      </w:r>
      <w:r>
        <w:rPr>
          <w:rFonts w:cs="Times New Roman"/>
          <w:lang w:val="zh-CN"/>
        </w:rPr>
        <w:t xml:space="preserve"> </w:t>
      </w:r>
      <w:r>
        <w:rPr>
          <w:rFonts w:hint="eastAsia" w:cs="Times New Roman"/>
          <w:lang w:val="zh-CN"/>
        </w:rPr>
        <w:t>大气环境》（</w:t>
      </w:r>
      <w:r>
        <w:rPr>
          <w:rFonts w:cs="Times New Roman"/>
          <w:lang w:val="zh-CN"/>
        </w:rPr>
        <w:t>HJ2.2-2018</w:t>
      </w:r>
      <w:r>
        <w:rPr>
          <w:rFonts w:hint="eastAsia" w:cs="Times New Roman"/>
          <w:lang w:val="zh-CN"/>
        </w:rPr>
        <w:t>）推荐的AERSCREEN模型，估算模型参数详见表</w:t>
      </w:r>
      <w:r>
        <w:rPr>
          <w:rFonts w:hint="eastAsia" w:cs="Times New Roman"/>
          <w:lang w:val="en-US" w:eastAsia="zh-CN"/>
        </w:rPr>
        <w:t>4</w:t>
      </w:r>
      <w:r>
        <w:rPr>
          <w:rFonts w:hint="eastAsia" w:cs="Times New Roman"/>
          <w:lang w:val="zh-CN"/>
        </w:rPr>
        <w:t>.2-4。</w:t>
      </w:r>
    </w:p>
    <w:p>
      <w:pPr>
        <w:pStyle w:val="36"/>
        <w:spacing w:before="156"/>
        <w:rPr>
          <w:rFonts w:eastAsia="宋体"/>
        </w:rPr>
      </w:pPr>
      <w:r>
        <w:rPr>
          <w:rFonts w:eastAsia="宋体"/>
        </w:rPr>
        <w:t>表</w:t>
      </w:r>
      <w:r>
        <w:rPr>
          <w:rFonts w:hint="eastAsia" w:eastAsia="宋体"/>
          <w:lang w:val="en-US" w:eastAsia="zh-CN"/>
        </w:rPr>
        <w:t>4</w:t>
      </w:r>
      <w:r>
        <w:rPr>
          <w:rFonts w:hint="eastAsia" w:eastAsia="宋体"/>
        </w:rPr>
        <w:t>.2-4</w:t>
      </w:r>
      <w:r>
        <w:rPr>
          <w:rFonts w:eastAsia="宋体"/>
        </w:rPr>
        <w:t xml:space="preserve">  估算模型参数一览表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99"/>
        <w:gridCol w:w="3543"/>
        <w:gridCol w:w="20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参数</w:t>
            </w:r>
          </w:p>
        </w:tc>
        <w:tc>
          <w:tcPr>
            <w:tcW w:w="1223" w:type="pct"/>
            <w:tcBorders>
              <w:tl2br w:val="nil"/>
              <w:tr2bl w:val="nil"/>
            </w:tcBorders>
            <w:vAlign w:val="center"/>
          </w:tcPr>
          <w:p>
            <w:pPr>
              <w:pStyle w:val="34"/>
            </w:pPr>
            <w: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restart"/>
            <w:tcBorders>
              <w:tl2br w:val="nil"/>
              <w:tr2bl w:val="nil"/>
            </w:tcBorders>
            <w:vAlign w:val="center"/>
          </w:tcPr>
          <w:p>
            <w:pPr>
              <w:pStyle w:val="34"/>
            </w:pPr>
            <w:r>
              <w:t>城市/农村选项</w:t>
            </w:r>
          </w:p>
        </w:tc>
        <w:tc>
          <w:tcPr>
            <w:tcW w:w="2077" w:type="pct"/>
            <w:tcBorders>
              <w:tl2br w:val="nil"/>
              <w:tr2bl w:val="nil"/>
            </w:tcBorders>
            <w:vAlign w:val="center"/>
          </w:tcPr>
          <w:p>
            <w:pPr>
              <w:pStyle w:val="34"/>
            </w:pPr>
            <w:r>
              <w:t>城市/农村</w:t>
            </w:r>
          </w:p>
        </w:tc>
        <w:tc>
          <w:tcPr>
            <w:tcW w:w="1223" w:type="pct"/>
            <w:tcBorders>
              <w:tl2br w:val="nil"/>
              <w:tr2bl w:val="nil"/>
            </w:tcBorders>
            <w:vAlign w:val="center"/>
          </w:tcPr>
          <w:p>
            <w:pPr>
              <w:pStyle w:val="34"/>
            </w:pPr>
            <w: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人口数（城市选项时）</w:t>
            </w:r>
          </w:p>
        </w:tc>
        <w:tc>
          <w:tcPr>
            <w:tcW w:w="1223"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最高环境温度/℃</w:t>
            </w:r>
          </w:p>
        </w:tc>
        <w:tc>
          <w:tcPr>
            <w:tcW w:w="1223" w:type="pct"/>
            <w:tcBorders>
              <w:tl2br w:val="nil"/>
              <w:tr2bl w:val="nil"/>
            </w:tcBorders>
            <w:vAlign w:val="center"/>
          </w:tcPr>
          <w:p>
            <w:pPr>
              <w:pStyle w:val="34"/>
            </w:pPr>
            <w:r>
              <w:t>41.6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最低环境温度/℃</w:t>
            </w:r>
          </w:p>
        </w:tc>
        <w:tc>
          <w:tcPr>
            <w:tcW w:w="1223" w:type="pct"/>
            <w:tcBorders>
              <w:tl2br w:val="nil"/>
              <w:tr2bl w:val="nil"/>
            </w:tcBorders>
            <w:vAlign w:val="center"/>
          </w:tcPr>
          <w:p>
            <w:pPr>
              <w:pStyle w:val="34"/>
            </w:pPr>
            <w:r>
              <w:t>-39.2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土地利用类型</w:t>
            </w:r>
          </w:p>
        </w:tc>
        <w:tc>
          <w:tcPr>
            <w:tcW w:w="1223" w:type="pct"/>
            <w:tcBorders>
              <w:tl2br w:val="nil"/>
              <w:tr2bl w:val="nil"/>
            </w:tcBorders>
            <w:vAlign w:val="center"/>
          </w:tcPr>
          <w:p>
            <w:pPr>
              <w:pStyle w:val="34"/>
            </w:pPr>
            <w:r>
              <w:rPr>
                <w:rFonts w:hint="eastAsia"/>
              </w:rPr>
              <w:t>农作地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7" w:type="pct"/>
            <w:gridSpan w:val="2"/>
            <w:tcBorders>
              <w:tl2br w:val="nil"/>
              <w:tr2bl w:val="nil"/>
            </w:tcBorders>
            <w:vAlign w:val="center"/>
          </w:tcPr>
          <w:p>
            <w:pPr>
              <w:pStyle w:val="34"/>
            </w:pPr>
            <w:r>
              <w:t>区域湿度条件</w:t>
            </w:r>
          </w:p>
        </w:tc>
        <w:tc>
          <w:tcPr>
            <w:tcW w:w="1223" w:type="pct"/>
            <w:tcBorders>
              <w:tl2br w:val="nil"/>
              <w:tr2bl w:val="nil"/>
            </w:tcBorders>
            <w:vAlign w:val="center"/>
          </w:tcPr>
          <w:p>
            <w:pPr>
              <w:pStyle w:val="34"/>
            </w:pPr>
            <w:r>
              <w:t>干燥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restart"/>
            <w:tcBorders>
              <w:tl2br w:val="nil"/>
              <w:tr2bl w:val="nil"/>
            </w:tcBorders>
            <w:vAlign w:val="center"/>
          </w:tcPr>
          <w:p>
            <w:pPr>
              <w:pStyle w:val="34"/>
            </w:pPr>
            <w:r>
              <w:t>是否考虑地形</w:t>
            </w:r>
          </w:p>
        </w:tc>
        <w:tc>
          <w:tcPr>
            <w:tcW w:w="2077" w:type="pct"/>
            <w:tcBorders>
              <w:tl2br w:val="nil"/>
              <w:tr2bl w:val="nil"/>
            </w:tcBorders>
            <w:vAlign w:val="center"/>
          </w:tcPr>
          <w:p>
            <w:pPr>
              <w:pStyle w:val="34"/>
            </w:pPr>
            <w:r>
              <w:t>考虑地形</w:t>
            </w:r>
          </w:p>
        </w:tc>
        <w:tc>
          <w:tcPr>
            <w:tcW w:w="1223" w:type="pct"/>
            <w:tcBorders>
              <w:tl2br w:val="nil"/>
              <w:tr2bl w:val="nil"/>
            </w:tcBorders>
            <w:vAlign w:val="center"/>
          </w:tcPr>
          <w:p>
            <w:pPr>
              <w:pStyle w:val="34"/>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地形数据分辨率</w:t>
            </w:r>
          </w:p>
        </w:tc>
        <w:tc>
          <w:tcPr>
            <w:tcW w:w="1223" w:type="pct"/>
            <w:tcBorders>
              <w:tl2br w:val="nil"/>
              <w:tr2bl w:val="nil"/>
            </w:tcBorders>
            <w:vAlign w:val="center"/>
          </w:tcPr>
          <w:p>
            <w:pPr>
              <w:pStyle w:val="34"/>
            </w:pPr>
            <w:r>
              <w:t>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restart"/>
            <w:tcBorders>
              <w:tl2br w:val="nil"/>
              <w:tr2bl w:val="nil"/>
            </w:tcBorders>
            <w:vAlign w:val="center"/>
          </w:tcPr>
          <w:p>
            <w:pPr>
              <w:pStyle w:val="34"/>
            </w:pPr>
            <w:r>
              <w:t>是否考虑岸线熏烟</w:t>
            </w:r>
          </w:p>
        </w:tc>
        <w:tc>
          <w:tcPr>
            <w:tcW w:w="2077" w:type="pct"/>
            <w:tcBorders>
              <w:tl2br w:val="nil"/>
              <w:tr2bl w:val="nil"/>
            </w:tcBorders>
            <w:vAlign w:val="center"/>
          </w:tcPr>
          <w:p>
            <w:pPr>
              <w:pStyle w:val="34"/>
            </w:pPr>
            <w:r>
              <w:t>考虑岸线熏烟</w:t>
            </w:r>
          </w:p>
        </w:tc>
        <w:tc>
          <w:tcPr>
            <w:tcW w:w="1223" w:type="pct"/>
            <w:tcBorders>
              <w:tl2br w:val="nil"/>
              <w:tr2bl w:val="nil"/>
            </w:tcBorders>
            <w:vAlign w:val="center"/>
          </w:tcPr>
          <w:p>
            <w:pPr>
              <w:pStyle w:val="34"/>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岸线距离/m</w:t>
            </w:r>
          </w:p>
        </w:tc>
        <w:tc>
          <w:tcPr>
            <w:tcW w:w="1223"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0" w:type="pct"/>
            <w:vMerge w:val="continue"/>
            <w:tcBorders>
              <w:tl2br w:val="nil"/>
              <w:tr2bl w:val="nil"/>
            </w:tcBorders>
            <w:vAlign w:val="center"/>
          </w:tcPr>
          <w:p>
            <w:pPr>
              <w:pStyle w:val="34"/>
            </w:pPr>
          </w:p>
        </w:tc>
        <w:tc>
          <w:tcPr>
            <w:tcW w:w="2077" w:type="pct"/>
            <w:tcBorders>
              <w:tl2br w:val="nil"/>
              <w:tr2bl w:val="nil"/>
            </w:tcBorders>
            <w:vAlign w:val="center"/>
          </w:tcPr>
          <w:p>
            <w:pPr>
              <w:pStyle w:val="34"/>
            </w:pPr>
            <w:r>
              <w:t>岸线方向/°</w:t>
            </w:r>
          </w:p>
        </w:tc>
        <w:tc>
          <w:tcPr>
            <w:tcW w:w="1223" w:type="pct"/>
            <w:tcBorders>
              <w:tl2br w:val="nil"/>
              <w:tr2bl w:val="nil"/>
            </w:tcBorders>
            <w:vAlign w:val="center"/>
          </w:tcPr>
          <w:p>
            <w:pPr>
              <w:pStyle w:val="34"/>
            </w:pPr>
            <w:r>
              <w:t>/</w:t>
            </w:r>
          </w:p>
        </w:tc>
      </w:tr>
    </w:tbl>
    <w:p>
      <w:pPr>
        <w:pStyle w:val="7"/>
        <w:ind w:firstLine="480"/>
        <w:rPr>
          <w:rFonts w:cs="Times New Roman"/>
          <w:lang w:val="zh-CN"/>
        </w:rPr>
      </w:pPr>
      <w:r>
        <w:rPr>
          <w:rFonts w:hint="eastAsia" w:cs="Times New Roman"/>
          <w:lang w:val="zh-CN"/>
        </w:rPr>
        <w:t>（5）估算结果</w:t>
      </w:r>
    </w:p>
    <w:p>
      <w:pPr>
        <w:pStyle w:val="7"/>
        <w:ind w:firstLine="480"/>
        <w:rPr>
          <w:rFonts w:cs="Times New Roman"/>
          <w:lang w:val="zh-CN"/>
        </w:rPr>
      </w:pPr>
      <w:r>
        <w:rPr>
          <w:rFonts w:hint="eastAsia" w:cs="Times New Roman"/>
          <w:lang w:val="zh-CN"/>
        </w:rPr>
        <w:t>项目主要污染源估算结果详见表</w:t>
      </w:r>
      <w:r>
        <w:rPr>
          <w:rFonts w:hint="eastAsia" w:cs="Times New Roman"/>
          <w:lang w:val="en-US" w:eastAsia="zh-CN"/>
        </w:rPr>
        <w:t>4</w:t>
      </w:r>
      <w:r>
        <w:rPr>
          <w:rFonts w:hint="eastAsia" w:cs="Times New Roman"/>
          <w:lang w:val="zh-CN"/>
        </w:rPr>
        <w:t>.2-5。</w:t>
      </w:r>
    </w:p>
    <w:p>
      <w:pPr>
        <w:pStyle w:val="36"/>
        <w:spacing w:before="156"/>
        <w:rPr>
          <w:rFonts w:eastAsia="宋体"/>
        </w:rPr>
      </w:pPr>
      <w:r>
        <w:rPr>
          <w:rFonts w:eastAsia="宋体"/>
        </w:rPr>
        <w:t>表</w:t>
      </w:r>
      <w:r>
        <w:rPr>
          <w:rFonts w:hint="eastAsia" w:eastAsia="宋体"/>
          <w:lang w:val="en-US" w:eastAsia="zh-CN"/>
        </w:rPr>
        <w:t>4</w:t>
      </w:r>
      <w:r>
        <w:rPr>
          <w:rFonts w:hint="eastAsia" w:eastAsia="宋体"/>
        </w:rPr>
        <w:t>.2-5</w:t>
      </w:r>
      <w:r>
        <w:rPr>
          <w:rFonts w:eastAsia="宋体"/>
        </w:rPr>
        <w:t xml:space="preserve">  </w:t>
      </w:r>
      <w:r>
        <w:rPr>
          <w:rFonts w:hint="eastAsia" w:eastAsia="宋体"/>
        </w:rPr>
        <w:t>废气估算模型计算结果一览表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047"/>
        <w:gridCol w:w="1370"/>
        <w:gridCol w:w="1437"/>
        <w:gridCol w:w="964"/>
        <w:gridCol w:w="1196"/>
        <w:gridCol w:w="1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34"/>
            </w:pPr>
            <w:r>
              <w:t>污染源</w:t>
            </w:r>
          </w:p>
        </w:tc>
        <w:tc>
          <w:tcPr>
            <w:tcW w:w="0" w:type="auto"/>
            <w:tcBorders>
              <w:tl2br w:val="nil"/>
              <w:tr2bl w:val="nil"/>
            </w:tcBorders>
            <w:vAlign w:val="center"/>
          </w:tcPr>
          <w:p>
            <w:pPr>
              <w:pStyle w:val="34"/>
            </w:pPr>
            <w:r>
              <w:t>评价因子</w:t>
            </w:r>
          </w:p>
        </w:tc>
        <w:tc>
          <w:tcPr>
            <w:tcW w:w="0" w:type="auto"/>
            <w:tcBorders>
              <w:tl2br w:val="nil"/>
              <w:tr2bl w:val="nil"/>
            </w:tcBorders>
            <w:vAlign w:val="center"/>
          </w:tcPr>
          <w:p>
            <w:pPr>
              <w:pStyle w:val="34"/>
            </w:pPr>
            <w:r>
              <w:t>C</w:t>
            </w:r>
            <w:r>
              <w:rPr>
                <w:vertAlign w:val="subscript"/>
              </w:rPr>
              <w:t>i</w:t>
            </w:r>
            <w:r>
              <w:t>（mg/m</w:t>
            </w:r>
            <w:r>
              <w:rPr>
                <w:vertAlign w:val="superscript"/>
              </w:rPr>
              <w:t>3</w:t>
            </w:r>
            <w:r>
              <w:t>）</w:t>
            </w:r>
          </w:p>
        </w:tc>
        <w:tc>
          <w:tcPr>
            <w:tcW w:w="0" w:type="auto"/>
            <w:tcBorders>
              <w:tl2br w:val="nil"/>
              <w:tr2bl w:val="nil"/>
            </w:tcBorders>
            <w:vAlign w:val="center"/>
          </w:tcPr>
          <w:p>
            <w:pPr>
              <w:pStyle w:val="34"/>
            </w:pPr>
            <w:r>
              <w:t>C</w:t>
            </w:r>
            <w:r>
              <w:rPr>
                <w:vertAlign w:val="subscript"/>
              </w:rPr>
              <w:t>oi</w:t>
            </w:r>
            <w:r>
              <w:t>（mg/m</w:t>
            </w:r>
            <w:r>
              <w:rPr>
                <w:vertAlign w:val="superscript"/>
              </w:rPr>
              <w:t>3</w:t>
            </w:r>
            <w:r>
              <w:t>）</w:t>
            </w:r>
          </w:p>
        </w:tc>
        <w:tc>
          <w:tcPr>
            <w:tcW w:w="0" w:type="auto"/>
            <w:tcBorders>
              <w:tl2br w:val="nil"/>
              <w:tr2bl w:val="nil"/>
            </w:tcBorders>
            <w:vAlign w:val="center"/>
          </w:tcPr>
          <w:p>
            <w:pPr>
              <w:pStyle w:val="34"/>
            </w:pPr>
            <w:r>
              <w:t>P</w:t>
            </w:r>
            <w:r>
              <w:rPr>
                <w:vertAlign w:val="subscript"/>
              </w:rPr>
              <w:t>i</w:t>
            </w:r>
            <w:r>
              <w:t>（%）</w:t>
            </w:r>
          </w:p>
        </w:tc>
        <w:tc>
          <w:tcPr>
            <w:tcW w:w="0" w:type="auto"/>
            <w:tcBorders>
              <w:tl2br w:val="nil"/>
              <w:tr2bl w:val="nil"/>
            </w:tcBorders>
            <w:vAlign w:val="center"/>
          </w:tcPr>
          <w:p>
            <w:pPr>
              <w:pStyle w:val="34"/>
            </w:pPr>
            <w:r>
              <w:t>D</w:t>
            </w:r>
            <w:r>
              <w:rPr>
                <w:vertAlign w:val="subscript"/>
              </w:rPr>
              <w:t>10%</w:t>
            </w:r>
            <w:r>
              <w:t>（m）</w:t>
            </w:r>
          </w:p>
        </w:tc>
        <w:tc>
          <w:tcPr>
            <w:tcW w:w="0" w:type="auto"/>
            <w:tcBorders>
              <w:tl2br w:val="nil"/>
              <w:tr2bl w:val="nil"/>
            </w:tcBorders>
            <w:vAlign w:val="center"/>
          </w:tcPr>
          <w:p>
            <w:pPr>
              <w:pStyle w:val="34"/>
            </w:pPr>
            <w: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0" w:type="auto"/>
            <w:tcBorders>
              <w:tl2br w:val="nil"/>
              <w:tr2bl w:val="nil"/>
            </w:tcBorders>
            <w:vAlign w:val="center"/>
          </w:tcPr>
          <w:p>
            <w:pPr>
              <w:pStyle w:val="34"/>
            </w:pPr>
            <w:r>
              <w:t>DA001</w:t>
            </w:r>
          </w:p>
        </w:tc>
        <w:tc>
          <w:tcPr>
            <w:tcW w:w="0" w:type="auto"/>
            <w:vMerge w:val="restart"/>
            <w:tcBorders>
              <w:tl2br w:val="nil"/>
              <w:tr2bl w:val="nil"/>
            </w:tcBorders>
            <w:vAlign w:val="center"/>
          </w:tcPr>
          <w:p>
            <w:pPr>
              <w:pStyle w:val="34"/>
            </w:pPr>
            <w:r>
              <w:t>非甲烷</w:t>
            </w:r>
          </w:p>
          <w:p>
            <w:pPr>
              <w:pStyle w:val="34"/>
            </w:pPr>
            <w:r>
              <w:t>总烃</w:t>
            </w:r>
          </w:p>
        </w:tc>
        <w:tc>
          <w:tcPr>
            <w:tcW w:w="0" w:type="auto"/>
            <w:tcBorders>
              <w:tl2br w:val="nil"/>
              <w:tr2bl w:val="nil"/>
            </w:tcBorders>
            <w:vAlign w:val="center"/>
          </w:tcPr>
          <w:p>
            <w:pPr>
              <w:pStyle w:val="34"/>
            </w:pPr>
            <w:r>
              <w:t>0.</w:t>
            </w:r>
            <w:r>
              <w:rPr>
                <w:rFonts w:hint="eastAsia"/>
              </w:rPr>
              <w:t>339</w:t>
            </w:r>
          </w:p>
        </w:tc>
        <w:tc>
          <w:tcPr>
            <w:tcW w:w="0" w:type="auto"/>
            <w:vMerge w:val="restart"/>
            <w:tcBorders>
              <w:tl2br w:val="nil"/>
              <w:tr2bl w:val="nil"/>
            </w:tcBorders>
            <w:vAlign w:val="center"/>
          </w:tcPr>
          <w:p>
            <w:pPr>
              <w:pStyle w:val="34"/>
            </w:pPr>
            <w:r>
              <w:t>2</w:t>
            </w:r>
          </w:p>
        </w:tc>
        <w:tc>
          <w:tcPr>
            <w:tcW w:w="0" w:type="auto"/>
            <w:tcBorders>
              <w:tl2br w:val="nil"/>
              <w:tr2bl w:val="nil"/>
            </w:tcBorders>
            <w:vAlign w:val="center"/>
          </w:tcPr>
          <w:p>
            <w:pPr>
              <w:pStyle w:val="34"/>
            </w:pPr>
            <w:r>
              <w:rPr>
                <w:rFonts w:hint="eastAsia"/>
              </w:rPr>
              <w:t>4.72</w:t>
            </w:r>
          </w:p>
        </w:tc>
        <w:tc>
          <w:tcPr>
            <w:tcW w:w="0" w:type="auto"/>
            <w:tcBorders>
              <w:tl2br w:val="nil"/>
              <w:tr2bl w:val="nil"/>
            </w:tcBorders>
            <w:vAlign w:val="center"/>
          </w:tcPr>
          <w:p>
            <w:pPr>
              <w:pStyle w:val="34"/>
            </w:pPr>
            <w:r>
              <w:t>0</w:t>
            </w:r>
          </w:p>
        </w:tc>
        <w:tc>
          <w:tcPr>
            <w:tcW w:w="0" w:type="auto"/>
            <w:tcBorders>
              <w:tl2br w:val="nil"/>
              <w:tr2bl w:val="nil"/>
            </w:tcBorders>
            <w:vAlign w:val="center"/>
          </w:tcPr>
          <w:p>
            <w:pPr>
              <w:pStyle w:val="34"/>
            </w:pPr>
            <w: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0" w:type="auto"/>
            <w:tcBorders>
              <w:tl2br w:val="nil"/>
              <w:tr2bl w:val="nil"/>
            </w:tcBorders>
            <w:vAlign w:val="center"/>
          </w:tcPr>
          <w:p>
            <w:pPr>
              <w:pStyle w:val="34"/>
            </w:pPr>
            <w:r>
              <w:rPr>
                <w:rFonts w:hint="eastAsia"/>
              </w:rPr>
              <w:t>粉碎</w:t>
            </w:r>
            <w:r>
              <w:t>造粒</w:t>
            </w:r>
            <w:r>
              <w:rPr>
                <w:rFonts w:hint="eastAsia"/>
              </w:rPr>
              <w:t>车</w:t>
            </w:r>
            <w:r>
              <w:t>间</w:t>
            </w:r>
          </w:p>
        </w:tc>
        <w:tc>
          <w:tcPr>
            <w:tcW w:w="0" w:type="auto"/>
            <w:vMerge w:val="continue"/>
            <w:tcBorders>
              <w:tl2br w:val="nil"/>
              <w:tr2bl w:val="nil"/>
            </w:tcBorders>
            <w:vAlign w:val="center"/>
          </w:tcPr>
          <w:p>
            <w:pPr>
              <w:pStyle w:val="34"/>
            </w:pPr>
          </w:p>
        </w:tc>
        <w:tc>
          <w:tcPr>
            <w:tcW w:w="0" w:type="auto"/>
            <w:tcBorders>
              <w:tl2br w:val="nil"/>
              <w:tr2bl w:val="nil"/>
            </w:tcBorders>
            <w:vAlign w:val="center"/>
          </w:tcPr>
          <w:p>
            <w:pPr>
              <w:pStyle w:val="34"/>
            </w:pPr>
            <w:r>
              <w:t>0.0</w:t>
            </w:r>
            <w:r>
              <w:rPr>
                <w:rFonts w:hint="eastAsia"/>
              </w:rPr>
              <w:t>11</w:t>
            </w:r>
          </w:p>
        </w:tc>
        <w:tc>
          <w:tcPr>
            <w:tcW w:w="0" w:type="auto"/>
            <w:vMerge w:val="continue"/>
            <w:tcBorders>
              <w:tl2br w:val="nil"/>
              <w:tr2bl w:val="nil"/>
            </w:tcBorders>
            <w:vAlign w:val="center"/>
          </w:tcPr>
          <w:p>
            <w:pPr>
              <w:pStyle w:val="34"/>
            </w:pPr>
          </w:p>
        </w:tc>
        <w:tc>
          <w:tcPr>
            <w:tcW w:w="0" w:type="auto"/>
            <w:tcBorders>
              <w:tl2br w:val="nil"/>
              <w:tr2bl w:val="nil"/>
            </w:tcBorders>
            <w:vAlign w:val="center"/>
          </w:tcPr>
          <w:p>
            <w:pPr>
              <w:pStyle w:val="34"/>
            </w:pPr>
            <w:r>
              <w:rPr>
                <w:rFonts w:hint="eastAsia"/>
              </w:rPr>
              <w:t>2.55</w:t>
            </w:r>
          </w:p>
        </w:tc>
        <w:tc>
          <w:tcPr>
            <w:tcW w:w="0" w:type="auto"/>
            <w:tcBorders>
              <w:tl2br w:val="nil"/>
              <w:tr2bl w:val="nil"/>
            </w:tcBorders>
            <w:vAlign w:val="center"/>
          </w:tcPr>
          <w:p>
            <w:pPr>
              <w:pStyle w:val="34"/>
            </w:pPr>
            <w:r>
              <w:t>0</w:t>
            </w:r>
          </w:p>
        </w:tc>
        <w:tc>
          <w:tcPr>
            <w:tcW w:w="0" w:type="auto"/>
            <w:tcBorders>
              <w:tl2br w:val="nil"/>
              <w:tr2bl w:val="nil"/>
            </w:tcBorders>
            <w:vAlign w:val="center"/>
          </w:tcPr>
          <w:p>
            <w:pPr>
              <w:pStyle w:val="34"/>
            </w:pPr>
            <w: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0" w:type="auto"/>
            <w:tcBorders>
              <w:tl2br w:val="nil"/>
              <w:tr2bl w:val="nil"/>
            </w:tcBorders>
            <w:vAlign w:val="center"/>
          </w:tcPr>
          <w:p>
            <w:pPr>
              <w:pStyle w:val="34"/>
            </w:pPr>
            <w:r>
              <w:t>成品生产车间</w:t>
            </w:r>
          </w:p>
        </w:tc>
        <w:tc>
          <w:tcPr>
            <w:tcW w:w="0" w:type="auto"/>
            <w:vMerge w:val="continue"/>
            <w:tcBorders>
              <w:tl2br w:val="nil"/>
              <w:tr2bl w:val="nil"/>
            </w:tcBorders>
            <w:vAlign w:val="center"/>
          </w:tcPr>
          <w:p>
            <w:pPr>
              <w:pStyle w:val="34"/>
            </w:pPr>
          </w:p>
        </w:tc>
        <w:tc>
          <w:tcPr>
            <w:tcW w:w="0" w:type="auto"/>
            <w:tcBorders>
              <w:tl2br w:val="nil"/>
              <w:tr2bl w:val="nil"/>
            </w:tcBorders>
            <w:vAlign w:val="center"/>
          </w:tcPr>
          <w:p>
            <w:pPr>
              <w:pStyle w:val="34"/>
            </w:pPr>
            <w:r>
              <w:t>0.0</w:t>
            </w:r>
            <w:r>
              <w:rPr>
                <w:rFonts w:hint="eastAsia"/>
              </w:rPr>
              <w:t>47</w:t>
            </w:r>
          </w:p>
        </w:tc>
        <w:tc>
          <w:tcPr>
            <w:tcW w:w="0" w:type="auto"/>
            <w:vMerge w:val="continue"/>
            <w:tcBorders>
              <w:tl2br w:val="nil"/>
              <w:tr2bl w:val="nil"/>
            </w:tcBorders>
            <w:vAlign w:val="center"/>
          </w:tcPr>
          <w:p>
            <w:pPr>
              <w:pStyle w:val="34"/>
            </w:pPr>
          </w:p>
        </w:tc>
        <w:tc>
          <w:tcPr>
            <w:tcW w:w="0" w:type="auto"/>
            <w:tcBorders>
              <w:tl2br w:val="nil"/>
              <w:tr2bl w:val="nil"/>
            </w:tcBorders>
            <w:vAlign w:val="center"/>
          </w:tcPr>
          <w:p>
            <w:pPr>
              <w:pStyle w:val="34"/>
            </w:pPr>
            <w:r>
              <w:rPr>
                <w:rFonts w:hint="eastAsia"/>
              </w:rPr>
              <w:t>9.51</w:t>
            </w:r>
          </w:p>
        </w:tc>
        <w:tc>
          <w:tcPr>
            <w:tcW w:w="0" w:type="auto"/>
            <w:tcBorders>
              <w:tl2br w:val="nil"/>
              <w:tr2bl w:val="nil"/>
            </w:tcBorders>
            <w:vAlign w:val="center"/>
          </w:tcPr>
          <w:p>
            <w:pPr>
              <w:pStyle w:val="34"/>
            </w:pPr>
            <w:r>
              <w:t>0</w:t>
            </w:r>
          </w:p>
        </w:tc>
        <w:tc>
          <w:tcPr>
            <w:tcW w:w="0" w:type="auto"/>
            <w:tcBorders>
              <w:tl2br w:val="nil"/>
              <w:tr2bl w:val="nil"/>
            </w:tcBorders>
            <w:vAlign w:val="center"/>
          </w:tcPr>
          <w:p>
            <w:pPr>
              <w:pStyle w:val="34"/>
            </w:pPr>
            <w:r>
              <w:t>二级</w:t>
            </w:r>
          </w:p>
        </w:tc>
      </w:tr>
    </w:tbl>
    <w:p>
      <w:pPr>
        <w:pStyle w:val="7"/>
        <w:ind w:firstLine="480"/>
        <w:rPr>
          <w:rFonts w:cs="Times New Roman"/>
          <w:lang w:val="zh-CN"/>
        </w:rPr>
      </w:pPr>
      <w:r>
        <w:rPr>
          <w:rFonts w:hint="eastAsia" w:cs="Times New Roman"/>
          <w:lang w:val="zh-CN"/>
        </w:rPr>
        <w:t>根据上表估算结果可知，</w:t>
      </w:r>
      <w:r>
        <w:rPr>
          <w:rFonts w:cs="Times New Roman"/>
          <w:lang w:val="zh-CN"/>
        </w:rPr>
        <w:t>本项目Pmax最大值为</w:t>
      </w:r>
      <w:r>
        <w:rPr>
          <w:rFonts w:hint="eastAsia" w:cs="Times New Roman"/>
          <w:lang w:val="zh-CN"/>
        </w:rPr>
        <w:t>滴灌带及水带成品生产车间无组织</w:t>
      </w:r>
      <w:r>
        <w:rPr>
          <w:rFonts w:cs="Times New Roman"/>
          <w:lang w:val="zh-CN"/>
        </w:rPr>
        <w:t>排放的非甲烷总烃，Pmax 值为</w:t>
      </w:r>
      <w:r>
        <w:rPr>
          <w:rFonts w:hint="eastAsia" w:cs="Times New Roman"/>
          <w:lang w:val="zh-CN"/>
        </w:rPr>
        <w:t>9.71</w:t>
      </w:r>
      <w:r>
        <w:rPr>
          <w:rFonts w:cs="Times New Roman"/>
          <w:lang w:val="zh-CN"/>
        </w:rPr>
        <w:t>%，Cmax为</w:t>
      </w:r>
      <w:r>
        <w:rPr>
          <w:rFonts w:hint="eastAsia" w:cs="Times New Roman"/>
          <w:lang w:val="zh-CN"/>
        </w:rPr>
        <w:t>47</w:t>
      </w:r>
      <w:r>
        <w:rPr>
          <w:rFonts w:cs="Times New Roman"/>
          <w:lang w:val="zh-CN"/>
        </w:rPr>
        <w:t>μg/m³</w:t>
      </w:r>
      <w:r>
        <w:rPr>
          <w:rFonts w:hint="eastAsia" w:cs="Times New Roman"/>
          <w:lang w:val="zh-CN"/>
        </w:rPr>
        <w:t>。</w:t>
      </w:r>
      <w:r>
        <w:rPr>
          <w:rFonts w:cs="Times New Roman"/>
          <w:lang w:val="zh-CN"/>
        </w:rPr>
        <w:t>根据《环境影响评价技术导则 大气环境》（HJ2.2-2018）分级判据，确定本项目大气环境影响评价工作等级为二级。因此不再进行进一步预测与评价，只对污染物排放量进行核算。</w:t>
      </w:r>
    </w:p>
    <w:p>
      <w:pPr>
        <w:pStyle w:val="7"/>
        <w:ind w:firstLine="480"/>
        <w:rPr>
          <w:rFonts w:cs="Times New Roman"/>
          <w:lang w:val="zh-CN"/>
        </w:rPr>
      </w:pPr>
      <w:r>
        <w:rPr>
          <w:rFonts w:cs="Times New Roman"/>
          <w:lang w:val="zh-CN"/>
        </w:rPr>
        <w:t>正常工况条件下，本项目排放的大气污染物对周边环境影响较小，不会影响周边大气环境质量等级。</w:t>
      </w:r>
    </w:p>
    <w:p>
      <w:pPr>
        <w:pStyle w:val="7"/>
        <w:ind w:firstLine="480"/>
        <w:rPr>
          <w:rFonts w:cs="Times New Roman"/>
          <w:lang w:val="zh-CN"/>
        </w:rPr>
      </w:pPr>
      <w:r>
        <w:rPr>
          <w:rFonts w:hint="eastAsia" w:cs="Times New Roman"/>
          <w:lang w:val="zh-CN"/>
        </w:rPr>
        <w:t>3、污染物排放量核算</w:t>
      </w:r>
    </w:p>
    <w:p>
      <w:pPr>
        <w:pStyle w:val="7"/>
        <w:ind w:firstLine="480"/>
        <w:rPr>
          <w:rFonts w:cs="Times New Roman"/>
          <w:spacing w:val="-20"/>
          <w:lang w:val="zh-CN"/>
        </w:rPr>
      </w:pPr>
      <w:r>
        <w:rPr>
          <w:rFonts w:hint="eastAsia" w:cs="Times New Roman"/>
          <w:lang w:val="zh-CN"/>
        </w:rPr>
        <w:t>项目全厂大气污染物有组织排放量核算详见表</w:t>
      </w:r>
      <w:r>
        <w:rPr>
          <w:rFonts w:hint="eastAsia" w:cs="Times New Roman"/>
          <w:lang w:val="en-US" w:eastAsia="zh-CN"/>
        </w:rPr>
        <w:t>4</w:t>
      </w:r>
      <w:r>
        <w:rPr>
          <w:rFonts w:hint="eastAsia" w:cs="Times New Roman"/>
          <w:lang w:val="zh-CN"/>
        </w:rPr>
        <w:t>.2-6，项目全厂大气污染物无组织排放量核算详见</w:t>
      </w:r>
      <w:r>
        <w:rPr>
          <w:rFonts w:hint="eastAsia" w:cs="Times New Roman"/>
          <w:spacing w:val="-20"/>
          <w:lang w:val="zh-CN"/>
        </w:rPr>
        <w:t>表</w:t>
      </w:r>
      <w:r>
        <w:rPr>
          <w:rFonts w:hint="eastAsia" w:cs="Times New Roman"/>
          <w:spacing w:val="-20"/>
          <w:lang w:val="en-US" w:eastAsia="zh-CN"/>
        </w:rPr>
        <w:t>4</w:t>
      </w:r>
      <w:r>
        <w:rPr>
          <w:rFonts w:hint="eastAsia" w:cs="Times New Roman"/>
          <w:spacing w:val="-20"/>
          <w:lang w:val="zh-CN"/>
        </w:rPr>
        <w:t>.2-7，</w:t>
      </w:r>
      <w:r>
        <w:rPr>
          <w:rFonts w:hint="eastAsia" w:cs="Times New Roman"/>
          <w:lang w:val="zh-CN"/>
        </w:rPr>
        <w:t>项目全厂大气污染物年排放量核算</w:t>
      </w:r>
      <w:r>
        <w:rPr>
          <w:rFonts w:hint="eastAsia" w:cs="Times New Roman"/>
          <w:spacing w:val="-20"/>
          <w:lang w:val="zh-CN"/>
        </w:rPr>
        <w:t>详见表</w:t>
      </w:r>
      <w:r>
        <w:rPr>
          <w:rFonts w:hint="eastAsia" w:cs="Times New Roman"/>
          <w:spacing w:val="-20"/>
          <w:lang w:val="en-US" w:eastAsia="zh-CN"/>
        </w:rPr>
        <w:t>4</w:t>
      </w:r>
      <w:r>
        <w:rPr>
          <w:rFonts w:hint="eastAsia" w:cs="Times New Roman"/>
          <w:spacing w:val="-20"/>
          <w:lang w:val="zh-CN"/>
        </w:rPr>
        <w:t>.2-8。</w:t>
      </w:r>
    </w:p>
    <w:p>
      <w:pPr>
        <w:pStyle w:val="36"/>
        <w:spacing w:before="156"/>
        <w:rPr>
          <w:rFonts w:eastAsia="宋体"/>
        </w:rPr>
      </w:pPr>
      <w:r>
        <w:rPr>
          <w:rFonts w:hint="eastAsia" w:eastAsia="宋体"/>
        </w:rPr>
        <w:t>表</w:t>
      </w:r>
      <w:r>
        <w:rPr>
          <w:rFonts w:hint="eastAsia" w:eastAsia="宋体"/>
          <w:lang w:val="en-US" w:eastAsia="zh-CN"/>
        </w:rPr>
        <w:t>4</w:t>
      </w:r>
      <w:r>
        <w:rPr>
          <w:rFonts w:hint="eastAsia" w:eastAsia="宋体"/>
        </w:rPr>
        <w:t>.2-6  大气污染物有组织排放量核算表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288"/>
        <w:gridCol w:w="1434"/>
        <w:gridCol w:w="2006"/>
        <w:gridCol w:w="1719"/>
        <w:gridCol w:w="1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7" w:type="pct"/>
            <w:vAlign w:val="center"/>
          </w:tcPr>
          <w:p>
            <w:pPr>
              <w:pStyle w:val="34"/>
            </w:pPr>
            <w:r>
              <w:rPr>
                <w:rFonts w:hint="eastAsia"/>
              </w:rPr>
              <w:t>序号</w:t>
            </w:r>
          </w:p>
        </w:tc>
        <w:tc>
          <w:tcPr>
            <w:tcW w:w="755" w:type="pct"/>
            <w:vAlign w:val="center"/>
          </w:tcPr>
          <w:p>
            <w:pPr>
              <w:pStyle w:val="34"/>
            </w:pPr>
            <w:r>
              <w:rPr>
                <w:rFonts w:hint="eastAsia"/>
              </w:rPr>
              <w:t>排放口编号</w:t>
            </w:r>
          </w:p>
        </w:tc>
        <w:tc>
          <w:tcPr>
            <w:tcW w:w="841" w:type="pct"/>
            <w:vAlign w:val="center"/>
          </w:tcPr>
          <w:p>
            <w:pPr>
              <w:pStyle w:val="34"/>
            </w:pPr>
            <w:r>
              <w:rPr>
                <w:rFonts w:hint="eastAsia"/>
              </w:rPr>
              <w:t>污染物</w:t>
            </w:r>
          </w:p>
        </w:tc>
        <w:tc>
          <w:tcPr>
            <w:tcW w:w="1176" w:type="pct"/>
            <w:vAlign w:val="center"/>
          </w:tcPr>
          <w:p>
            <w:pPr>
              <w:pStyle w:val="34"/>
            </w:pPr>
            <w:r>
              <w:rPr>
                <w:rFonts w:hint="eastAsia"/>
              </w:rPr>
              <w:t>核算排放浓度（mg/m</w:t>
            </w:r>
            <w:r>
              <w:rPr>
                <w:rFonts w:hint="eastAsia"/>
                <w:vertAlign w:val="superscript"/>
              </w:rPr>
              <w:t>3</w:t>
            </w:r>
            <w:r>
              <w:rPr>
                <w:rFonts w:hint="eastAsia"/>
              </w:rPr>
              <w:t>）</w:t>
            </w:r>
          </w:p>
        </w:tc>
        <w:tc>
          <w:tcPr>
            <w:tcW w:w="1008" w:type="pct"/>
            <w:vAlign w:val="center"/>
          </w:tcPr>
          <w:p>
            <w:pPr>
              <w:pStyle w:val="34"/>
            </w:pPr>
            <w:r>
              <w:rPr>
                <w:rFonts w:hint="eastAsia"/>
              </w:rPr>
              <w:t>核算排放速率（kg/h）</w:t>
            </w:r>
          </w:p>
        </w:tc>
        <w:tc>
          <w:tcPr>
            <w:tcW w:w="903" w:type="pct"/>
            <w:vAlign w:val="center"/>
          </w:tcPr>
          <w:p>
            <w:pPr>
              <w:pStyle w:val="34"/>
            </w:pPr>
            <w:r>
              <w:rPr>
                <w:rFonts w:hint="eastAsia"/>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pPr>
              <w:pStyle w:val="34"/>
            </w:pPr>
            <w:r>
              <w:rPr>
                <w:rFonts w:hint="eastAsia"/>
              </w:rPr>
              <w:t>主要排放口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7" w:type="pct"/>
            <w:vAlign w:val="center"/>
          </w:tcPr>
          <w:p>
            <w:pPr>
              <w:pStyle w:val="34"/>
            </w:pPr>
            <w:r>
              <w:rPr>
                <w:rFonts w:hint="eastAsia"/>
              </w:rPr>
              <w:t>/</w:t>
            </w:r>
          </w:p>
        </w:tc>
        <w:tc>
          <w:tcPr>
            <w:tcW w:w="755" w:type="pct"/>
            <w:vAlign w:val="center"/>
          </w:tcPr>
          <w:p>
            <w:pPr>
              <w:pStyle w:val="34"/>
            </w:pPr>
            <w:r>
              <w:rPr>
                <w:rFonts w:hint="eastAsia"/>
              </w:rPr>
              <w:t>/</w:t>
            </w:r>
          </w:p>
        </w:tc>
        <w:tc>
          <w:tcPr>
            <w:tcW w:w="841" w:type="pct"/>
            <w:vAlign w:val="center"/>
          </w:tcPr>
          <w:p>
            <w:pPr>
              <w:pStyle w:val="34"/>
            </w:pPr>
            <w:r>
              <w:rPr>
                <w:rFonts w:hint="eastAsia"/>
              </w:rPr>
              <w:t>/</w:t>
            </w:r>
          </w:p>
        </w:tc>
        <w:tc>
          <w:tcPr>
            <w:tcW w:w="1176" w:type="pct"/>
            <w:vAlign w:val="center"/>
          </w:tcPr>
          <w:p>
            <w:pPr>
              <w:pStyle w:val="34"/>
            </w:pPr>
            <w:r>
              <w:rPr>
                <w:rFonts w:hint="eastAsia"/>
              </w:rPr>
              <w:t>/</w:t>
            </w:r>
          </w:p>
        </w:tc>
        <w:tc>
          <w:tcPr>
            <w:tcW w:w="1008" w:type="pct"/>
            <w:vAlign w:val="center"/>
          </w:tcPr>
          <w:p>
            <w:pPr>
              <w:pStyle w:val="34"/>
            </w:pPr>
            <w:r>
              <w:rPr>
                <w:rFonts w:hint="eastAsia"/>
              </w:rPr>
              <w:t>/</w:t>
            </w:r>
          </w:p>
        </w:tc>
        <w:tc>
          <w:tcPr>
            <w:tcW w:w="903" w:type="pct"/>
            <w:vAlign w:val="center"/>
          </w:tcPr>
          <w:p>
            <w:pPr>
              <w:pStyle w:val="34"/>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pct"/>
            <w:gridSpan w:val="2"/>
            <w:vMerge w:val="restart"/>
            <w:vAlign w:val="center"/>
          </w:tcPr>
          <w:p>
            <w:pPr>
              <w:pStyle w:val="34"/>
            </w:pPr>
            <w:r>
              <w:rPr>
                <w:rFonts w:hint="eastAsia"/>
              </w:rPr>
              <w:t>主要排放口合计</w:t>
            </w:r>
          </w:p>
        </w:tc>
        <w:tc>
          <w:tcPr>
            <w:tcW w:w="3025" w:type="pct"/>
            <w:gridSpan w:val="3"/>
            <w:vAlign w:val="center"/>
          </w:tcPr>
          <w:p>
            <w:pPr>
              <w:pStyle w:val="34"/>
            </w:pPr>
            <w:r>
              <w:rPr>
                <w:rFonts w:hint="eastAsia"/>
              </w:rPr>
              <w:t>SO</w:t>
            </w:r>
            <w:r>
              <w:rPr>
                <w:rFonts w:hint="eastAsia"/>
                <w:vertAlign w:val="subscript"/>
              </w:rPr>
              <w:t>2</w:t>
            </w:r>
          </w:p>
        </w:tc>
        <w:tc>
          <w:tcPr>
            <w:tcW w:w="903" w:type="pct"/>
            <w:vAlign w:val="center"/>
          </w:tcPr>
          <w:p>
            <w:pPr>
              <w:pStyle w:val="34"/>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pct"/>
            <w:gridSpan w:val="2"/>
            <w:vMerge w:val="continue"/>
            <w:vAlign w:val="center"/>
          </w:tcPr>
          <w:p>
            <w:pPr>
              <w:pStyle w:val="34"/>
            </w:pPr>
          </w:p>
        </w:tc>
        <w:tc>
          <w:tcPr>
            <w:tcW w:w="3025" w:type="pct"/>
            <w:gridSpan w:val="3"/>
            <w:vAlign w:val="center"/>
          </w:tcPr>
          <w:p>
            <w:pPr>
              <w:pStyle w:val="34"/>
            </w:pPr>
            <w:r>
              <w:rPr>
                <w:rFonts w:hint="eastAsia"/>
              </w:rPr>
              <w:t>NOx</w:t>
            </w:r>
          </w:p>
        </w:tc>
        <w:tc>
          <w:tcPr>
            <w:tcW w:w="903" w:type="pct"/>
            <w:vAlign w:val="center"/>
          </w:tcPr>
          <w:p>
            <w:pPr>
              <w:pStyle w:val="34"/>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pct"/>
            <w:gridSpan w:val="2"/>
            <w:vMerge w:val="continue"/>
            <w:vAlign w:val="center"/>
          </w:tcPr>
          <w:p>
            <w:pPr>
              <w:pStyle w:val="34"/>
            </w:pPr>
          </w:p>
        </w:tc>
        <w:tc>
          <w:tcPr>
            <w:tcW w:w="3025" w:type="pct"/>
            <w:gridSpan w:val="3"/>
            <w:vAlign w:val="center"/>
          </w:tcPr>
          <w:p>
            <w:pPr>
              <w:pStyle w:val="34"/>
            </w:pPr>
            <w:r>
              <w:rPr>
                <w:rFonts w:hint="eastAsia"/>
              </w:rPr>
              <w:t>颗粒物</w:t>
            </w:r>
          </w:p>
        </w:tc>
        <w:tc>
          <w:tcPr>
            <w:tcW w:w="903" w:type="pct"/>
            <w:vAlign w:val="center"/>
          </w:tcPr>
          <w:p>
            <w:pPr>
              <w:pStyle w:val="34"/>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pct"/>
            <w:gridSpan w:val="2"/>
            <w:vMerge w:val="continue"/>
            <w:vAlign w:val="center"/>
          </w:tcPr>
          <w:p>
            <w:pPr>
              <w:pStyle w:val="34"/>
            </w:pPr>
          </w:p>
        </w:tc>
        <w:tc>
          <w:tcPr>
            <w:tcW w:w="3025" w:type="pct"/>
            <w:gridSpan w:val="3"/>
            <w:vAlign w:val="center"/>
          </w:tcPr>
          <w:p>
            <w:pPr>
              <w:pStyle w:val="34"/>
            </w:pPr>
            <w:r>
              <w:rPr>
                <w:rFonts w:hint="eastAsia"/>
              </w:rPr>
              <w:t>VOCs</w:t>
            </w:r>
          </w:p>
        </w:tc>
        <w:tc>
          <w:tcPr>
            <w:tcW w:w="903" w:type="pct"/>
            <w:vAlign w:val="center"/>
          </w:tcPr>
          <w:p>
            <w:pPr>
              <w:pStyle w:val="34"/>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pPr>
              <w:pStyle w:val="34"/>
            </w:pPr>
            <w:r>
              <w:rPr>
                <w:rFonts w:hint="eastAsia"/>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7" w:type="pct"/>
            <w:vAlign w:val="center"/>
          </w:tcPr>
          <w:p>
            <w:pPr>
              <w:pStyle w:val="34"/>
            </w:pPr>
            <w:r>
              <w:rPr>
                <w:rFonts w:hint="eastAsia"/>
              </w:rPr>
              <w:t>1</w:t>
            </w:r>
          </w:p>
        </w:tc>
        <w:tc>
          <w:tcPr>
            <w:tcW w:w="755" w:type="pct"/>
            <w:vAlign w:val="center"/>
          </w:tcPr>
          <w:p>
            <w:pPr>
              <w:pStyle w:val="34"/>
            </w:pPr>
            <w:r>
              <w:rPr>
                <w:rFonts w:hint="eastAsia"/>
              </w:rPr>
              <w:t>DA001</w:t>
            </w:r>
          </w:p>
          <w:p>
            <w:pPr>
              <w:pStyle w:val="34"/>
            </w:pPr>
            <w:r>
              <w:rPr>
                <w:rFonts w:hint="eastAsia"/>
              </w:rPr>
              <w:t>排气筒</w:t>
            </w:r>
          </w:p>
        </w:tc>
        <w:tc>
          <w:tcPr>
            <w:tcW w:w="841" w:type="pct"/>
            <w:vAlign w:val="center"/>
          </w:tcPr>
          <w:p>
            <w:pPr>
              <w:pStyle w:val="34"/>
            </w:pPr>
            <w:r>
              <w:rPr>
                <w:rFonts w:hint="eastAsia"/>
              </w:rPr>
              <w:t>非甲烷总烃</w:t>
            </w:r>
          </w:p>
        </w:tc>
        <w:tc>
          <w:tcPr>
            <w:tcW w:w="1176" w:type="pct"/>
            <w:vAlign w:val="center"/>
          </w:tcPr>
          <w:p>
            <w:pPr>
              <w:pStyle w:val="34"/>
            </w:pPr>
            <w:r>
              <w:rPr>
                <w:rFonts w:hint="eastAsia"/>
              </w:rPr>
              <w:t>61</w:t>
            </w:r>
          </w:p>
        </w:tc>
        <w:tc>
          <w:tcPr>
            <w:tcW w:w="1008" w:type="pct"/>
            <w:vAlign w:val="center"/>
          </w:tcPr>
          <w:p>
            <w:pPr>
              <w:pStyle w:val="34"/>
            </w:pPr>
            <w:r>
              <w:rPr>
                <w:rFonts w:hint="eastAsia"/>
              </w:rPr>
              <w:t>1.22</w:t>
            </w:r>
          </w:p>
        </w:tc>
        <w:tc>
          <w:tcPr>
            <w:tcW w:w="903" w:type="pct"/>
            <w:vAlign w:val="center"/>
          </w:tcPr>
          <w:p>
            <w:pPr>
              <w:pStyle w:val="34"/>
            </w:pPr>
            <w:r>
              <w:rPr>
                <w:rFonts w:hint="eastAsia"/>
              </w:rPr>
              <w:t>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2" w:type="pct"/>
            <w:gridSpan w:val="2"/>
            <w:vAlign w:val="center"/>
          </w:tcPr>
          <w:p>
            <w:pPr>
              <w:pStyle w:val="34"/>
            </w:pPr>
            <w:r>
              <w:rPr>
                <w:rFonts w:hint="eastAsia"/>
              </w:rPr>
              <w:t>一般排放口合计</w:t>
            </w:r>
          </w:p>
        </w:tc>
        <w:tc>
          <w:tcPr>
            <w:tcW w:w="3025" w:type="pct"/>
            <w:gridSpan w:val="3"/>
            <w:vAlign w:val="center"/>
          </w:tcPr>
          <w:p>
            <w:pPr>
              <w:pStyle w:val="34"/>
            </w:pPr>
            <w:r>
              <w:rPr>
                <w:rFonts w:hint="eastAsia"/>
              </w:rPr>
              <w:t>非甲烷总烃</w:t>
            </w:r>
          </w:p>
        </w:tc>
        <w:tc>
          <w:tcPr>
            <w:tcW w:w="903" w:type="pct"/>
            <w:vAlign w:val="center"/>
          </w:tcPr>
          <w:p>
            <w:pPr>
              <w:pStyle w:val="34"/>
            </w:pPr>
            <w:r>
              <w:rPr>
                <w:rFonts w:hint="eastAsia"/>
              </w:rPr>
              <w:t>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pPr>
              <w:pStyle w:val="40"/>
            </w:pPr>
            <w:r>
              <w:rPr>
                <w:rFonts w:hint="eastAsia"/>
              </w:rPr>
              <w:t>注</w:t>
            </w:r>
            <w:r>
              <w:t>1</w:t>
            </w:r>
            <w:r>
              <w:rPr>
                <w:rFonts w:hint="eastAsia"/>
              </w:rPr>
              <w:t>：本项目不涉及《排污许可证申请与核发技术规范 废弃资源加工工业》（</w:t>
            </w:r>
            <w:r>
              <w:t>HJ</w:t>
            </w:r>
            <w:r>
              <w:rPr>
                <w:rFonts w:hint="eastAsia"/>
              </w:rPr>
              <w:t>1034-2019）中规定的主要排放口。</w:t>
            </w:r>
          </w:p>
          <w:p>
            <w:pPr>
              <w:pStyle w:val="40"/>
            </w:pPr>
            <w:r>
              <w:rPr>
                <w:rFonts w:hint="eastAsia"/>
              </w:rPr>
              <w:t>注</w:t>
            </w:r>
            <w:r>
              <w:t>2</w:t>
            </w:r>
            <w:r>
              <w:rPr>
                <w:rFonts w:hint="eastAsia"/>
              </w:rPr>
              <w:t>：本项目排放因子为非甲烷总烃，以非甲烷总烃核算总量。</w:t>
            </w:r>
          </w:p>
          <w:p>
            <w:pPr>
              <w:pStyle w:val="40"/>
            </w:pPr>
            <w:r>
              <w:rPr>
                <w:rFonts w:hint="eastAsia"/>
              </w:rPr>
              <w:t>注</w:t>
            </w:r>
            <w:r>
              <w:t>3</w:t>
            </w:r>
            <w:r>
              <w:rPr>
                <w:rFonts w:hint="eastAsia"/>
              </w:rPr>
              <w:t>：本项目造粒工序、滴灌带及水带挤出成型工序产生的有机废气经收集后通过一套环保设施处理后外排。</w:t>
            </w:r>
          </w:p>
        </w:tc>
      </w:tr>
    </w:tbl>
    <w:p>
      <w:pPr>
        <w:pStyle w:val="36"/>
        <w:spacing w:before="156"/>
        <w:rPr>
          <w:rFonts w:eastAsia="宋体"/>
        </w:rPr>
      </w:pPr>
      <w:r>
        <w:rPr>
          <w:rFonts w:hint="eastAsia" w:eastAsia="宋体"/>
        </w:rPr>
        <w:t>表</w:t>
      </w:r>
      <w:r>
        <w:rPr>
          <w:rFonts w:hint="eastAsia" w:eastAsia="宋体"/>
          <w:lang w:val="en-US" w:eastAsia="zh-CN"/>
        </w:rPr>
        <w:t>4</w:t>
      </w:r>
      <w:r>
        <w:rPr>
          <w:rFonts w:hint="eastAsia" w:eastAsia="宋体"/>
        </w:rPr>
        <w:t>.2-7  大气污染物无组织排放量核算表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658"/>
        <w:gridCol w:w="710"/>
        <w:gridCol w:w="529"/>
        <w:gridCol w:w="740"/>
        <w:gridCol w:w="695"/>
        <w:gridCol w:w="2497"/>
        <w:gridCol w:w="1298"/>
        <w:gridCol w:w="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vAlign w:val="center"/>
          </w:tcPr>
          <w:p>
            <w:pPr>
              <w:pStyle w:val="34"/>
            </w:pPr>
            <w:r>
              <w:rPr>
                <w:rFonts w:hint="eastAsia"/>
              </w:rPr>
              <w:t>序号</w:t>
            </w:r>
          </w:p>
        </w:tc>
        <w:tc>
          <w:tcPr>
            <w:tcW w:w="0" w:type="auto"/>
            <w:vMerge w:val="restart"/>
            <w:vAlign w:val="center"/>
          </w:tcPr>
          <w:p>
            <w:pPr>
              <w:pStyle w:val="34"/>
            </w:pPr>
            <w:r>
              <w:rPr>
                <w:rFonts w:hint="eastAsia"/>
              </w:rPr>
              <w:t>排放口编号</w:t>
            </w:r>
          </w:p>
        </w:tc>
        <w:tc>
          <w:tcPr>
            <w:tcW w:w="0" w:type="auto"/>
            <w:vMerge w:val="restart"/>
            <w:vAlign w:val="center"/>
          </w:tcPr>
          <w:p>
            <w:pPr>
              <w:pStyle w:val="34"/>
            </w:pPr>
            <w:r>
              <w:rPr>
                <w:rFonts w:hint="eastAsia"/>
              </w:rPr>
              <w:t>产污环节</w:t>
            </w:r>
          </w:p>
        </w:tc>
        <w:tc>
          <w:tcPr>
            <w:tcW w:w="0" w:type="auto"/>
            <w:vMerge w:val="restart"/>
            <w:vAlign w:val="center"/>
          </w:tcPr>
          <w:p>
            <w:pPr>
              <w:pStyle w:val="34"/>
            </w:pPr>
            <w:r>
              <w:rPr>
                <w:rFonts w:hint="eastAsia"/>
              </w:rPr>
              <w:t>污染物</w:t>
            </w:r>
          </w:p>
        </w:tc>
        <w:tc>
          <w:tcPr>
            <w:tcW w:w="0" w:type="auto"/>
            <w:gridSpan w:val="2"/>
            <w:vMerge w:val="restart"/>
            <w:vAlign w:val="center"/>
          </w:tcPr>
          <w:p>
            <w:pPr>
              <w:pStyle w:val="34"/>
            </w:pPr>
            <w:r>
              <w:rPr>
                <w:rFonts w:hint="eastAsia"/>
              </w:rPr>
              <w:t>主要防治措施</w:t>
            </w:r>
          </w:p>
        </w:tc>
        <w:tc>
          <w:tcPr>
            <w:tcW w:w="0" w:type="auto"/>
            <w:gridSpan w:val="2"/>
            <w:vAlign w:val="center"/>
          </w:tcPr>
          <w:p>
            <w:pPr>
              <w:pStyle w:val="34"/>
              <w:rPr>
                <w:spacing w:val="-8"/>
              </w:rPr>
            </w:pPr>
            <w:r>
              <w:rPr>
                <w:rFonts w:hint="eastAsia"/>
                <w:spacing w:val="-8"/>
              </w:rPr>
              <w:t>国家或地方污染物排放标准</w:t>
            </w:r>
          </w:p>
        </w:tc>
        <w:tc>
          <w:tcPr>
            <w:tcW w:w="0" w:type="auto"/>
            <w:vMerge w:val="restart"/>
            <w:vAlign w:val="center"/>
          </w:tcPr>
          <w:p>
            <w:pPr>
              <w:pStyle w:val="34"/>
            </w:pPr>
            <w:r>
              <w:rPr>
                <w:rFonts w:hint="eastAsia"/>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vAlign w:val="center"/>
          </w:tcPr>
          <w:p>
            <w:pPr>
              <w:pStyle w:val="34"/>
            </w:pPr>
          </w:p>
        </w:tc>
        <w:tc>
          <w:tcPr>
            <w:tcW w:w="0" w:type="auto"/>
            <w:vMerge w:val="continue"/>
            <w:vAlign w:val="center"/>
          </w:tcPr>
          <w:p>
            <w:pPr>
              <w:pStyle w:val="34"/>
            </w:pPr>
          </w:p>
        </w:tc>
        <w:tc>
          <w:tcPr>
            <w:tcW w:w="0" w:type="auto"/>
            <w:vMerge w:val="continue"/>
            <w:vAlign w:val="center"/>
          </w:tcPr>
          <w:p>
            <w:pPr>
              <w:pStyle w:val="34"/>
            </w:pPr>
          </w:p>
        </w:tc>
        <w:tc>
          <w:tcPr>
            <w:tcW w:w="0" w:type="auto"/>
            <w:vMerge w:val="continue"/>
            <w:vAlign w:val="center"/>
          </w:tcPr>
          <w:p>
            <w:pPr>
              <w:pStyle w:val="34"/>
            </w:pPr>
          </w:p>
        </w:tc>
        <w:tc>
          <w:tcPr>
            <w:tcW w:w="0" w:type="auto"/>
            <w:gridSpan w:val="2"/>
            <w:vMerge w:val="continue"/>
            <w:vAlign w:val="center"/>
          </w:tcPr>
          <w:p>
            <w:pPr>
              <w:pStyle w:val="34"/>
            </w:pPr>
          </w:p>
        </w:tc>
        <w:tc>
          <w:tcPr>
            <w:tcW w:w="0" w:type="auto"/>
            <w:vAlign w:val="center"/>
          </w:tcPr>
          <w:p>
            <w:pPr>
              <w:pStyle w:val="34"/>
            </w:pPr>
            <w:r>
              <w:rPr>
                <w:rFonts w:hint="eastAsia"/>
              </w:rPr>
              <w:t>标准名称</w:t>
            </w:r>
          </w:p>
        </w:tc>
        <w:tc>
          <w:tcPr>
            <w:tcW w:w="0" w:type="auto"/>
            <w:vAlign w:val="center"/>
          </w:tcPr>
          <w:p>
            <w:pPr>
              <w:pStyle w:val="34"/>
            </w:pPr>
            <w:r>
              <w:rPr>
                <w:rFonts w:hint="eastAsia"/>
              </w:rPr>
              <w:t>浓度限值（mg/m</w:t>
            </w:r>
            <w:r>
              <w:rPr>
                <w:rFonts w:hint="eastAsia"/>
                <w:vertAlign w:val="superscript"/>
              </w:rPr>
              <w:t>3</w:t>
            </w:r>
            <w:r>
              <w:rPr>
                <w:rFonts w:hint="eastAsia"/>
              </w:rPr>
              <w:t>）</w:t>
            </w:r>
          </w:p>
        </w:tc>
        <w:tc>
          <w:tcPr>
            <w:tcW w:w="0" w:type="auto"/>
            <w:vMerge w:val="continue"/>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pStyle w:val="34"/>
            </w:pPr>
            <w:r>
              <w:rPr>
                <w:rFonts w:hint="eastAsia"/>
              </w:rPr>
              <w:t>1</w:t>
            </w:r>
          </w:p>
        </w:tc>
        <w:tc>
          <w:tcPr>
            <w:tcW w:w="0" w:type="auto"/>
            <w:vAlign w:val="center"/>
          </w:tcPr>
          <w:p>
            <w:pPr>
              <w:pStyle w:val="34"/>
            </w:pPr>
            <w:r>
              <w:rPr>
                <w:rFonts w:hint="eastAsia"/>
              </w:rPr>
              <w:t>粉碎造粒车间</w:t>
            </w:r>
          </w:p>
        </w:tc>
        <w:tc>
          <w:tcPr>
            <w:tcW w:w="0" w:type="auto"/>
            <w:vAlign w:val="center"/>
          </w:tcPr>
          <w:p>
            <w:pPr>
              <w:pStyle w:val="34"/>
            </w:pPr>
            <w:r>
              <w:rPr>
                <w:rFonts w:hint="eastAsia"/>
              </w:rPr>
              <w:t>造粒工序</w:t>
            </w:r>
          </w:p>
        </w:tc>
        <w:tc>
          <w:tcPr>
            <w:tcW w:w="0" w:type="auto"/>
            <w:vMerge w:val="restart"/>
            <w:vAlign w:val="center"/>
          </w:tcPr>
          <w:p>
            <w:pPr>
              <w:pStyle w:val="34"/>
            </w:pPr>
            <w:r>
              <w:rPr>
                <w:rFonts w:hint="eastAsia"/>
              </w:rPr>
              <w:t>非甲烷总烃</w:t>
            </w:r>
          </w:p>
        </w:tc>
        <w:tc>
          <w:tcPr>
            <w:tcW w:w="0" w:type="auto"/>
            <w:gridSpan w:val="2"/>
            <w:vMerge w:val="restart"/>
            <w:vAlign w:val="center"/>
          </w:tcPr>
          <w:p>
            <w:pPr>
              <w:pStyle w:val="34"/>
            </w:pPr>
            <w:r>
              <w:rPr>
                <w:rFonts w:hint="eastAsia"/>
              </w:rPr>
              <w:t>造粒生产线及滴灌带、水带生产线设置集气罩收集废气，加强车间通风换气</w:t>
            </w:r>
          </w:p>
        </w:tc>
        <w:tc>
          <w:tcPr>
            <w:tcW w:w="0" w:type="auto"/>
            <w:vMerge w:val="restart"/>
            <w:vAlign w:val="center"/>
          </w:tcPr>
          <w:p>
            <w:pPr>
              <w:pStyle w:val="34"/>
              <w:rPr>
                <w:sz w:val="20"/>
              </w:rPr>
            </w:pPr>
            <w:r>
              <w:rPr>
                <w:rFonts w:hint="eastAsia"/>
              </w:rPr>
              <w:t>《合成树脂工业污染物排放标准》（</w:t>
            </w:r>
            <w:r>
              <w:t>GB31572-2015</w:t>
            </w:r>
            <w:r>
              <w:rPr>
                <w:rFonts w:hint="eastAsia"/>
              </w:rPr>
              <w:t>）表</w:t>
            </w:r>
            <w:r>
              <w:t>9</w:t>
            </w:r>
            <w:r>
              <w:rPr>
                <w:rFonts w:hint="eastAsia"/>
              </w:rPr>
              <w:t>中标准要求</w:t>
            </w:r>
          </w:p>
        </w:tc>
        <w:tc>
          <w:tcPr>
            <w:tcW w:w="0" w:type="auto"/>
            <w:vMerge w:val="restart"/>
            <w:vAlign w:val="center"/>
          </w:tcPr>
          <w:p>
            <w:pPr>
              <w:pStyle w:val="34"/>
            </w:pPr>
            <w:r>
              <w:rPr>
                <w:rFonts w:hint="eastAsia"/>
              </w:rPr>
              <w:t>4.0</w:t>
            </w:r>
          </w:p>
        </w:tc>
        <w:tc>
          <w:tcPr>
            <w:tcW w:w="0" w:type="auto"/>
            <w:vAlign w:val="center"/>
          </w:tcPr>
          <w:p>
            <w:pPr>
              <w:pStyle w:val="34"/>
            </w:pPr>
            <w:r>
              <w:rPr>
                <w:rFonts w:hint="eastAsia"/>
              </w:rPr>
              <w:t>0.175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pStyle w:val="34"/>
            </w:pPr>
            <w:r>
              <w:rPr>
                <w:rFonts w:hint="eastAsia"/>
              </w:rPr>
              <w:t>2</w:t>
            </w:r>
          </w:p>
        </w:tc>
        <w:tc>
          <w:tcPr>
            <w:tcW w:w="0" w:type="auto"/>
            <w:vAlign w:val="center"/>
          </w:tcPr>
          <w:p>
            <w:pPr>
              <w:pStyle w:val="34"/>
            </w:pPr>
            <w:r>
              <w:rPr>
                <w:rFonts w:hint="eastAsia"/>
              </w:rPr>
              <w:t>滴灌带及水带生产车间</w:t>
            </w:r>
          </w:p>
        </w:tc>
        <w:tc>
          <w:tcPr>
            <w:tcW w:w="0" w:type="auto"/>
            <w:vAlign w:val="center"/>
          </w:tcPr>
          <w:p>
            <w:pPr>
              <w:pStyle w:val="34"/>
            </w:pPr>
            <w:r>
              <w:rPr>
                <w:rFonts w:hint="eastAsia"/>
              </w:rPr>
              <w:t>滴灌带及水带挤出成型工序</w:t>
            </w:r>
          </w:p>
        </w:tc>
        <w:tc>
          <w:tcPr>
            <w:tcW w:w="0" w:type="auto"/>
            <w:vMerge w:val="continue"/>
            <w:vAlign w:val="center"/>
          </w:tcPr>
          <w:p>
            <w:pPr>
              <w:pStyle w:val="34"/>
            </w:pPr>
          </w:p>
        </w:tc>
        <w:tc>
          <w:tcPr>
            <w:tcW w:w="0" w:type="auto"/>
            <w:gridSpan w:val="2"/>
            <w:vMerge w:val="continue"/>
            <w:vAlign w:val="center"/>
          </w:tcPr>
          <w:p>
            <w:pPr>
              <w:pStyle w:val="34"/>
            </w:pPr>
          </w:p>
        </w:tc>
        <w:tc>
          <w:tcPr>
            <w:tcW w:w="0" w:type="auto"/>
            <w:vMerge w:val="continue"/>
            <w:vAlign w:val="center"/>
          </w:tcPr>
          <w:p>
            <w:pPr>
              <w:pStyle w:val="34"/>
            </w:pPr>
          </w:p>
        </w:tc>
        <w:tc>
          <w:tcPr>
            <w:tcW w:w="0" w:type="auto"/>
            <w:vMerge w:val="continue"/>
            <w:vAlign w:val="center"/>
          </w:tcPr>
          <w:p>
            <w:pPr>
              <w:pStyle w:val="34"/>
            </w:pPr>
          </w:p>
        </w:tc>
        <w:tc>
          <w:tcPr>
            <w:tcW w:w="0" w:type="auto"/>
            <w:vAlign w:val="center"/>
          </w:tcPr>
          <w:p>
            <w:pPr>
              <w:pStyle w:val="34"/>
            </w:pPr>
            <w:r>
              <w:rPr>
                <w:rFonts w:hint="eastAsia"/>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9"/>
            <w:vAlign w:val="center"/>
          </w:tcPr>
          <w:p>
            <w:pPr>
              <w:pStyle w:val="34"/>
            </w:pPr>
            <w:r>
              <w:rPr>
                <w:rFonts w:hint="eastAsia"/>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5"/>
            <w:vAlign w:val="center"/>
          </w:tcPr>
          <w:p>
            <w:pPr>
              <w:pStyle w:val="34"/>
            </w:pPr>
            <w:r>
              <w:rPr>
                <w:rFonts w:hint="eastAsia"/>
              </w:rPr>
              <w:t>无组织排放总计</w:t>
            </w:r>
          </w:p>
        </w:tc>
        <w:tc>
          <w:tcPr>
            <w:tcW w:w="0" w:type="auto"/>
            <w:gridSpan w:val="3"/>
            <w:vAlign w:val="center"/>
          </w:tcPr>
          <w:p>
            <w:pPr>
              <w:pStyle w:val="34"/>
            </w:pPr>
            <w:r>
              <w:rPr>
                <w:rFonts w:hint="eastAsia"/>
              </w:rPr>
              <w:t>VOCs</w:t>
            </w:r>
          </w:p>
        </w:tc>
        <w:tc>
          <w:tcPr>
            <w:tcW w:w="0" w:type="auto"/>
            <w:vAlign w:val="center"/>
          </w:tcPr>
          <w:p>
            <w:pPr>
              <w:pStyle w:val="34"/>
            </w:pPr>
            <w:r>
              <w:rPr>
                <w:rFonts w:hint="eastAsia"/>
              </w:rPr>
              <w:t>0.925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9"/>
            <w:vAlign w:val="center"/>
          </w:tcPr>
          <w:p>
            <w:pPr>
              <w:pStyle w:val="34"/>
            </w:pPr>
            <w:r>
              <w:rPr>
                <w:rFonts w:hint="eastAsia"/>
              </w:rPr>
              <w:t>注1：本项目主要排放污染物为非甲烷总烃，以非甲烷总烃核算总量。</w:t>
            </w:r>
          </w:p>
        </w:tc>
      </w:tr>
    </w:tbl>
    <w:p>
      <w:pPr>
        <w:pStyle w:val="36"/>
        <w:spacing w:before="156"/>
        <w:rPr>
          <w:rFonts w:eastAsia="宋体"/>
        </w:rPr>
      </w:pPr>
      <w:r>
        <w:rPr>
          <w:rFonts w:hint="eastAsia" w:eastAsia="宋体"/>
        </w:rPr>
        <w:t>表</w:t>
      </w:r>
      <w:r>
        <w:rPr>
          <w:rFonts w:hint="eastAsia" w:eastAsia="宋体"/>
          <w:lang w:val="en-US" w:eastAsia="zh-CN"/>
        </w:rPr>
        <w:t>4</w:t>
      </w:r>
      <w:r>
        <w:rPr>
          <w:rFonts w:hint="eastAsia" w:eastAsia="宋体"/>
        </w:rPr>
        <w:t>.2-8  大气污染物年排放量核算表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2923"/>
        <w:gridCol w:w="4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vAlign w:val="center"/>
          </w:tcPr>
          <w:p>
            <w:pPr>
              <w:adjustRightInd w:val="0"/>
              <w:snapToGrid w:val="0"/>
              <w:rPr>
                <w:rFonts w:ascii="Times New Roman" w:hAnsi="Times New Roman"/>
                <w:kern w:val="0"/>
              </w:rPr>
            </w:pPr>
            <w:r>
              <w:rPr>
                <w:rFonts w:hint="eastAsia" w:ascii="Times New Roman" w:hAnsi="Times New Roman"/>
                <w:kern w:val="0"/>
              </w:rPr>
              <w:t>序号</w:t>
            </w:r>
          </w:p>
        </w:tc>
        <w:tc>
          <w:tcPr>
            <w:tcW w:w="1714" w:type="pct"/>
            <w:vAlign w:val="center"/>
          </w:tcPr>
          <w:p>
            <w:pPr>
              <w:adjustRightInd w:val="0"/>
              <w:snapToGrid w:val="0"/>
              <w:rPr>
                <w:rFonts w:ascii="Times New Roman" w:hAnsi="Times New Roman"/>
                <w:kern w:val="0"/>
              </w:rPr>
            </w:pPr>
            <w:r>
              <w:rPr>
                <w:rFonts w:hint="eastAsia" w:ascii="Times New Roman" w:hAnsi="Times New Roman"/>
                <w:kern w:val="0"/>
              </w:rPr>
              <w:t>污染物</w:t>
            </w:r>
          </w:p>
        </w:tc>
        <w:tc>
          <w:tcPr>
            <w:tcW w:w="2425" w:type="pct"/>
            <w:vAlign w:val="center"/>
          </w:tcPr>
          <w:p>
            <w:pPr>
              <w:adjustRightInd w:val="0"/>
              <w:snapToGrid w:val="0"/>
              <w:rPr>
                <w:rFonts w:ascii="Times New Roman" w:hAnsi="Times New Roman"/>
                <w:kern w:val="0"/>
              </w:rPr>
            </w:pPr>
            <w:r>
              <w:rPr>
                <w:rFonts w:hint="eastAsia" w:ascii="Times New Roman" w:hAnsi="Times New Roman"/>
                <w:kern w:val="0"/>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vAlign w:val="center"/>
          </w:tcPr>
          <w:p>
            <w:pPr>
              <w:adjustRightInd w:val="0"/>
              <w:snapToGrid w:val="0"/>
              <w:rPr>
                <w:rFonts w:ascii="Times New Roman" w:hAnsi="Times New Roman"/>
                <w:kern w:val="0"/>
              </w:rPr>
            </w:pPr>
            <w:r>
              <w:rPr>
                <w:rFonts w:hint="eastAsia" w:ascii="Times New Roman" w:hAnsi="Times New Roman"/>
                <w:kern w:val="0"/>
              </w:rPr>
              <w:t>1</w:t>
            </w:r>
          </w:p>
        </w:tc>
        <w:tc>
          <w:tcPr>
            <w:tcW w:w="1714" w:type="pct"/>
            <w:vAlign w:val="center"/>
          </w:tcPr>
          <w:p>
            <w:pPr>
              <w:adjustRightInd w:val="0"/>
              <w:snapToGrid w:val="0"/>
              <w:rPr>
                <w:rFonts w:ascii="Times New Roman" w:hAnsi="Times New Roman"/>
                <w:kern w:val="0"/>
              </w:rPr>
            </w:pPr>
            <w:r>
              <w:rPr>
                <w:rFonts w:hint="eastAsia" w:ascii="Times New Roman" w:hAnsi="Times New Roman"/>
                <w:kern w:val="0"/>
              </w:rPr>
              <w:t>非甲烷总烃</w:t>
            </w:r>
          </w:p>
        </w:tc>
        <w:tc>
          <w:tcPr>
            <w:tcW w:w="2425" w:type="pct"/>
            <w:vAlign w:val="center"/>
          </w:tcPr>
          <w:p>
            <w:pPr>
              <w:adjustRightInd w:val="0"/>
              <w:snapToGrid w:val="0"/>
              <w:rPr>
                <w:rFonts w:ascii="Times New Roman" w:hAnsi="Times New Roman"/>
                <w:kern w:val="0"/>
              </w:rPr>
            </w:pPr>
            <w:r>
              <w:rPr>
                <w:rFonts w:hint="eastAsia" w:ascii="Times New Roman" w:hAnsi="Times New Roman"/>
                <w:kern w:val="0"/>
              </w:rPr>
              <w:t>6.175</w:t>
            </w:r>
          </w:p>
        </w:tc>
      </w:tr>
    </w:tbl>
    <w:p>
      <w:pPr>
        <w:pStyle w:val="7"/>
        <w:ind w:firstLine="480"/>
        <w:rPr>
          <w:lang w:val="zh-CN"/>
        </w:rPr>
      </w:pPr>
      <w:r>
        <w:rPr>
          <w:rFonts w:hint="eastAsia"/>
          <w:lang w:val="zh-CN"/>
        </w:rPr>
        <w:t>4、大气环境防护距离</w:t>
      </w:r>
    </w:p>
    <w:p>
      <w:pPr>
        <w:pStyle w:val="7"/>
        <w:ind w:firstLine="480"/>
        <w:rPr>
          <w:lang w:val="zh-CN"/>
        </w:rPr>
      </w:pPr>
      <w:r>
        <w:rPr>
          <w:rFonts w:hint="eastAsia"/>
          <w:lang w:val="zh-CN"/>
        </w:rPr>
        <w:t>本次</w:t>
      </w:r>
      <w:r>
        <w:rPr>
          <w:lang w:val="zh-CN"/>
        </w:rPr>
        <w:t>评价采用《环境影响评价技术导则  大气环境》（HJ2.2-2018）推荐的</w:t>
      </w:r>
      <w:r>
        <w:rPr>
          <w:rFonts w:hint="eastAsia"/>
          <w:lang w:val="zh-CN"/>
        </w:rPr>
        <w:t>估算</w:t>
      </w:r>
      <w:r>
        <w:rPr>
          <w:lang w:val="zh-CN"/>
        </w:rPr>
        <w:t>模型</w:t>
      </w:r>
      <w:r>
        <w:rPr>
          <w:rFonts w:hint="eastAsia"/>
          <w:lang w:val="zh-CN"/>
        </w:rPr>
        <w:t>AERSCREEN计算，本项目有机废气无组织排放未出现超标现象，因此项目不需设大气环境防护距离。</w:t>
      </w:r>
    </w:p>
    <w:p>
      <w:pPr>
        <w:pStyle w:val="7"/>
        <w:ind w:firstLine="480"/>
        <w:rPr>
          <w:lang w:val="zh-CN"/>
        </w:rPr>
      </w:pPr>
      <w:r>
        <w:rPr>
          <w:rFonts w:hint="eastAsia"/>
          <w:lang w:val="zh-CN"/>
        </w:rPr>
        <w:t>5、大气环境影响评价结论</w:t>
      </w:r>
    </w:p>
    <w:p>
      <w:pPr>
        <w:pStyle w:val="7"/>
        <w:ind w:firstLine="480"/>
        <w:rPr>
          <w:lang w:val="zh-CN"/>
        </w:rPr>
      </w:pPr>
      <w:r>
        <w:rPr>
          <w:lang w:val="zh-CN"/>
        </w:rPr>
        <w:t>项目在落实评价提出的大气治理措施后，根据预测评价，各污染物</w:t>
      </w:r>
      <w:r>
        <w:rPr>
          <w:rFonts w:hint="eastAsia"/>
          <w:lang w:val="zh-CN"/>
        </w:rPr>
        <w:t>均可</w:t>
      </w:r>
      <w:r>
        <w:rPr>
          <w:lang w:val="zh-CN"/>
        </w:rPr>
        <w:t>达标排放，项目投产后对区域环境空气质量影响不大，不会降低区域大气环境功能</w:t>
      </w:r>
      <w:r>
        <w:rPr>
          <w:rFonts w:hint="eastAsia"/>
          <w:lang w:val="zh-CN"/>
        </w:rPr>
        <w:t>级</w:t>
      </w:r>
      <w:r>
        <w:rPr>
          <w:lang w:val="zh-CN"/>
        </w:rPr>
        <w:t>别。正常排放条件下各污染物最大落地浓度点所在地的环境质量均可达到相关标准要求。在落实各项目大气污染防治措施的前提下，本项目对大气环境的影响较小。</w:t>
      </w:r>
    </w:p>
    <w:p>
      <w:pPr>
        <w:pStyle w:val="7"/>
        <w:ind w:firstLine="480"/>
        <w:rPr>
          <w:lang w:val="zh-CN"/>
        </w:rPr>
      </w:pPr>
      <w:r>
        <w:rPr>
          <w:lang w:val="zh-CN"/>
        </w:rPr>
        <w:t>本项目大气环境影响自查见</w:t>
      </w:r>
      <w:r>
        <w:rPr>
          <w:rFonts w:hint="eastAsia" w:cs="Times New Roman"/>
          <w:lang w:val="zh-CN"/>
        </w:rPr>
        <w:t>表</w:t>
      </w:r>
      <w:r>
        <w:rPr>
          <w:rFonts w:hint="eastAsia" w:cs="Times New Roman"/>
          <w:lang w:val="en-US" w:eastAsia="zh-CN"/>
        </w:rPr>
        <w:t>4</w:t>
      </w:r>
      <w:r>
        <w:rPr>
          <w:rFonts w:hint="eastAsia" w:cs="Times New Roman"/>
          <w:lang w:val="zh-CN"/>
        </w:rPr>
        <w:t>.2-9</w:t>
      </w:r>
      <w:r>
        <w:rPr>
          <w:lang w:val="zh-CN"/>
        </w:rPr>
        <w:t>。</w:t>
      </w:r>
    </w:p>
    <w:p>
      <w:pPr>
        <w:pStyle w:val="36"/>
        <w:spacing w:before="156"/>
        <w:rPr>
          <w:rFonts w:eastAsia="宋体"/>
        </w:rPr>
      </w:pPr>
      <w:r>
        <w:rPr>
          <w:rFonts w:eastAsia="宋体"/>
        </w:rPr>
        <w:t>表</w:t>
      </w:r>
      <w:r>
        <w:rPr>
          <w:rFonts w:hint="eastAsia" w:eastAsia="宋体"/>
          <w:lang w:val="en-US" w:eastAsia="zh-CN"/>
        </w:rPr>
        <w:t>4</w:t>
      </w:r>
      <w:r>
        <w:rPr>
          <w:rFonts w:hint="eastAsia" w:eastAsia="宋体"/>
        </w:rPr>
        <w:t>.2-9</w:t>
      </w:r>
      <w:r>
        <w:rPr>
          <w:rFonts w:eastAsia="宋体"/>
        </w:rPr>
        <w:t xml:space="preserve">  建设项目大气环境影响评价自查表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7"/>
        <w:gridCol w:w="1433"/>
        <w:gridCol w:w="965"/>
        <w:gridCol w:w="385"/>
        <w:gridCol w:w="281"/>
        <w:gridCol w:w="586"/>
        <w:gridCol w:w="578"/>
        <w:gridCol w:w="141"/>
        <w:gridCol w:w="482"/>
        <w:gridCol w:w="487"/>
        <w:gridCol w:w="293"/>
        <w:gridCol w:w="412"/>
        <w:gridCol w:w="176"/>
        <w:gridCol w:w="842"/>
        <w:gridCol w:w="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321" w:type="pct"/>
            <w:gridSpan w:val="2"/>
            <w:tcBorders>
              <w:tl2br w:val="nil"/>
              <w:tr2bl w:val="nil"/>
            </w:tcBorders>
            <w:shd w:val="clear" w:color="auto" w:fill="auto"/>
            <w:vAlign w:val="center"/>
          </w:tcPr>
          <w:p>
            <w:pPr>
              <w:pStyle w:val="34"/>
            </w:pPr>
            <w:r>
              <w:t>工作内容</w:t>
            </w:r>
          </w:p>
        </w:tc>
        <w:tc>
          <w:tcPr>
            <w:tcW w:w="3678" w:type="pct"/>
            <w:gridSpan w:val="13"/>
            <w:tcBorders>
              <w:tl2br w:val="nil"/>
              <w:tr2bl w:val="nil"/>
            </w:tcBorders>
            <w:shd w:val="clear" w:color="auto" w:fill="auto"/>
            <w:vAlign w:val="center"/>
          </w:tcPr>
          <w:p>
            <w:pPr>
              <w:pStyle w:val="34"/>
            </w:pPr>
            <w: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trPr>
        <w:tc>
          <w:tcPr>
            <w:tcW w:w="465" w:type="pct"/>
            <w:vMerge w:val="restart"/>
            <w:tcBorders>
              <w:tl2br w:val="nil"/>
              <w:tr2bl w:val="nil"/>
            </w:tcBorders>
            <w:shd w:val="clear" w:color="auto" w:fill="auto"/>
            <w:vAlign w:val="center"/>
          </w:tcPr>
          <w:p>
            <w:pPr>
              <w:pStyle w:val="34"/>
            </w:pPr>
            <w:r>
              <w:t>评价等级与范围</w:t>
            </w:r>
          </w:p>
        </w:tc>
        <w:tc>
          <w:tcPr>
            <w:tcW w:w="856" w:type="pct"/>
            <w:tcBorders>
              <w:tl2br w:val="nil"/>
              <w:tr2bl w:val="nil"/>
            </w:tcBorders>
            <w:shd w:val="clear" w:color="auto" w:fill="auto"/>
            <w:vAlign w:val="center"/>
          </w:tcPr>
          <w:p>
            <w:pPr>
              <w:pStyle w:val="34"/>
            </w:pPr>
            <w:r>
              <w:t>评价等级</w:t>
            </w:r>
          </w:p>
        </w:tc>
        <w:tc>
          <w:tcPr>
            <w:tcW w:w="1325" w:type="pct"/>
            <w:gridSpan w:val="4"/>
            <w:tcBorders>
              <w:tl2br w:val="nil"/>
              <w:tr2bl w:val="nil"/>
            </w:tcBorders>
            <w:shd w:val="clear" w:color="auto" w:fill="auto"/>
            <w:vAlign w:val="center"/>
          </w:tcPr>
          <w:p>
            <w:pPr>
              <w:pStyle w:val="34"/>
            </w:pPr>
            <w:r>
              <w:t>一级□</w:t>
            </w:r>
          </w:p>
        </w:tc>
        <w:tc>
          <w:tcPr>
            <w:tcW w:w="1534" w:type="pct"/>
            <w:gridSpan w:val="7"/>
            <w:tcBorders>
              <w:tl2br w:val="nil"/>
              <w:tr2bl w:val="nil"/>
            </w:tcBorders>
            <w:shd w:val="clear" w:color="auto" w:fill="auto"/>
            <w:vAlign w:val="center"/>
          </w:tcPr>
          <w:p>
            <w:pPr>
              <w:pStyle w:val="34"/>
            </w:pPr>
            <w:r>
              <w:t>二级</w:t>
            </w:r>
            <w:r>
              <w:rPr/>
              <w:sym w:font="Wingdings 2" w:char="0052"/>
            </w:r>
          </w:p>
        </w:tc>
        <w:tc>
          <w:tcPr>
            <w:tcW w:w="818" w:type="pct"/>
            <w:gridSpan w:val="2"/>
            <w:tcBorders>
              <w:tl2br w:val="nil"/>
              <w:tr2bl w:val="nil"/>
            </w:tcBorders>
            <w:shd w:val="clear" w:color="auto" w:fill="auto"/>
            <w:vAlign w:val="center"/>
          </w:tcPr>
          <w:p>
            <w:pPr>
              <w:pStyle w:val="34"/>
            </w:pPr>
            <w: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评价范围</w:t>
            </w:r>
          </w:p>
        </w:tc>
        <w:tc>
          <w:tcPr>
            <w:tcW w:w="1325" w:type="pct"/>
            <w:gridSpan w:val="4"/>
            <w:tcBorders>
              <w:tl2br w:val="nil"/>
              <w:tr2bl w:val="nil"/>
            </w:tcBorders>
            <w:shd w:val="clear" w:color="auto" w:fill="auto"/>
            <w:vAlign w:val="center"/>
          </w:tcPr>
          <w:p>
            <w:pPr>
              <w:pStyle w:val="34"/>
            </w:pPr>
            <w:r>
              <w:t>边长=50km□</w:t>
            </w:r>
          </w:p>
        </w:tc>
        <w:tc>
          <w:tcPr>
            <w:tcW w:w="1534" w:type="pct"/>
            <w:gridSpan w:val="7"/>
            <w:tcBorders>
              <w:tl2br w:val="nil"/>
              <w:tr2bl w:val="nil"/>
            </w:tcBorders>
            <w:shd w:val="clear" w:color="auto" w:fill="auto"/>
            <w:vAlign w:val="center"/>
          </w:tcPr>
          <w:p>
            <w:pPr>
              <w:pStyle w:val="34"/>
            </w:pPr>
            <w:r>
              <w:t>边长5～50km□</w:t>
            </w:r>
          </w:p>
        </w:tc>
        <w:tc>
          <w:tcPr>
            <w:tcW w:w="818" w:type="pct"/>
            <w:gridSpan w:val="2"/>
            <w:tcBorders>
              <w:tl2br w:val="nil"/>
              <w:tr2bl w:val="nil"/>
            </w:tcBorders>
            <w:shd w:val="clear" w:color="auto" w:fill="auto"/>
            <w:vAlign w:val="center"/>
          </w:tcPr>
          <w:p>
            <w:pPr>
              <w:pStyle w:val="34"/>
            </w:pPr>
            <w:r>
              <w:t>边长=5 km</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restart"/>
            <w:tcBorders>
              <w:tl2br w:val="nil"/>
              <w:tr2bl w:val="nil"/>
            </w:tcBorders>
            <w:shd w:val="clear" w:color="auto" w:fill="auto"/>
            <w:vAlign w:val="center"/>
          </w:tcPr>
          <w:p>
            <w:pPr>
              <w:pStyle w:val="34"/>
            </w:pPr>
            <w:r>
              <w:t>评价因子</w:t>
            </w:r>
          </w:p>
        </w:tc>
        <w:tc>
          <w:tcPr>
            <w:tcW w:w="856" w:type="pct"/>
            <w:tcBorders>
              <w:tl2br w:val="nil"/>
              <w:tr2bl w:val="nil"/>
            </w:tcBorders>
            <w:shd w:val="clear" w:color="auto" w:fill="auto"/>
            <w:vAlign w:val="center"/>
          </w:tcPr>
          <w:p>
            <w:pPr>
              <w:pStyle w:val="34"/>
            </w:pPr>
            <w:r>
              <w:t>SO</w:t>
            </w:r>
            <w:r>
              <w:rPr>
                <w:vertAlign w:val="subscript"/>
              </w:rPr>
              <w:t xml:space="preserve">2 </w:t>
            </w:r>
            <w:r>
              <w:t>+NO</w:t>
            </w:r>
            <w:r>
              <w:rPr>
                <w:i/>
                <w:vertAlign w:val="subscript"/>
              </w:rPr>
              <w:t>x</w:t>
            </w:r>
            <w:r>
              <w:t>排放量</w:t>
            </w:r>
          </w:p>
        </w:tc>
        <w:tc>
          <w:tcPr>
            <w:tcW w:w="1325" w:type="pct"/>
            <w:gridSpan w:val="4"/>
            <w:tcBorders>
              <w:tl2br w:val="nil"/>
              <w:tr2bl w:val="nil"/>
            </w:tcBorders>
            <w:shd w:val="clear" w:color="auto" w:fill="auto"/>
            <w:vAlign w:val="center"/>
          </w:tcPr>
          <w:p>
            <w:pPr>
              <w:pStyle w:val="34"/>
            </w:pPr>
            <w:r>
              <w:t>≥ 2000t/a□</w:t>
            </w:r>
          </w:p>
        </w:tc>
        <w:tc>
          <w:tcPr>
            <w:tcW w:w="1534" w:type="pct"/>
            <w:gridSpan w:val="7"/>
            <w:tcBorders>
              <w:tl2br w:val="nil"/>
              <w:tr2bl w:val="nil"/>
            </w:tcBorders>
            <w:shd w:val="clear" w:color="auto" w:fill="auto"/>
            <w:vAlign w:val="center"/>
          </w:tcPr>
          <w:p>
            <w:pPr>
              <w:pStyle w:val="34"/>
            </w:pPr>
            <w:r>
              <w:t>500~2000t/a□</w:t>
            </w:r>
          </w:p>
        </w:tc>
        <w:tc>
          <w:tcPr>
            <w:tcW w:w="818" w:type="pct"/>
            <w:gridSpan w:val="2"/>
            <w:tcBorders>
              <w:tl2br w:val="nil"/>
              <w:tr2bl w:val="nil"/>
            </w:tcBorders>
            <w:shd w:val="clear" w:color="auto" w:fill="auto"/>
            <w:vAlign w:val="center"/>
          </w:tcPr>
          <w:p>
            <w:pPr>
              <w:pStyle w:val="34"/>
            </w:pPr>
            <w:r>
              <w:t>＜500 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评价因子</w:t>
            </w:r>
          </w:p>
        </w:tc>
        <w:tc>
          <w:tcPr>
            <w:tcW w:w="2042" w:type="pct"/>
            <w:gridSpan w:val="7"/>
            <w:tcBorders>
              <w:tl2br w:val="nil"/>
              <w:tr2bl w:val="nil"/>
            </w:tcBorders>
            <w:shd w:val="clear" w:color="auto" w:fill="auto"/>
            <w:vAlign w:val="center"/>
          </w:tcPr>
          <w:p>
            <w:pPr>
              <w:pStyle w:val="34"/>
            </w:pPr>
            <w:r>
              <w:t>基本污染物 (SO</w:t>
            </w:r>
            <w:r>
              <w:rPr>
                <w:vertAlign w:val="subscript"/>
              </w:rPr>
              <w:t>2</w:t>
            </w:r>
            <w:r>
              <w:t>、NO</w:t>
            </w:r>
            <w:r>
              <w:rPr>
                <w:vertAlign w:val="subscript"/>
              </w:rPr>
              <w:t>2</w:t>
            </w:r>
            <w:r>
              <w:t>、PM</w:t>
            </w:r>
            <w:r>
              <w:rPr>
                <w:vertAlign w:val="subscript"/>
              </w:rPr>
              <w:t>10</w:t>
            </w:r>
            <w:r>
              <w:t>、PM</w:t>
            </w:r>
            <w:r>
              <w:rPr>
                <w:vertAlign w:val="subscript"/>
              </w:rPr>
              <w:t>2.5</w:t>
            </w:r>
            <w:r>
              <w:t>、O</w:t>
            </w:r>
            <w:r>
              <w:rPr>
                <w:vertAlign w:val="subscript"/>
              </w:rPr>
              <w:t>3</w:t>
            </w:r>
            <w:r>
              <w:t>、CO )其他污染物 (NMHC)</w:t>
            </w:r>
          </w:p>
        </w:tc>
        <w:tc>
          <w:tcPr>
            <w:tcW w:w="1635" w:type="pct"/>
            <w:gridSpan w:val="6"/>
            <w:tcBorders>
              <w:tl2br w:val="nil"/>
              <w:tr2bl w:val="nil"/>
            </w:tcBorders>
            <w:shd w:val="clear" w:color="auto" w:fill="auto"/>
            <w:vAlign w:val="center"/>
          </w:tcPr>
          <w:p>
            <w:pPr>
              <w:pStyle w:val="34"/>
            </w:pPr>
            <w:r>
              <w:t>包括二次PM</w:t>
            </w:r>
            <w:r>
              <w:rPr>
                <w:vertAlign w:val="subscript"/>
              </w:rPr>
              <w:t>2.5</w:t>
            </w:r>
            <w:r>
              <w:t>□</w:t>
            </w:r>
          </w:p>
          <w:p>
            <w:pPr>
              <w:pStyle w:val="34"/>
            </w:pPr>
            <w:r>
              <w:t>不包括二次PM</w:t>
            </w:r>
            <w:r>
              <w:rPr>
                <w:vertAlign w:val="subscript"/>
              </w:rPr>
              <w:t>2.5</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tcBorders>
              <w:tl2br w:val="nil"/>
              <w:tr2bl w:val="nil"/>
            </w:tcBorders>
            <w:shd w:val="clear" w:color="auto" w:fill="auto"/>
            <w:vAlign w:val="center"/>
          </w:tcPr>
          <w:p>
            <w:pPr>
              <w:pStyle w:val="34"/>
            </w:pPr>
            <w:r>
              <w:t>评价标准</w:t>
            </w:r>
          </w:p>
        </w:tc>
        <w:tc>
          <w:tcPr>
            <w:tcW w:w="856" w:type="pct"/>
            <w:tcBorders>
              <w:tl2br w:val="nil"/>
              <w:tr2bl w:val="nil"/>
            </w:tcBorders>
            <w:shd w:val="clear" w:color="auto" w:fill="auto"/>
            <w:vAlign w:val="center"/>
          </w:tcPr>
          <w:p>
            <w:pPr>
              <w:pStyle w:val="34"/>
            </w:pPr>
            <w:r>
              <w:t>评价标准</w:t>
            </w:r>
          </w:p>
        </w:tc>
        <w:tc>
          <w:tcPr>
            <w:tcW w:w="1325" w:type="pct"/>
            <w:gridSpan w:val="4"/>
            <w:tcBorders>
              <w:tl2br w:val="nil"/>
              <w:tr2bl w:val="nil"/>
            </w:tcBorders>
            <w:shd w:val="clear" w:color="auto" w:fill="auto"/>
            <w:vAlign w:val="center"/>
          </w:tcPr>
          <w:p>
            <w:pPr>
              <w:pStyle w:val="34"/>
            </w:pPr>
            <w:r>
              <w:t>国家标准</w:t>
            </w:r>
            <w:r>
              <w:rPr/>
              <w:sym w:font="Wingdings 2" w:char="0052"/>
            </w:r>
          </w:p>
        </w:tc>
        <w:tc>
          <w:tcPr>
            <w:tcW w:w="717" w:type="pct"/>
            <w:gridSpan w:val="3"/>
            <w:tcBorders>
              <w:tl2br w:val="nil"/>
              <w:tr2bl w:val="nil"/>
            </w:tcBorders>
            <w:shd w:val="clear" w:color="auto" w:fill="auto"/>
            <w:vAlign w:val="center"/>
          </w:tcPr>
          <w:p>
            <w:pPr>
              <w:pStyle w:val="34"/>
            </w:pPr>
            <w:r>
              <w:t>地方标准□</w:t>
            </w:r>
          </w:p>
        </w:tc>
        <w:tc>
          <w:tcPr>
            <w:tcW w:w="817" w:type="pct"/>
            <w:gridSpan w:val="4"/>
            <w:tcBorders>
              <w:tl2br w:val="nil"/>
              <w:tr2bl w:val="nil"/>
            </w:tcBorders>
            <w:shd w:val="clear" w:color="auto" w:fill="auto"/>
            <w:vAlign w:val="center"/>
          </w:tcPr>
          <w:p>
            <w:pPr>
              <w:pStyle w:val="34"/>
            </w:pPr>
            <w:r>
              <w:t>附录D□</w:t>
            </w:r>
          </w:p>
        </w:tc>
        <w:tc>
          <w:tcPr>
            <w:tcW w:w="818" w:type="pct"/>
            <w:gridSpan w:val="2"/>
            <w:tcBorders>
              <w:tl2br w:val="nil"/>
              <w:tr2bl w:val="nil"/>
            </w:tcBorders>
            <w:shd w:val="clear" w:color="auto" w:fill="auto"/>
            <w:vAlign w:val="center"/>
          </w:tcPr>
          <w:p>
            <w:pPr>
              <w:pStyle w:val="34"/>
            </w:pPr>
            <w:r>
              <w:t>其他标准</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restart"/>
            <w:tcBorders>
              <w:tl2br w:val="nil"/>
              <w:tr2bl w:val="nil"/>
            </w:tcBorders>
            <w:shd w:val="clear" w:color="auto" w:fill="auto"/>
            <w:vAlign w:val="center"/>
          </w:tcPr>
          <w:p>
            <w:pPr>
              <w:pStyle w:val="34"/>
            </w:pPr>
            <w:r>
              <w:t>现状评价</w:t>
            </w:r>
          </w:p>
        </w:tc>
        <w:tc>
          <w:tcPr>
            <w:tcW w:w="856" w:type="pct"/>
            <w:tcBorders>
              <w:tl2br w:val="nil"/>
              <w:tr2bl w:val="nil"/>
            </w:tcBorders>
            <w:shd w:val="clear" w:color="auto" w:fill="auto"/>
            <w:vAlign w:val="center"/>
          </w:tcPr>
          <w:p>
            <w:pPr>
              <w:pStyle w:val="34"/>
            </w:pPr>
            <w:r>
              <w:t>环境功能区</w:t>
            </w:r>
          </w:p>
        </w:tc>
        <w:tc>
          <w:tcPr>
            <w:tcW w:w="1325" w:type="pct"/>
            <w:gridSpan w:val="4"/>
            <w:tcBorders>
              <w:tl2br w:val="nil"/>
              <w:tr2bl w:val="nil"/>
            </w:tcBorders>
            <w:shd w:val="clear" w:color="auto" w:fill="auto"/>
            <w:vAlign w:val="center"/>
          </w:tcPr>
          <w:p>
            <w:pPr>
              <w:pStyle w:val="34"/>
            </w:pPr>
            <w:r>
              <w:t>一类区□</w:t>
            </w:r>
          </w:p>
        </w:tc>
        <w:tc>
          <w:tcPr>
            <w:tcW w:w="1534" w:type="pct"/>
            <w:gridSpan w:val="7"/>
            <w:tcBorders>
              <w:tl2br w:val="nil"/>
              <w:tr2bl w:val="nil"/>
            </w:tcBorders>
            <w:shd w:val="clear" w:color="auto" w:fill="auto"/>
            <w:vAlign w:val="center"/>
          </w:tcPr>
          <w:p>
            <w:pPr>
              <w:pStyle w:val="34"/>
            </w:pPr>
            <w:r>
              <w:t>二类区</w:t>
            </w:r>
            <w:r>
              <w:rPr/>
              <w:sym w:font="Wingdings 2" w:char="0052"/>
            </w:r>
          </w:p>
        </w:tc>
        <w:tc>
          <w:tcPr>
            <w:tcW w:w="818" w:type="pct"/>
            <w:gridSpan w:val="2"/>
            <w:tcBorders>
              <w:tl2br w:val="nil"/>
              <w:tr2bl w:val="nil"/>
            </w:tcBorders>
            <w:shd w:val="clear" w:color="auto" w:fill="auto"/>
            <w:vAlign w:val="center"/>
          </w:tcPr>
          <w:p>
            <w:pPr>
              <w:pStyle w:val="34"/>
            </w:pPr>
            <w: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评价基准年</w:t>
            </w:r>
          </w:p>
        </w:tc>
        <w:tc>
          <w:tcPr>
            <w:tcW w:w="3678" w:type="pct"/>
            <w:gridSpan w:val="13"/>
            <w:tcBorders>
              <w:tl2br w:val="nil"/>
              <w:tr2bl w:val="nil"/>
            </w:tcBorders>
            <w:shd w:val="clear" w:color="auto" w:fill="auto"/>
            <w:vAlign w:val="center"/>
          </w:tcPr>
          <w:p>
            <w:pPr>
              <w:pStyle w:val="34"/>
            </w:pPr>
            <w:r>
              <w:rPr>
                <w:rFonts w:hint="eastAsia"/>
              </w:rPr>
              <w:t>塔城地区2023年空气质量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环境空气质量</w:t>
            </w:r>
          </w:p>
          <w:p>
            <w:pPr>
              <w:pStyle w:val="34"/>
            </w:pPr>
            <w:r>
              <w:t>现状调查数据来源</w:t>
            </w:r>
          </w:p>
        </w:tc>
        <w:tc>
          <w:tcPr>
            <w:tcW w:w="1325" w:type="pct"/>
            <w:gridSpan w:val="4"/>
            <w:tcBorders>
              <w:tl2br w:val="nil"/>
              <w:tr2bl w:val="nil"/>
            </w:tcBorders>
            <w:shd w:val="clear" w:color="auto" w:fill="auto"/>
            <w:vAlign w:val="center"/>
          </w:tcPr>
          <w:p>
            <w:pPr>
              <w:pStyle w:val="34"/>
            </w:pPr>
            <w:r>
              <w:t>长期例行监测数据□</w:t>
            </w:r>
          </w:p>
        </w:tc>
        <w:tc>
          <w:tcPr>
            <w:tcW w:w="1534" w:type="pct"/>
            <w:gridSpan w:val="7"/>
            <w:tcBorders>
              <w:tl2br w:val="nil"/>
              <w:tr2bl w:val="nil"/>
            </w:tcBorders>
            <w:shd w:val="clear" w:color="auto" w:fill="auto"/>
            <w:vAlign w:val="center"/>
          </w:tcPr>
          <w:p>
            <w:pPr>
              <w:pStyle w:val="34"/>
            </w:pPr>
            <w:r>
              <w:t>主管部门发布的数据</w:t>
            </w:r>
            <w:r>
              <w:rPr/>
              <w:sym w:font="Wingdings 2" w:char="0052"/>
            </w:r>
          </w:p>
        </w:tc>
        <w:tc>
          <w:tcPr>
            <w:tcW w:w="818" w:type="pct"/>
            <w:gridSpan w:val="2"/>
            <w:tcBorders>
              <w:tl2br w:val="nil"/>
              <w:tr2bl w:val="nil"/>
            </w:tcBorders>
            <w:shd w:val="clear" w:color="auto" w:fill="auto"/>
            <w:vAlign w:val="center"/>
          </w:tcPr>
          <w:p>
            <w:pPr>
              <w:pStyle w:val="34"/>
            </w:pPr>
            <w:r>
              <w:t>现状补充监测</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现状评价</w:t>
            </w:r>
          </w:p>
        </w:tc>
        <w:tc>
          <w:tcPr>
            <w:tcW w:w="2042" w:type="pct"/>
            <w:gridSpan w:val="7"/>
            <w:tcBorders>
              <w:tl2br w:val="nil"/>
              <w:tr2bl w:val="nil"/>
            </w:tcBorders>
            <w:shd w:val="clear" w:color="auto" w:fill="auto"/>
            <w:vAlign w:val="center"/>
          </w:tcPr>
          <w:p>
            <w:pPr>
              <w:pStyle w:val="34"/>
            </w:pPr>
            <w:r>
              <w:t>达标区</w:t>
            </w:r>
            <w:r>
              <w:rPr/>
              <w:sym w:font="Wingdings 2" w:char="0052"/>
            </w:r>
          </w:p>
        </w:tc>
        <w:tc>
          <w:tcPr>
            <w:tcW w:w="1635" w:type="pct"/>
            <w:gridSpan w:val="6"/>
            <w:tcBorders>
              <w:tl2br w:val="nil"/>
              <w:tr2bl w:val="nil"/>
            </w:tcBorders>
            <w:shd w:val="clear" w:color="auto" w:fill="auto"/>
            <w:vAlign w:val="center"/>
          </w:tcPr>
          <w:p>
            <w:pPr>
              <w:pStyle w:val="34"/>
            </w:pPr>
            <w: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tcBorders>
              <w:tl2br w:val="nil"/>
              <w:tr2bl w:val="nil"/>
            </w:tcBorders>
            <w:shd w:val="clear" w:color="auto" w:fill="auto"/>
            <w:vAlign w:val="center"/>
          </w:tcPr>
          <w:p>
            <w:pPr>
              <w:pStyle w:val="34"/>
            </w:pPr>
            <w:r>
              <w:t>污染源</w:t>
            </w:r>
          </w:p>
          <w:p>
            <w:pPr>
              <w:pStyle w:val="34"/>
            </w:pPr>
            <w:r>
              <w:t>调查</w:t>
            </w:r>
          </w:p>
        </w:tc>
        <w:tc>
          <w:tcPr>
            <w:tcW w:w="856" w:type="pct"/>
            <w:tcBorders>
              <w:tl2br w:val="nil"/>
              <w:tr2bl w:val="nil"/>
            </w:tcBorders>
            <w:shd w:val="clear" w:color="auto" w:fill="auto"/>
            <w:vAlign w:val="center"/>
          </w:tcPr>
          <w:p>
            <w:pPr>
              <w:pStyle w:val="34"/>
            </w:pPr>
            <w:r>
              <w:t>调查内容</w:t>
            </w:r>
          </w:p>
        </w:tc>
        <w:tc>
          <w:tcPr>
            <w:tcW w:w="1325" w:type="pct"/>
            <w:gridSpan w:val="4"/>
            <w:tcBorders>
              <w:tl2br w:val="nil"/>
              <w:tr2bl w:val="nil"/>
            </w:tcBorders>
            <w:shd w:val="clear" w:color="auto" w:fill="auto"/>
            <w:vAlign w:val="center"/>
          </w:tcPr>
          <w:p>
            <w:pPr>
              <w:pStyle w:val="34"/>
            </w:pPr>
            <w:r>
              <w:t xml:space="preserve">本项目正常排放源 </w:t>
            </w:r>
            <w:r>
              <w:rPr/>
              <w:sym w:font="Wingdings 2" w:char="0052"/>
            </w:r>
          </w:p>
          <w:p>
            <w:pPr>
              <w:pStyle w:val="34"/>
            </w:pPr>
            <w:r>
              <w:t xml:space="preserve">本项目非正常排放源 </w:t>
            </w:r>
            <w:r>
              <w:rPr/>
              <w:sym w:font="Wingdings 2" w:char="0052"/>
            </w:r>
          </w:p>
          <w:p>
            <w:pPr>
              <w:pStyle w:val="34"/>
            </w:pPr>
            <w:r>
              <w:t>现有污染源 □</w:t>
            </w:r>
          </w:p>
        </w:tc>
        <w:tc>
          <w:tcPr>
            <w:tcW w:w="717" w:type="pct"/>
            <w:gridSpan w:val="3"/>
            <w:tcBorders>
              <w:tl2br w:val="nil"/>
              <w:tr2bl w:val="nil"/>
            </w:tcBorders>
            <w:shd w:val="clear" w:color="auto" w:fill="auto"/>
            <w:vAlign w:val="center"/>
          </w:tcPr>
          <w:p>
            <w:pPr>
              <w:pStyle w:val="34"/>
            </w:pPr>
            <w:r>
              <w:t>拟替代的污染源□</w:t>
            </w:r>
          </w:p>
        </w:tc>
        <w:tc>
          <w:tcPr>
            <w:tcW w:w="817" w:type="pct"/>
            <w:gridSpan w:val="4"/>
            <w:tcBorders>
              <w:tl2br w:val="nil"/>
              <w:tr2bl w:val="nil"/>
            </w:tcBorders>
            <w:shd w:val="clear" w:color="auto" w:fill="auto"/>
            <w:vAlign w:val="center"/>
          </w:tcPr>
          <w:p>
            <w:pPr>
              <w:pStyle w:val="34"/>
            </w:pPr>
            <w:r>
              <w:t>其他在建、拟建项目污染源□</w:t>
            </w:r>
          </w:p>
        </w:tc>
        <w:tc>
          <w:tcPr>
            <w:tcW w:w="818" w:type="pct"/>
            <w:gridSpan w:val="2"/>
            <w:tcBorders>
              <w:tl2br w:val="nil"/>
              <w:tr2bl w:val="nil"/>
            </w:tcBorders>
            <w:shd w:val="clear" w:color="auto" w:fill="auto"/>
            <w:vAlign w:val="center"/>
          </w:tcPr>
          <w:p>
            <w:pPr>
              <w:pStyle w:val="34"/>
            </w:pPr>
            <w:r>
              <w:t>区域污染源□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restart"/>
            <w:tcBorders>
              <w:tl2br w:val="nil"/>
              <w:tr2bl w:val="nil"/>
            </w:tcBorders>
            <w:shd w:val="clear" w:color="auto" w:fill="auto"/>
            <w:vAlign w:val="center"/>
          </w:tcPr>
          <w:p>
            <w:pPr>
              <w:pStyle w:val="34"/>
            </w:pPr>
            <w:r>
              <w:t>大气环境影响预测与</w:t>
            </w:r>
          </w:p>
          <w:p>
            <w:pPr>
              <w:pStyle w:val="34"/>
            </w:pPr>
            <w:r>
              <w:t>评价</w:t>
            </w:r>
          </w:p>
        </w:tc>
        <w:tc>
          <w:tcPr>
            <w:tcW w:w="856" w:type="pct"/>
            <w:tcBorders>
              <w:tl2br w:val="nil"/>
              <w:tr2bl w:val="nil"/>
            </w:tcBorders>
            <w:shd w:val="clear" w:color="auto" w:fill="auto"/>
            <w:vAlign w:val="center"/>
          </w:tcPr>
          <w:p>
            <w:pPr>
              <w:pStyle w:val="34"/>
            </w:pPr>
            <w:r>
              <w:t>预测模型</w:t>
            </w:r>
          </w:p>
        </w:tc>
        <w:tc>
          <w:tcPr>
            <w:tcW w:w="577" w:type="pct"/>
            <w:tcBorders>
              <w:tl2br w:val="nil"/>
              <w:tr2bl w:val="nil"/>
            </w:tcBorders>
            <w:shd w:val="clear" w:color="auto" w:fill="auto"/>
            <w:vAlign w:val="center"/>
          </w:tcPr>
          <w:p>
            <w:pPr>
              <w:pStyle w:val="34"/>
            </w:pPr>
            <w:r>
              <w:t>AERMOD</w:t>
            </w:r>
          </w:p>
          <w:p>
            <w:pPr>
              <w:pStyle w:val="34"/>
            </w:pPr>
            <w:r>
              <w:t>□</w:t>
            </w:r>
          </w:p>
        </w:tc>
        <w:tc>
          <w:tcPr>
            <w:tcW w:w="397" w:type="pct"/>
            <w:gridSpan w:val="2"/>
            <w:tcBorders>
              <w:tl2br w:val="nil"/>
              <w:tr2bl w:val="nil"/>
            </w:tcBorders>
            <w:shd w:val="clear" w:color="auto" w:fill="auto"/>
            <w:vAlign w:val="center"/>
          </w:tcPr>
          <w:p>
            <w:pPr>
              <w:pStyle w:val="34"/>
            </w:pPr>
            <w:r>
              <w:t>ADMS</w:t>
            </w:r>
          </w:p>
          <w:p>
            <w:pPr>
              <w:pStyle w:val="34"/>
            </w:pPr>
            <w:r>
              <w:t>□</w:t>
            </w:r>
          </w:p>
        </w:tc>
        <w:tc>
          <w:tcPr>
            <w:tcW w:w="779" w:type="pct"/>
            <w:gridSpan w:val="3"/>
            <w:tcBorders>
              <w:tl2br w:val="nil"/>
              <w:tr2bl w:val="nil"/>
            </w:tcBorders>
            <w:shd w:val="clear" w:color="auto" w:fill="auto"/>
            <w:vAlign w:val="center"/>
          </w:tcPr>
          <w:p>
            <w:pPr>
              <w:pStyle w:val="34"/>
            </w:pPr>
            <w:r>
              <w:t>AUSTAL2000</w:t>
            </w:r>
          </w:p>
          <w:p>
            <w:pPr>
              <w:pStyle w:val="34"/>
            </w:pPr>
            <w:r>
              <w:t>□</w:t>
            </w:r>
          </w:p>
        </w:tc>
        <w:tc>
          <w:tcPr>
            <w:tcW w:w="754" w:type="pct"/>
            <w:gridSpan w:val="3"/>
            <w:tcBorders>
              <w:tl2br w:val="nil"/>
              <w:tr2bl w:val="nil"/>
            </w:tcBorders>
            <w:shd w:val="clear" w:color="auto" w:fill="auto"/>
            <w:vAlign w:val="center"/>
          </w:tcPr>
          <w:p>
            <w:pPr>
              <w:pStyle w:val="34"/>
            </w:pPr>
            <w:r>
              <w:t>EDMS/AEDT</w:t>
            </w:r>
          </w:p>
          <w:p>
            <w:pPr>
              <w:pStyle w:val="34"/>
            </w:pPr>
            <w:r>
              <w:t>□</w:t>
            </w:r>
          </w:p>
        </w:tc>
        <w:tc>
          <w:tcPr>
            <w:tcW w:w="351" w:type="pct"/>
            <w:gridSpan w:val="2"/>
            <w:tcBorders>
              <w:tl2br w:val="nil"/>
              <w:tr2bl w:val="nil"/>
            </w:tcBorders>
            <w:shd w:val="clear" w:color="auto" w:fill="auto"/>
            <w:vAlign w:val="center"/>
          </w:tcPr>
          <w:p>
            <w:pPr>
              <w:pStyle w:val="34"/>
            </w:pPr>
            <w:r>
              <w:t>CALPUFF</w:t>
            </w:r>
          </w:p>
          <w:p>
            <w:pPr>
              <w:pStyle w:val="34"/>
            </w:pPr>
            <w:r>
              <w:t>□</w:t>
            </w:r>
          </w:p>
        </w:tc>
        <w:tc>
          <w:tcPr>
            <w:tcW w:w="503" w:type="pct"/>
            <w:tcBorders>
              <w:tl2br w:val="nil"/>
              <w:tr2bl w:val="nil"/>
            </w:tcBorders>
            <w:shd w:val="clear" w:color="auto" w:fill="auto"/>
            <w:vAlign w:val="center"/>
          </w:tcPr>
          <w:p>
            <w:pPr>
              <w:pStyle w:val="34"/>
              <w:rPr>
                <w:szCs w:val="22"/>
              </w:rPr>
            </w:pPr>
            <w:r>
              <w:t>网格模型</w:t>
            </w:r>
            <w:r>
              <w:rPr>
                <w:szCs w:val="22"/>
              </w:rPr>
              <w:t>□</w:t>
            </w:r>
          </w:p>
        </w:tc>
        <w:tc>
          <w:tcPr>
            <w:tcW w:w="314" w:type="pct"/>
            <w:tcBorders>
              <w:tl2br w:val="nil"/>
              <w:tr2bl w:val="nil"/>
            </w:tcBorders>
            <w:shd w:val="clear" w:color="auto" w:fill="auto"/>
            <w:vAlign w:val="center"/>
          </w:tcPr>
          <w:p>
            <w:pPr>
              <w:pStyle w:val="34"/>
            </w:pPr>
            <w:r>
              <w:t>其他</w:t>
            </w:r>
          </w:p>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预测范围</w:t>
            </w:r>
          </w:p>
        </w:tc>
        <w:tc>
          <w:tcPr>
            <w:tcW w:w="975" w:type="pct"/>
            <w:gridSpan w:val="3"/>
            <w:tcBorders>
              <w:tl2br w:val="nil"/>
              <w:tr2bl w:val="nil"/>
            </w:tcBorders>
            <w:shd w:val="clear" w:color="auto" w:fill="auto"/>
            <w:vAlign w:val="center"/>
          </w:tcPr>
          <w:p>
            <w:pPr>
              <w:pStyle w:val="34"/>
              <w:rPr>
                <w:szCs w:val="18"/>
              </w:rPr>
            </w:pPr>
            <w:r>
              <w:t>边长≥ 50km□</w:t>
            </w:r>
          </w:p>
        </w:tc>
        <w:tc>
          <w:tcPr>
            <w:tcW w:w="1884" w:type="pct"/>
            <w:gridSpan w:val="8"/>
            <w:tcBorders>
              <w:tl2br w:val="nil"/>
              <w:tr2bl w:val="nil"/>
            </w:tcBorders>
            <w:shd w:val="clear" w:color="auto" w:fill="auto"/>
            <w:vAlign w:val="center"/>
          </w:tcPr>
          <w:p>
            <w:pPr>
              <w:pStyle w:val="34"/>
              <w:rPr>
                <w:szCs w:val="18"/>
              </w:rPr>
            </w:pPr>
            <w:r>
              <w:t>边长5～50km□</w:t>
            </w:r>
          </w:p>
        </w:tc>
        <w:tc>
          <w:tcPr>
            <w:tcW w:w="818" w:type="pct"/>
            <w:gridSpan w:val="2"/>
            <w:tcBorders>
              <w:tl2br w:val="nil"/>
              <w:tr2bl w:val="nil"/>
            </w:tcBorders>
            <w:shd w:val="clear" w:color="auto" w:fill="auto"/>
            <w:vAlign w:val="center"/>
          </w:tcPr>
          <w:p>
            <w:pPr>
              <w:pStyle w:val="34"/>
              <w:rPr>
                <w:spacing w:val="-10"/>
              </w:rPr>
            </w:pPr>
            <w:r>
              <w:t>边长 = 5 km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预测因子</w:t>
            </w:r>
          </w:p>
        </w:tc>
        <w:tc>
          <w:tcPr>
            <w:tcW w:w="2042" w:type="pct"/>
            <w:gridSpan w:val="7"/>
            <w:tcBorders>
              <w:tl2br w:val="nil"/>
              <w:tr2bl w:val="nil"/>
            </w:tcBorders>
            <w:shd w:val="clear" w:color="auto" w:fill="auto"/>
            <w:vAlign w:val="center"/>
          </w:tcPr>
          <w:p>
            <w:pPr>
              <w:pStyle w:val="34"/>
            </w:pPr>
            <w:r>
              <w:t>预测因子(NMHC)</w:t>
            </w:r>
          </w:p>
        </w:tc>
        <w:tc>
          <w:tcPr>
            <w:tcW w:w="1635" w:type="pct"/>
            <w:gridSpan w:val="6"/>
            <w:tcBorders>
              <w:tl2br w:val="nil"/>
              <w:tr2bl w:val="nil"/>
            </w:tcBorders>
            <w:shd w:val="clear" w:color="auto" w:fill="auto"/>
            <w:vAlign w:val="center"/>
          </w:tcPr>
          <w:p>
            <w:pPr>
              <w:pStyle w:val="34"/>
            </w:pPr>
            <w:r>
              <w:t>包括二次PM</w:t>
            </w:r>
            <w:r>
              <w:rPr>
                <w:vertAlign w:val="subscript"/>
              </w:rPr>
              <w:t>2.5</w:t>
            </w:r>
            <w:r>
              <w:t xml:space="preserve"> □</w:t>
            </w:r>
          </w:p>
          <w:p>
            <w:pPr>
              <w:pStyle w:val="34"/>
            </w:pPr>
            <w:r>
              <w:t>不包括二次PM</w:t>
            </w:r>
            <w:r>
              <w:rPr>
                <w:vertAlign w:val="subscript"/>
              </w:rPr>
              <w:t>2.5</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正常排放短期浓度贡献值</w:t>
            </w:r>
          </w:p>
        </w:tc>
        <w:tc>
          <w:tcPr>
            <w:tcW w:w="2042" w:type="pct"/>
            <w:gridSpan w:val="7"/>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33"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3966&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A93966&quot; wsp:rsidP=&quot;00A9396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rPr>
                <w:position w:val="-12"/>
              </w:rPr>
              <w:pict>
                <v:shape id="_x0000_i1034"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3966&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A93966&quot; wsp:rsidP=&quot;00A9396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最大占标率≤100%□</w:t>
            </w:r>
          </w:p>
        </w:tc>
        <w:tc>
          <w:tcPr>
            <w:tcW w:w="1635" w:type="pct"/>
            <w:gridSpan w:val="6"/>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35"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27B&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8D427B&quot; wsp:rsidP=&quot;008D427B&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rPr>
                <w:position w:val="-12"/>
              </w:rPr>
              <w:pict>
                <v:shape id="_x0000_i1036"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27B&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8D427B&quot; wsp:rsidP=&quot;008D427B&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最大占标率＞100%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vMerge w:val="restart"/>
            <w:tcBorders>
              <w:tl2br w:val="nil"/>
              <w:tr2bl w:val="nil"/>
            </w:tcBorders>
            <w:shd w:val="clear" w:color="auto" w:fill="auto"/>
            <w:vAlign w:val="center"/>
          </w:tcPr>
          <w:p>
            <w:pPr>
              <w:pStyle w:val="34"/>
            </w:pPr>
            <w:r>
              <w:t>正常排放年均浓度贡献值</w:t>
            </w:r>
          </w:p>
        </w:tc>
        <w:tc>
          <w:tcPr>
            <w:tcW w:w="577" w:type="pct"/>
            <w:tcBorders>
              <w:tl2br w:val="nil"/>
              <w:tr2bl w:val="nil"/>
            </w:tcBorders>
            <w:shd w:val="clear" w:color="auto" w:fill="auto"/>
            <w:vAlign w:val="center"/>
          </w:tcPr>
          <w:p>
            <w:pPr>
              <w:pStyle w:val="34"/>
            </w:pPr>
            <w:r>
              <w:t>一类区</w:t>
            </w:r>
          </w:p>
        </w:tc>
        <w:tc>
          <w:tcPr>
            <w:tcW w:w="1465" w:type="pct"/>
            <w:gridSpan w:val="6"/>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37"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5FB8&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415FB8&quot; wsp:rsidP=&quot;00415FB8&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rPr>
                <w:position w:val="-12"/>
              </w:rPr>
              <w:pict>
                <v:shape id="_x0000_i1038"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5FB8&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415FB8&quot; wsp:rsidP=&quot;00415FB8&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最大占标率≤10%□</w:t>
            </w:r>
          </w:p>
        </w:tc>
        <w:tc>
          <w:tcPr>
            <w:tcW w:w="1635" w:type="pct"/>
            <w:gridSpan w:val="6"/>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39"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2CC&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B412CC&quot; wsp:rsidP=&quot;00B412C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rPr>
                <w:position w:val="-12"/>
              </w:rPr>
              <w:pict>
                <v:shape id="_x0000_i1040"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2CC&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B412CC&quot; wsp:rsidP=&quot;00B412C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fldChar w:fldCharType="end"/>
            </w:r>
            <w:r>
              <w:t>最大标率＞10%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vMerge w:val="continue"/>
            <w:tcBorders>
              <w:tl2br w:val="nil"/>
              <w:tr2bl w:val="nil"/>
            </w:tcBorders>
            <w:shd w:val="clear" w:color="auto" w:fill="auto"/>
            <w:vAlign w:val="center"/>
          </w:tcPr>
          <w:p>
            <w:pPr>
              <w:pStyle w:val="34"/>
            </w:pPr>
          </w:p>
        </w:tc>
        <w:tc>
          <w:tcPr>
            <w:tcW w:w="577" w:type="pct"/>
            <w:tcBorders>
              <w:tl2br w:val="nil"/>
              <w:tr2bl w:val="nil"/>
            </w:tcBorders>
            <w:shd w:val="clear" w:color="auto" w:fill="auto"/>
            <w:vAlign w:val="center"/>
          </w:tcPr>
          <w:p>
            <w:pPr>
              <w:pStyle w:val="34"/>
            </w:pPr>
            <w:r>
              <w:t>二类区</w:t>
            </w:r>
          </w:p>
        </w:tc>
        <w:tc>
          <w:tcPr>
            <w:tcW w:w="1465" w:type="pct"/>
            <w:gridSpan w:val="6"/>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41"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5AB&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C405AB&quot; wsp:rsidP=&quot;00C405AB&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rPr>
                <w:position w:val="-12"/>
              </w:rPr>
              <w:pict>
                <v:shape id="_x0000_i1042"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5AB&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C405AB&quot; wsp:rsidP=&quot;00C405AB&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最大占标率≤30%□</w:t>
            </w:r>
          </w:p>
        </w:tc>
        <w:tc>
          <w:tcPr>
            <w:tcW w:w="1635" w:type="pct"/>
            <w:gridSpan w:val="6"/>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43"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5B47&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735B47&quot; wsp:rsidP=&quot;00735B47&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rPr>
                <w:position w:val="-12"/>
              </w:rPr>
              <w:pict>
                <v:shape id="_x0000_i1044"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5B47&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735B47&quot; wsp:rsidP=&quot;00735B47&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鏈xxwx?wxwx圭?&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渪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3" chromakey="#FFFFFF" o:title=""/>
                  <o:lock v:ext="edit" aspectratio="t"/>
                  <w10:wrap type="none"/>
                  <w10:anchorlock/>
                </v:shape>
              </w:pict>
            </w:r>
            <w:r>
              <w:fldChar w:fldCharType="end"/>
            </w:r>
            <w:r>
              <w:t>最大标率＞30%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非正常排放1h浓度贡献值</w:t>
            </w:r>
          </w:p>
        </w:tc>
        <w:tc>
          <w:tcPr>
            <w:tcW w:w="807" w:type="pct"/>
            <w:gridSpan w:val="2"/>
            <w:tcBorders>
              <w:tl2br w:val="nil"/>
              <w:tr2bl w:val="nil"/>
            </w:tcBorders>
            <w:shd w:val="clear" w:color="auto" w:fill="auto"/>
            <w:vAlign w:val="center"/>
          </w:tcPr>
          <w:p>
            <w:pPr>
              <w:pStyle w:val="34"/>
            </w:pPr>
            <w:r>
              <w:t>非正常持续时长（/）h</w:t>
            </w:r>
          </w:p>
        </w:tc>
        <w:tc>
          <w:tcPr>
            <w:tcW w:w="1526" w:type="pct"/>
            <w:gridSpan w:val="6"/>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45"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279&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484279&quot; wsp:rsidP=&quot;00484279&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闈xx炴wx?wxwxｅ?&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漻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4" chromakey="#FFFFFF" o:title=""/>
                  <o:lock v:ext="edit" aspectratio="t"/>
                  <w10:wrap type="none"/>
                  <w10:anchorlock/>
                </v:shape>
              </w:pict>
            </w:r>
            <w:r>
              <w:instrText xml:space="preserve"> </w:instrText>
            </w:r>
            <w:r>
              <w:fldChar w:fldCharType="separate"/>
            </w:r>
            <w:r>
              <w:rPr>
                <w:position w:val="-12"/>
              </w:rPr>
              <w:pict>
                <v:shape id="_x0000_i1046"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279&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484279&quot; wsp:rsidP=&quot;00484279&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闈xx炴wx?wxwxｅ?&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漻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4" chromakey="#FFFFFF" o:title=""/>
                  <o:lock v:ext="edit" aspectratio="t"/>
                  <w10:wrap type="none"/>
                  <w10:anchorlock/>
                </v:shape>
              </w:pict>
            </w:r>
            <w:r>
              <w:fldChar w:fldCharType="end"/>
            </w:r>
            <w:r>
              <w:t xml:space="preserve">占标率≤100%□ </w:t>
            </w:r>
          </w:p>
        </w:tc>
        <w:tc>
          <w:tcPr>
            <w:tcW w:w="1345" w:type="pct"/>
            <w:gridSpan w:val="5"/>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47"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6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4436E9&quot; wsp:rsidP=&quot;004436E9&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闈xx炴wx?wxwxｅ?&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漻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4" chromakey="#FFFFFF" o:title=""/>
                  <o:lock v:ext="edit" aspectratio="t"/>
                  <w10:wrap type="none"/>
                  <w10:anchorlock/>
                </v:shape>
              </w:pict>
            </w:r>
            <w:r>
              <w:instrText xml:space="preserve"> </w:instrText>
            </w:r>
            <w:r>
              <w:fldChar w:fldCharType="separate"/>
            </w:r>
            <w:r>
              <w:rPr>
                <w:position w:val="-12"/>
              </w:rPr>
              <w:pict>
                <v:shape id="_x0000_i1048" o:spt="75" type="#_x0000_t75" style="height:14.25pt;width:2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6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4436E9&quot; wsp:rsidP=&quot;004436E9&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闈xx炴wx?wxwxｅ?&lt;wxw&lt;wx&lt;wxx?/x&lt;wxmw&lt;x&lt;wxwx:x&lt;wxt&gt;wx&lt;wx&lt;wxx&lt;wx&lt;/mx&lt;wxw&lt;wx&lt;wxx:rx&lt;wx&gt;w&lt;x&lt;wxwx&lt;x&lt;wx/mwx&lt;wx&lt;wxx&lt;wx:su&lt;wxx&lt;w&lt;wxxw&lt;&lt;wxwx&lt;&lt;wxwxx&lt;wxb&gt;x&lt;wx&lt;wx&lt;wx&lt;w&lt;&lt;wxx&lt;w&lt;wxxwx&lt;wx/x&lt;&lt;wxwxm&lt;wx:wx&lt;wx&lt;wx&lt;wx&lt;wx&lt;wxx&lt;w&lt;wxxsS&lt;wxux&lt;&lt;wxwxw&lt;wx&lt;wx&lt;wx&lt;wx&lt;wxxb&gt;&lt;wxx&lt;w&lt;wxx&lt;w&lt;wx&lt;x&lt;&lt;wxwxw&lt;wxx/x&lt;wx&lt;wx&lt;wxm:w&lt;wxx&lt;w&lt;wxx&lt;w&lt;wxxx&lt;&lt;wxwxo&lt;wxMax&lt;wx&lt;wx&lt;wxw&lt;w&lt;wxx&lt;w&lt;wxxxt&lt;wxhx&lt;&lt;wxwx&gt;:vaw&lt;xl=&quot;&lt;wx000wx&lt;000x&lt;w&quot;/&gt;x/m&lt;/wwx&lt;:rPwx&lt;r&gt;&lt;wxxm:t&lt;wx:闈xoMxx&lt;wxxwx&lt;wxx&lt;wxxxatx&lt;xwxhw&lt;xx&lt;wxwxPxx&lt;wxarxwx&lt;wx&lt;xwxx&lt;wxxa&gt;&lt;x&lt;wxxw&lt;wx&lt;xwxx/wxx&lt;wx:w&lt;xx&lt;wxwxxpx&lt;wx&gt;x&lt;wx&lt;wxx&lt;wxx&lt;wxxw:sx&lt;xwxw&lt;wxx&lt;wxxecxx&lt;wxtwx&lt;x&lt;wxwxxPx&lt;wxxr wx&lt;wxx&lt;wxx&lt;xwxwspxx&lt;wxw&lt;wxx&lt;wxx:xrx&lt;wxsxw&lt;x&lt;wxxwxix&lt;wxxdRwx&lt;xwwx&lt;wxxxm&lt;wx=&quot;0&lt;ax&lt;wxw&lt;&lt;&quot;wx&lt;wxxx000xx&lt;wx00w&lt;x&lt;w&gt;xwx0x&lt;wwx00wxP&lt;wx&lt;wx&lt;x&lt;wx0&quot;t&gt;x&lt;wxw&lt;wx&lt;wxx&lt;wx&lt;wx:w&lt;x:vawxpal=&quot;gSw&quot;000&lt;wx0000z w0&quot;/&gt;w&lt;w&gt;&lt;/wx:ww:rP=w&lt;Pr&gt;&lt;wx&quot;&lt;m:t12w&lt;&gt;?漻wxx2x4w0wxw&lt;xxwxx&quot; wxw&lt;xswx:xh=w&lt;wxwxx&quot;15wc&lt;xxwx840&lt;xw&lt;xwx&quot;/xP&gt;w&lt;xwxx&lt;ww:w&lt;xxwxxpgMwx&lt;xwpxawrx w&lt;xwmwxxw:tw&lt;&lt;rxxwxo&lt;p=w&lt;x&lt;xxwx&quot;14aixw&lt;xwx4&quot;&lt;0w&quot;w&lt;xwx0x xw:w0&lt;0xwx0rxig&gt;w&lt;xwwwxhwt=w&lt;&lt;x0wPx&quot;&lt;18w&lt;&lt;&lt;x&lt;wx00&quot;wt:0&lt;xwx wl&lt;:ww&lt;xw0xxboxtw0x&lt;xwxt&gt;&quot;vomw&lt;xw&lt;x=w=&quot;1w:&lt;x0wwx4r40w0&lt;x&lt;mwx&quot; /ww&gt;&lt;pxwx/:leww&lt;xrwxft=xw&gt;&lt;xwx&quot;1w:8w&lt;awx0?w0&quot;w&lt;&quot;wxw w:w&lt;0w&lt;xheaw&lt;0&quot;wxderw&lt;w&gt;wx=&quot;7w&lt;wwx20&quot;w&lt;Pwx w:w&lt;&lt;wxfoow&lt;twxterw&lt;wx=&quot;7w&lt;wx20 w&lt;wx&quot; w:gutter=&quot;0&quot;/&gt;&lt;w:cols w:space=&quot;720&quot;/&gt;&lt;/w:sectPr&gt;&lt;/wx:sect&gt;&lt;/w:body&gt;&lt;/w:wordDocument&gt;">
                  <v:path/>
                  <v:fill on="f" focussize="0,0"/>
                  <v:stroke on="f" joinstyle="miter"/>
                  <v:imagedata r:id="rId24" chromakey="#FFFFFF" o:title=""/>
                  <o:lock v:ext="edit" aspectratio="t"/>
                  <w10:wrap type="none"/>
                  <w10:anchorlock/>
                </v:shape>
              </w:pict>
            </w:r>
            <w:r>
              <w:fldChar w:fldCharType="end"/>
            </w:r>
            <w:r>
              <w:t>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保证率日平均浓度和年平均浓度叠加值</w:t>
            </w:r>
          </w:p>
        </w:tc>
        <w:tc>
          <w:tcPr>
            <w:tcW w:w="2042" w:type="pct"/>
            <w:gridSpan w:val="7"/>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49" o:spt="75" type="#_x0000_t75" style="height:14.25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2E6C&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542E6C&quot; wsp:rsidP=&quot;00542E6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鍙xx犲wx?wxwx?/&lt;wxwxmwx:t&lt;wxwx&gt;wx&lt;/&lt;wxwxmwx:r&lt;wxwx&gt;wx&lt;/&lt;wxwxmwx:s&lt;wxwxuwxb&gt;&lt;wxwx&lt;wx/m&lt;wxwx:wxsS&lt;wxwxuwxb&gt;&lt;wxwx&lt;wxwx/m&lt;wxwxwwxx:wwxxoMwx&lt;wxwxwxawxwxtwxh&lt;wwxxwxwx&gt;wxwx&lt;/&lt;wxwxwwxxmwwxx:owx&lt;wxwxwxMwxwxawxt&lt;wwxxwxwxhwxwxPa&lt;wxwxwwxxrwwxxa&gt;wx&lt;wxwxwx&lt;wxwx/wxw&lt;wwxxwxwx:wxwxp&gt;&lt;wxwxwwxx&lt;wwxxw:wx&lt;wxwxwxswxwxewxc&lt;wwxxwxvatwx=&quot;Pr&lt;00wxw00x w/&gt;xws/w&lt;wxrPwxp&gt;&lt;wx::tr&lt;wxxwxswxid&lt;wxwxRwx=&quot;&lt;wxwx0wx00&lt;wxwx0wx00&lt;wxwx0wx0&quot;&lt;wxwx&gt;wx&lt;w&lt;wxwx:wxpg&lt;wxwxSwxz &lt;wxwxwwx:w&lt;wxwx=wx&quot;1&lt;wxwx2wx24&lt;wxwx0wx&quot; &lt;wxwxwva:h&lt;=&quot;wx=00&quot;1&lt;00wx5/&gt;84&lt;/wwx0rP&quot;/&lt;&gt;&lt;wx&gt;:t&lt;w&lt;wxx:pgx&lt;wxMar&lt;wx w:&lt;wxtop&lt;wx=&quot;1&lt;wx440&lt;wx&quot; w&lt;wx:ri&lt;wxght&lt;wx=&quot;1&lt;wx800&lt;wx&quot; w&lt;wx:bo&lt;wxtto&lt;wxm=&quot;&lt;wx144&lt;wx0&quot; &lt;wxw:l&lt;wxeft&lt;wx=&quot;1&lt;wx800&lt;wx&quot; w&lt;wx:he&lt;wxade&lt;wxr=&quot;&lt;wx720&lt;wx&quot; w&lt;wx:fo&lt;wxote&lt;wxr=&quot;&lt;wx720&lt;wx&quot; w&lt;wx:gutter=&quot;0&quot;/&gt;&lt;w:cols w:space=&quot;720&quot;/&gt;&lt;/w:sectPr&gt;&lt;/wx:sect&gt;&lt;/w:body&gt;&lt;/w:wordDocument&gt;">
                  <v:path/>
                  <v:fill on="f" focussize="0,0"/>
                  <v:stroke on="f" joinstyle="miter"/>
                  <v:imagedata r:id="rId25" chromakey="#FFFFFF" o:title=""/>
                  <o:lock v:ext="edit" aspectratio="t"/>
                  <w10:wrap type="none"/>
                  <w10:anchorlock/>
                </v:shape>
              </w:pict>
            </w:r>
            <w:r>
              <w:instrText xml:space="preserve"> </w:instrText>
            </w:r>
            <w:r>
              <w:fldChar w:fldCharType="separate"/>
            </w:r>
            <w:r>
              <w:rPr>
                <w:position w:val="-12"/>
              </w:rPr>
              <w:pict>
                <v:shape id="_x0000_i1050" o:spt="75" type="#_x0000_t75" style="height:14.25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2E6C&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542E6C&quot; wsp:rsidP=&quot;00542E6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鍙xx犲wx?wxwx?/&lt;wxwxmwx:t&lt;wxwx&gt;wx&lt;/&lt;wxwxmwx:r&lt;wxwx&gt;wx&lt;/&lt;wxwxmwx:s&lt;wxwxuwxb&gt;&lt;wxwx&lt;wx/m&lt;wxwx:wxsS&lt;wxwxuwxb&gt;&lt;wxwx&lt;wxwx/m&lt;wxwxwwxx:wwxxoMwx&lt;wxwxwxawxwxtwxh&lt;wwxxwxwx&gt;wxwx&lt;/&lt;wxwxwwxxmwwxx:owx&lt;wxwxwxMwxwxawxt&lt;wwxxwxwxhwxwxPa&lt;wxwxwwxxrwwxxa&gt;wx&lt;wxwxwx&lt;wxwx/wxw&lt;wwxxwxwx:wxwxp&gt;&lt;wxwxwwxx&lt;wwxxw:wx&lt;wxwxwxswxwxewxc&lt;wwxxwxvatwx=&quot;Pr&lt;00wxw00x w/&gt;xws/w&lt;wxrPwxp&gt;&lt;wx::tr&lt;wxxwxswxid&lt;wxwxRwx=&quot;&lt;wxwx0wx00&lt;wxwx0wx00&lt;wxwx0wx0&quot;&lt;wxwx&gt;wx&lt;w&lt;wxwx:wxpg&lt;wxwxSwxz &lt;wxwxwwx:w&lt;wxwx=wx&quot;1&lt;wxwx2wx24&lt;wxwx0wx&quot; &lt;wxwxwva:h&lt;=&quot;wx=00&quot;1&lt;00wx5/&gt;84&lt;/wwx0rP&quot;/&lt;&gt;&lt;wx&gt;:t&lt;w&lt;wxx:pgx&lt;wxMar&lt;wx w:&lt;wxtop&lt;wx=&quot;1&lt;wx440&lt;wx&quot; w&lt;wx:ri&lt;wxght&lt;wx=&quot;1&lt;wx800&lt;wx&quot; w&lt;wx:bo&lt;wxtto&lt;wxm=&quot;&lt;wx144&lt;wx0&quot; &lt;wxw:l&lt;wxeft&lt;wx=&quot;1&lt;wx800&lt;wx&quot; w&lt;wx:he&lt;wxade&lt;wxr=&quot;&lt;wx720&lt;wx&quot; w&lt;wx:fo&lt;wxote&lt;wxr=&quot;&lt;wx720&lt;wx&quot; w&lt;wx:gutter=&quot;0&quot;/&gt;&lt;w:cols w:space=&quot;720&quot;/&gt;&lt;/w:sectPr&gt;&lt;/wx:sect&gt;&lt;/w:body&gt;&lt;/w:wordDocument&gt;">
                  <v:path/>
                  <v:fill on="f" focussize="0,0"/>
                  <v:stroke on="f" joinstyle="miter"/>
                  <v:imagedata r:id="rId25" chromakey="#FFFFFF" o:title=""/>
                  <o:lock v:ext="edit" aspectratio="t"/>
                  <w10:wrap type="none"/>
                  <w10:anchorlock/>
                </v:shape>
              </w:pict>
            </w:r>
            <w:r>
              <w:fldChar w:fldCharType="end"/>
            </w:r>
            <w:r>
              <w:t>达标 □</w:t>
            </w:r>
          </w:p>
        </w:tc>
        <w:tc>
          <w:tcPr>
            <w:tcW w:w="1635" w:type="pct"/>
            <w:gridSpan w:val="6"/>
            <w:tcBorders>
              <w:tl2br w:val="nil"/>
              <w:tr2bl w:val="nil"/>
            </w:tcBorders>
            <w:shd w:val="clear" w:color="auto" w:fill="auto"/>
            <w:vAlign w:val="center"/>
          </w:tcPr>
          <w:p>
            <w:pPr>
              <w:pStyle w:val="34"/>
            </w:pPr>
            <w:r>
              <w:fldChar w:fldCharType="begin"/>
            </w:r>
            <w:r>
              <w:instrText xml:space="preserve"> QUOTE </w:instrText>
            </w:r>
            <w:r>
              <w:rPr>
                <w:position w:val="-12"/>
              </w:rPr>
              <w:pict>
                <v:shape id="_x0000_i1051" o:spt="75" type="#_x0000_t75" style="height:14.25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DB3&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7B6DB3&quot; wsp:rsidP=&quot;007B6DB3&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鍙xx犲wx?wxwx?/&lt;wxwxmwx:t&lt;wxwx&gt;wx&lt;/&lt;wxwxmwx:r&lt;wxwx&gt;wx&lt;/&lt;wxwxmwx:s&lt;wxwxuwxb&gt;&lt;wxwx&lt;wx/m&lt;wxwx:wxsS&lt;wxwxuwxb&gt;&lt;wxwx&lt;wxwx/m&lt;wxwxwwxx:wwxxoMwx&lt;wxwxwxawxwxtwxh&lt;wwxxwxwx&gt;wxwx&lt;/&lt;wxwxwwxxmwwxx:owx&lt;wxwxwxMwxwxawxt&lt;wwxxwxwxhwxwxPa&lt;wxwxwwxxrwwxxa&gt;wx&lt;wxwxwx&lt;wxwx/wxw&lt;wwxxwxwx:wxwxp&gt;&lt;wxwxwwxx&lt;wwxxw:wx&lt;wxwxwxswxwxewxc&lt;wwxxwxvatwx=&quot;Pr&lt;00wxw00x w/&gt;xws/w&lt;wxrPwxp&gt;&lt;wx::tr&lt;wxxwxswxid&lt;wxwxRwx=&quot;&lt;wxwx0wx00&lt;wxwx0wx00&lt;wxwx0wx0&quot;&lt;wxwx&gt;wx&lt;w&lt;wxwx:wxpg&lt;wxwxSwxz &lt;wxwxwwx:w&lt;wxwx=wx&quot;1&lt;wxwx2wx24&lt;wxwx0wx&quot; &lt;wxwxwva:h&lt;=&quot;wx=00&quot;1&lt;00wx5/&gt;84&lt;/wwx0rP&quot;/&lt;&gt;&lt;wx&gt;:t&lt;w&lt;wxx:pgx&lt;wxMar&lt;wx w:&lt;wxtop&lt;wx=&quot;1&lt;wx440&lt;wx&quot; w&lt;wx:ri&lt;wxght&lt;wx=&quot;1&lt;wx800&lt;wx&quot; w&lt;wx:bo&lt;wxtto&lt;wxm=&quot;&lt;wx144&lt;wx0&quot; &lt;wxw:l&lt;wxeft&lt;wx=&quot;1&lt;wx800&lt;wx&quot; w&lt;wx:he&lt;wxade&lt;wxr=&quot;&lt;wx720&lt;wx&quot; w&lt;wx:fo&lt;wxote&lt;wxr=&quot;&lt;wx720&lt;wx&quot; w&lt;wx:gutter=&quot;0&quot;/&gt;&lt;w:cols w:space=&quot;720&quot;/&gt;&lt;/w:sectPr&gt;&lt;/wx:sect&gt;&lt;/w:body&gt;&lt;/w:wordDocument&gt;">
                  <v:path/>
                  <v:fill on="f" focussize="0,0"/>
                  <v:stroke on="f" joinstyle="miter"/>
                  <v:imagedata r:id="rId25" chromakey="#FFFFFF" o:title=""/>
                  <o:lock v:ext="edit" aspectratio="t"/>
                  <w10:wrap type="none"/>
                  <w10:anchorlock/>
                </v:shape>
              </w:pict>
            </w:r>
            <w:r>
              <w:instrText xml:space="preserve"> </w:instrText>
            </w:r>
            <w:r>
              <w:fldChar w:fldCharType="separate"/>
            </w:r>
            <w:r>
              <w:rPr>
                <w:position w:val="-12"/>
              </w:rPr>
              <w:pict>
                <v:shape id="_x0000_i1052" o:spt="75" type="#_x0000_t75" style="height:14.25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activeWritingStyle w:lang=&quot;EN-US&quot; w:vendorID=&quot;64&quot; w:dllVersion=&quot;131078&quot; w:nlCheck=&quot;on&quot; w:optionSet=&quot;0&quot;/&gt;&lt;w:activeWritingStyle w:lang=&quot;ZH-CN&quot; w:vendorID=&quot;64&quot; w:dllVersion=&quot;131077&quot; w:nlCheck=&quot;on&quot; w:optionSet=&quot;1&quot;/&gt;&lt;w:documentProtection w:edit=&quot;forms&quot; w:enforcement=&quot;off&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82393&quot;/&gt;&lt;wsp:rsid wsp:val=&quot;00000996&quot;/&gt;&lt;wsp:rsid wsp:val=&quot;0000099F&quot;/&gt;&lt;wsp:rsid wsp:val=&quot;00001087&quot;/&gt;&lt;wsp:rsid wsp:val=&quot;000013AA&quot;/&gt;&lt;wsp:rsid wsp:val=&quot;00001AD5&quot;/&gt;&lt;wsp:rsid wsp:val=&quot;00001DCD&quot;/&gt;&lt;wsp:rsid wsp:val=&quot;000020B1&quot;/&gt;&lt;wsp:rsid wsp:val=&quot;00002184&quot;/&gt;&lt;wsp:rsid wsp:val=&quot;000029AE&quot;/&gt;&lt;wsp:rsid wsp:val=&quot;000035AA&quot;/&gt;&lt;wsp:rsid wsp:val=&quot;000037BC&quot;/&gt;&lt;wsp:rsid wsp:val=&quot;00003DED&quot;/&gt;&lt;wsp:rsid wsp:val=&quot;00004594&quot;/&gt;&lt;wsp:rsid wsp:val=&quot;00004768&quot;/&gt;&lt;wsp:rsid wsp:val=&quot;00004AFC&quot;/&gt;&lt;wsp:rsid wsp:val=&quot;00004BE6&quot;/&gt;&lt;wsp:rsid wsp:val=&quot;00004D29&quot;/&gt;&lt;wsp:rsid wsp:val=&quot;00005150&quot;/&gt;&lt;wsp:rsid wsp:val=&quot;000056DE&quot;/&gt;&lt;wsp:rsid wsp:val=&quot;0000601B&quot;/&gt;&lt;wsp:rsid wsp:val=&quot;0000615D&quot;/&gt;&lt;wsp:rsid wsp:val=&quot;000065D3&quot;/&gt;&lt;wsp:rsid wsp:val=&quot;00006E79&quot;/&gt;&lt;wsp:rsid wsp:val=&quot;000070B6&quot;/&gt;&lt;wsp:rsid wsp:val=&quot;000074E4&quot;/&gt;&lt;wsp:rsid wsp:val=&quot;0000755A&quot;/&gt;&lt;wsp:rsid wsp:val=&quot;0000769F&quot;/&gt;&lt;wsp:rsid wsp:val=&quot;000078F4&quot;/&gt;&lt;wsp:rsid wsp:val=&quot;00010A88&quot;/&gt;&lt;wsp:rsid wsp:val=&quot;00010C0C&quot;/&gt;&lt;wsp:rsid wsp:val=&quot;00010C7F&quot;/&gt;&lt;wsp:rsid wsp:val=&quot;00010D28&quot;/&gt;&lt;wsp:rsid wsp:val=&quot;000110D7&quot;/&gt;&lt;wsp:rsid wsp:val=&quot;00011282&quot;/&gt;&lt;wsp:rsid wsp:val=&quot;0001170F&quot;/&gt;&lt;wsp:rsid wsp:val=&quot;0001294F&quot;/&gt;&lt;wsp:rsid wsp:val=&quot;00013132&quot;/&gt;&lt;wsp:rsid wsp:val=&quot;0001339E&quot;/&gt;&lt;wsp:rsid wsp:val=&quot;0001340C&quot;/&gt;&lt;wsp:rsid wsp:val=&quot;0001354A&quot;/&gt;&lt;wsp:rsid wsp:val=&quot;000136C1&quot;/&gt;&lt;wsp:rsid wsp:val=&quot;00013942&quot;/&gt;&lt;wsp:rsid wsp:val=&quot;00013BC9&quot;/&gt;&lt;wsp:rsid wsp:val=&quot;000155E1&quot;/&gt;&lt;wsp:rsid wsp:val=&quot;00015946&quot;/&gt;&lt;wsp:rsid wsp:val=&quot;00015A8E&quot;/&gt;&lt;wsp:rsid wsp:val=&quot;000164FA&quot;/&gt;&lt;wsp:rsid wsp:val=&quot;00016C41&quot;/&gt;&lt;wsp:rsid wsp:val=&quot;00017161&quot;/&gt;&lt;wsp:rsid wsp:val=&quot;00020930&quot;/&gt;&lt;wsp:rsid wsp:val=&quot;00021C0F&quot;/&gt;&lt;wsp:rsid wsp:val=&quot;00023522&quot;/&gt;&lt;wsp:rsid wsp:val=&quot;000236F0&quot;/&gt;&lt;wsp:rsid wsp:val=&quot;00023BD3&quot;/&gt;&lt;wsp:rsid wsp:val=&quot;00023CA9&quot;/&gt;&lt;wsp:rsid wsp:val=&quot;00024660&quot;/&gt;&lt;wsp:rsid wsp:val=&quot;000246BE&quot;/&gt;&lt;wsp:rsid wsp:val=&quot;00024B8C&quot;/&gt;&lt;wsp:rsid wsp:val=&quot;00024CED&quot;/&gt;&lt;wsp:rsid wsp:val=&quot;00025511&quot;/&gt;&lt;wsp:rsid wsp:val=&quot;000260CD&quot;/&gt;&lt;wsp:rsid wsp:val=&quot;00026552&quot;/&gt;&lt;wsp:rsid wsp:val=&quot;0002694F&quot;/&gt;&lt;wsp:rsid wsp:val=&quot;00026B60&quot;/&gt;&lt;wsp:rsid wsp:val=&quot;00026DD0&quot;/&gt;&lt;wsp:rsid wsp:val=&quot;00027250&quot;/&gt;&lt;wsp:rsid wsp:val=&quot;0002776D&quot;/&gt;&lt;wsp:rsid wsp:val=&quot;00027944&quot;/&gt;&lt;wsp:rsid wsp:val=&quot;0003063D&quot;/&gt;&lt;wsp:rsid wsp:val=&quot;000306C6&quot;/&gt;&lt;wsp:rsid wsp:val=&quot;000306D3&quot;/&gt;&lt;wsp:rsid wsp:val=&quot;00030747&quot;/&gt;&lt;wsp:rsid wsp:val=&quot;00030E36&quot;/&gt;&lt;wsp:rsid wsp:val=&quot;00031226&quot;/&gt;&lt;wsp:rsid wsp:val=&quot;000314E6&quot;/&gt;&lt;wsp:rsid wsp:val=&quot;00031C39&quot;/&gt;&lt;wsp:rsid wsp:val=&quot;00031E41&quot;/&gt;&lt;wsp:rsid wsp:val=&quot;00032582&quot;/&gt;&lt;wsp:rsid wsp:val=&quot;000325E7&quot;/&gt;&lt;wsp:rsid wsp:val=&quot;00032799&quot;/&gt;&lt;wsp:rsid wsp:val=&quot;00032899&quot;/&gt;&lt;wsp:rsid wsp:val=&quot;00032E60&quot;/&gt;&lt;wsp:rsid wsp:val=&quot;0003320A&quot;/&gt;&lt;wsp:rsid wsp:val=&quot;00033696&quot;/&gt;&lt;wsp:rsid wsp:val=&quot;00033A09&quot;/&gt;&lt;wsp:rsid wsp:val=&quot;00034053&quot;/&gt;&lt;wsp:rsid wsp:val=&quot;0003475A&quot;/&gt;&lt;wsp:rsid wsp:val=&quot;00034A4E&quot;/&gt;&lt;wsp:rsid wsp:val=&quot;00034EBC&quot;/&gt;&lt;wsp:rsid wsp:val=&quot;000352B1&quot;/&gt;&lt;wsp:rsid wsp:val=&quot;0003623F&quot;/&gt;&lt;wsp:rsid wsp:val=&quot;00036278&quot;/&gt;&lt;wsp:rsid wsp:val=&quot;00036D89&quot;/&gt;&lt;wsp:rsid wsp:val=&quot;00037006&quot;/&gt;&lt;wsp:rsid wsp:val=&quot;00037380&quot;/&gt;&lt;wsp:rsid wsp:val=&quot;000377BC&quot;/&gt;&lt;wsp:rsid wsp:val=&quot;000378E4&quot;/&gt;&lt;wsp:rsid wsp:val=&quot;00037C31&quot;/&gt;&lt;wsp:rsid wsp:val=&quot;00040034&quot;/&gt;&lt;wsp:rsid wsp:val=&quot;000407C9&quot;/&gt;&lt;wsp:rsid wsp:val=&quot;00040AE2&quot;/&gt;&lt;wsp:rsid wsp:val=&quot;00040CB6&quot;/&gt;&lt;wsp:rsid wsp:val=&quot;000417DF&quot;/&gt;&lt;wsp:rsid wsp:val=&quot;000418C4&quot;/&gt;&lt;wsp:rsid wsp:val=&quot;00041A3B&quot;/&gt;&lt;wsp:rsid wsp:val=&quot;00041C40&quot;/&gt;&lt;wsp:rsid wsp:val=&quot;00042E06&quot;/&gt;&lt;wsp:rsid wsp:val=&quot;00043A70&quot;/&gt;&lt;wsp:rsid wsp:val=&quot;00043AE7&quot;/&gt;&lt;wsp:rsid wsp:val=&quot;000445B8&quot;/&gt;&lt;wsp:rsid wsp:val=&quot;00044682&quot;/&gt;&lt;wsp:rsid wsp:val=&quot;00044EC0&quot;/&gt;&lt;wsp:rsid wsp:val=&quot;00045184&quot;/&gt;&lt;wsp:rsid wsp:val=&quot;000457D6&quot;/&gt;&lt;wsp:rsid wsp:val=&quot;00045920&quot;/&gt;&lt;wsp:rsid wsp:val=&quot;0004600D&quot;/&gt;&lt;wsp:rsid wsp:val=&quot;000465A8&quot;/&gt;&lt;wsp:rsid wsp:val=&quot;0004678A&quot;/&gt;&lt;wsp:rsid wsp:val=&quot;00047625&quot;/&gt;&lt;wsp:rsid wsp:val=&quot;0004786C&quot;/&gt;&lt;wsp:rsid wsp:val=&quot;00047B5A&quot;/&gt;&lt;wsp:rsid wsp:val=&quot;00047F43&quot;/&gt;&lt;wsp:rsid wsp:val=&quot;000508EC&quot;/&gt;&lt;wsp:rsid wsp:val=&quot;00050B47&quot;/&gt;&lt;wsp:rsid wsp:val=&quot;00051938&quot;/&gt;&lt;wsp:rsid wsp:val=&quot;00052599&quot;/&gt;&lt;wsp:rsid wsp:val=&quot;00052A25&quot;/&gt;&lt;wsp:rsid wsp:val=&quot;00052E50&quot;/&gt;&lt;wsp:rsid wsp:val=&quot;000530EB&quot;/&gt;&lt;wsp:rsid wsp:val=&quot;00053953&quot;/&gt;&lt;wsp:rsid wsp:val=&quot;00053ABB&quot;/&gt;&lt;wsp:rsid wsp:val=&quot;00053B45&quot;/&gt;&lt;wsp:rsid wsp:val=&quot;00053B9B&quot;/&gt;&lt;wsp:rsid wsp:val=&quot;00053C10&quot;/&gt;&lt;wsp:rsid wsp:val=&quot;00053E87&quot;/&gt;&lt;wsp:rsid wsp:val=&quot;0005455E&quot;/&gt;&lt;wsp:rsid wsp:val=&quot;00054D2F&quot;/&gt;&lt;wsp:rsid wsp:val=&quot;00054EDF&quot;/&gt;&lt;wsp:rsid wsp:val=&quot;00055615&quot;/&gt;&lt;wsp:rsid wsp:val=&quot;00055791&quot;/&gt;&lt;wsp:rsid wsp:val=&quot;00055F32&quot;/&gt;&lt;wsp:rsid wsp:val=&quot;0005623C&quot;/&gt;&lt;wsp:rsid wsp:val=&quot;00056414&quot;/&gt;&lt;wsp:rsid wsp:val=&quot;00056423&quot;/&gt;&lt;wsp:rsid wsp:val=&quot;00056CE5&quot;/&gt;&lt;wsp:rsid wsp:val=&quot;000577E6&quot;/&gt;&lt;wsp:rsid wsp:val=&quot;0005786E&quot;/&gt;&lt;wsp:rsid wsp:val=&quot;00057939&quot;/&gt;&lt;wsp:rsid wsp:val=&quot;00060F38&quot;/&gt;&lt;wsp:rsid wsp:val=&quot;00061BFF&quot;/&gt;&lt;wsp:rsid wsp:val=&quot;00061E9B&quot;/&gt;&lt;wsp:rsid wsp:val=&quot;00061ED1&quot;/&gt;&lt;wsp:rsid wsp:val=&quot;00061F57&quot;/&gt;&lt;wsp:rsid wsp:val=&quot;00062197&quot;/&gt;&lt;wsp:rsid wsp:val=&quot;000629B7&quot;/&gt;&lt;wsp:rsid wsp:val=&quot;00062F97&quot;/&gt;&lt;wsp:rsid wsp:val=&quot;00063DD1&quot;/&gt;&lt;wsp:rsid wsp:val=&quot;00064665&quot;/&gt;&lt;wsp:rsid wsp:val=&quot;000646E4&quot;/&gt;&lt;wsp:rsid wsp:val=&quot;00064D1B&quot;/&gt;&lt;wsp:rsid wsp:val=&quot;00065126&quot;/&gt;&lt;wsp:rsid wsp:val=&quot;00065388&quot;/&gt;&lt;wsp:rsid wsp:val=&quot;00065766&quot;/&gt;&lt;wsp:rsid wsp:val=&quot;0006651B&quot;/&gt;&lt;wsp:rsid wsp:val=&quot;00066605&quot;/&gt;&lt;wsp:rsid wsp:val=&quot;00066C95&quot;/&gt;&lt;wsp:rsid wsp:val=&quot;00066D10&quot;/&gt;&lt;wsp:rsid wsp:val=&quot;00066FB9&quot;/&gt;&lt;wsp:rsid wsp:val=&quot;00067846&quot;/&gt;&lt;wsp:rsid wsp:val=&quot;000678FD&quot;/&gt;&lt;wsp:rsid wsp:val=&quot;00067C40&quot;/&gt;&lt;wsp:rsid wsp:val=&quot;00067DF1&quot;/&gt;&lt;wsp:rsid wsp:val=&quot;00070055&quot;/&gt;&lt;wsp:rsid wsp:val=&quot;000707B1&quot;/&gt;&lt;wsp:rsid wsp:val=&quot;00070AA2&quot;/&gt;&lt;wsp:rsid wsp:val=&quot;00070F37&quot;/&gt;&lt;wsp:rsid wsp:val=&quot;00070F63&quot;/&gt;&lt;wsp:rsid wsp:val=&quot;00070FCD&quot;/&gt;&lt;wsp:rsid wsp:val=&quot;00071182&quot;/&gt;&lt;wsp:rsid wsp:val=&quot;00071C5D&quot;/&gt;&lt;wsp:rsid wsp:val=&quot;00071C86&quot;/&gt;&lt;wsp:rsid wsp:val=&quot;00071EF5&quot;/&gt;&lt;wsp:rsid wsp:val=&quot;00072050&quot;/&gt;&lt;wsp:rsid wsp:val=&quot;000727F4&quot;/&gt;&lt;wsp:rsid wsp:val=&quot;00073289&quot;/&gt;&lt;wsp:rsid wsp:val=&quot;00073584&quot;/&gt;&lt;wsp:rsid wsp:val=&quot;0007365E&quot;/&gt;&lt;wsp:rsid wsp:val=&quot;00073795&quot;/&gt;&lt;wsp:rsid wsp:val=&quot;00073C5D&quot;/&gt;&lt;wsp:rsid wsp:val=&quot;0007402F&quot;/&gt;&lt;wsp:rsid wsp:val=&quot;0007415E&quot;/&gt;&lt;wsp:rsid wsp:val=&quot;000749FE&quot;/&gt;&lt;wsp:rsid wsp:val=&quot;0007507B&quot;/&gt;&lt;wsp:rsid wsp:val=&quot;00075956&quot;/&gt;&lt;wsp:rsid wsp:val=&quot;000760BD&quot;/&gt;&lt;wsp:rsid wsp:val=&quot;000760D0&quot;/&gt;&lt;wsp:rsid wsp:val=&quot;00076176&quot;/&gt;&lt;wsp:rsid wsp:val=&quot;000767DD&quot;/&gt;&lt;wsp:rsid wsp:val=&quot;00076B6C&quot;/&gt;&lt;wsp:rsid wsp:val=&quot;00076DA2&quot;/&gt;&lt;wsp:rsid wsp:val=&quot;00076EFD&quot;/&gt;&lt;wsp:rsid wsp:val=&quot;00077685&quot;/&gt;&lt;wsp:rsid wsp:val=&quot;000777AF&quot;/&gt;&lt;wsp:rsid wsp:val=&quot;00077E6F&quot;/&gt;&lt;wsp:rsid wsp:val=&quot;00080094&quot;/&gt;&lt;wsp:rsid wsp:val=&quot;0008067B&quot;/&gt;&lt;wsp:rsid wsp:val=&quot;00080EB2&quot;/&gt;&lt;wsp:rsid wsp:val=&quot;0008172D&quot;/&gt;&lt;wsp:rsid wsp:val=&quot;00081863&quot;/&gt;&lt;wsp:rsid wsp:val=&quot;00081DF7&quot;/&gt;&lt;wsp:rsid wsp:val=&quot;00082B29&quot;/&gt;&lt;wsp:rsid wsp:val=&quot;00082E67&quot;/&gt;&lt;wsp:rsid wsp:val=&quot;0008312C&quot;/&gt;&lt;wsp:rsid wsp:val=&quot;00083367&quot;/&gt;&lt;wsp:rsid wsp:val=&quot;00083673&quot;/&gt;&lt;wsp:rsid wsp:val=&quot;00083BB3&quot;/&gt;&lt;wsp:rsid wsp:val=&quot;00083E58&quot;/&gt;&lt;wsp:rsid wsp:val=&quot;00084089&quot;/&gt;&lt;wsp:rsid wsp:val=&quot;000841AF&quot;/&gt;&lt;wsp:rsid wsp:val=&quot;000841B6&quot;/&gt;&lt;wsp:rsid wsp:val=&quot;00084A95&quot;/&gt;&lt;wsp:rsid wsp:val=&quot;00084DB0&quot;/&gt;&lt;wsp:rsid wsp:val=&quot;0008516D&quot;/&gt;&lt;wsp:rsid wsp:val=&quot;000859C0&quot;/&gt;&lt;wsp:rsid wsp:val=&quot;00085BA8&quot;/&gt;&lt;wsp:rsid wsp:val=&quot;000860E1&quot;/&gt;&lt;wsp:rsid wsp:val=&quot;0008616B&quot;/&gt;&lt;wsp:rsid wsp:val=&quot;0008692C&quot;/&gt;&lt;wsp:rsid wsp:val=&quot;00086F09&quot;/&gt;&lt;wsp:rsid wsp:val=&quot;000875AD&quot;/&gt;&lt;wsp:rsid wsp:val=&quot;00087BBC&quot;/&gt;&lt;wsp:rsid wsp:val=&quot;00087BF5&quot;/&gt;&lt;wsp:rsid wsp:val=&quot;000903D8&quot;/&gt;&lt;wsp:rsid wsp:val=&quot;000909B0&quot;/&gt;&lt;wsp:rsid wsp:val=&quot;0009131F&quot;/&gt;&lt;wsp:rsid wsp:val=&quot;00091918&quot;/&gt;&lt;wsp:rsid wsp:val=&quot;00091D0E&quot;/&gt;&lt;wsp:rsid wsp:val=&quot;00091D64&quot;/&gt;&lt;wsp:rsid wsp:val=&quot;0009272E&quot;/&gt;&lt;wsp:rsid wsp:val=&quot;00092ADF&quot;/&gt;&lt;wsp:rsid wsp:val=&quot;00092B5E&quot;/&gt;&lt;wsp:rsid wsp:val=&quot;000934A2&quot;/&gt;&lt;wsp:rsid wsp:val=&quot;0009396D&quot;/&gt;&lt;wsp:rsid wsp:val=&quot;000945D6&quot;/&gt;&lt;wsp:rsid wsp:val=&quot;000951A8&quot;/&gt;&lt;wsp:rsid wsp:val=&quot;00095B24&quot;/&gt;&lt;wsp:rsid wsp:val=&quot;00096FDE&quot;/&gt;&lt;wsp:rsid wsp:val=&quot;00097A17&quot;/&gt;&lt;wsp:rsid wsp:val=&quot;00097E49&quot;/&gt;&lt;wsp:rsid wsp:val=&quot;000A06FA&quot;/&gt;&lt;wsp:rsid wsp:val=&quot;000A0767&quot;/&gt;&lt;wsp:rsid wsp:val=&quot;000A0D25&quot;/&gt;&lt;wsp:rsid wsp:val=&quot;000A0F27&quot;/&gt;&lt;wsp:rsid wsp:val=&quot;000A11AF&quot;/&gt;&lt;wsp:rsid wsp:val=&quot;000A12B1&quot;/&gt;&lt;wsp:rsid wsp:val=&quot;000A18F6&quot;/&gt;&lt;wsp:rsid wsp:val=&quot;000A1A47&quot;/&gt;&lt;wsp:rsid wsp:val=&quot;000A1AB8&quot;/&gt;&lt;wsp:rsid wsp:val=&quot;000A1D6C&quot;/&gt;&lt;wsp:rsid wsp:val=&quot;000A22C7&quot;/&gt;&lt;wsp:rsid wsp:val=&quot;000A24B4&quot;/&gt;&lt;wsp:rsid wsp:val=&quot;000A2583&quot;/&gt;&lt;wsp:rsid wsp:val=&quot;000A2605&quot;/&gt;&lt;wsp:rsid wsp:val=&quot;000A2671&quot;/&gt;&lt;wsp:rsid wsp:val=&quot;000A2F81&quot;/&gt;&lt;wsp:rsid wsp:val=&quot;000A2FAF&quot;/&gt;&lt;wsp:rsid wsp:val=&quot;000A39C0&quot;/&gt;&lt;wsp:rsid wsp:val=&quot;000A3F4A&quot;/&gt;&lt;wsp:rsid wsp:val=&quot;000A4208&quot;/&gt;&lt;wsp:rsid wsp:val=&quot;000A4E4F&quot;/&gt;&lt;wsp:rsid wsp:val=&quot;000A5301&quot;/&gt;&lt;wsp:rsid wsp:val=&quot;000A55B9&quot;/&gt;&lt;wsp:rsid wsp:val=&quot;000A5689&quot;/&gt;&lt;wsp:rsid wsp:val=&quot;000A5901&quot;/&gt;&lt;wsp:rsid wsp:val=&quot;000A5988&quot;/&gt;&lt;wsp:rsid wsp:val=&quot;000A62A6&quot;/&gt;&lt;wsp:rsid wsp:val=&quot;000A62F0&quot;/&gt;&lt;wsp:rsid wsp:val=&quot;000A6406&quot;/&gt;&lt;wsp:rsid wsp:val=&quot;000A66A0&quot;/&gt;&lt;wsp:rsid wsp:val=&quot;000A678C&quot;/&gt;&lt;wsp:rsid wsp:val=&quot;000A6B69&quot;/&gt;&lt;wsp:rsid wsp:val=&quot;000A6DBA&quot;/&gt;&lt;wsp:rsid wsp:val=&quot;000A6EF4&quot;/&gt;&lt;wsp:rsid wsp:val=&quot;000A79B8&quot;/&gt;&lt;wsp:rsid wsp:val=&quot;000B08E9&quot;/&gt;&lt;wsp:rsid wsp:val=&quot;000B0914&quot;/&gt;&lt;wsp:rsid wsp:val=&quot;000B0A14&quot;/&gt;&lt;wsp:rsid wsp:val=&quot;000B0C8D&quot;/&gt;&lt;wsp:rsid wsp:val=&quot;000B1018&quot;/&gt;&lt;wsp:rsid wsp:val=&quot;000B11FA&quot;/&gt;&lt;wsp:rsid wsp:val=&quot;000B1291&quot;/&gt;&lt;wsp:rsid wsp:val=&quot;000B1610&quot;/&gt;&lt;wsp:rsid wsp:val=&quot;000B1675&quot;/&gt;&lt;wsp:rsid wsp:val=&quot;000B1747&quot;/&gt;&lt;wsp:rsid wsp:val=&quot;000B2036&quot;/&gt;&lt;wsp:rsid wsp:val=&quot;000B2461&quot;/&gt;&lt;wsp:rsid wsp:val=&quot;000B258F&quot;/&gt;&lt;wsp:rsid wsp:val=&quot;000B25F7&quot;/&gt;&lt;wsp:rsid wsp:val=&quot;000B27E2&quot;/&gt;&lt;wsp:rsid wsp:val=&quot;000B2C45&quot;/&gt;&lt;wsp:rsid wsp:val=&quot;000B303D&quot;/&gt;&lt;wsp:rsid wsp:val=&quot;000B35ED&quot;/&gt;&lt;wsp:rsid wsp:val=&quot;000B36B5&quot;/&gt;&lt;wsp:rsid wsp:val=&quot;000B3787&quot;/&gt;&lt;wsp:rsid wsp:val=&quot;000B38C0&quot;/&gt;&lt;wsp:rsid wsp:val=&quot;000B3B76&quot;/&gt;&lt;wsp:rsid wsp:val=&quot;000B4706&quot;/&gt;&lt;wsp:rsid wsp:val=&quot;000B5122&quot;/&gt;&lt;wsp:rsid wsp:val=&quot;000B583B&quot;/&gt;&lt;wsp:rsid wsp:val=&quot;000B5859&quot;/&gt;&lt;wsp:rsid wsp:val=&quot;000B596F&quot;/&gt;&lt;wsp:rsid wsp:val=&quot;000B5BDD&quot;/&gt;&lt;wsp:rsid wsp:val=&quot;000B5F3B&quot;/&gt;&lt;wsp:rsid wsp:val=&quot;000B6399&quot;/&gt;&lt;wsp:rsid wsp:val=&quot;000B6428&quot;/&gt;&lt;wsp:rsid wsp:val=&quot;000B6AC4&quot;/&gt;&lt;wsp:rsid wsp:val=&quot;000B6DAE&quot;/&gt;&lt;wsp:rsid wsp:val=&quot;000B7197&quot;/&gt;&lt;wsp:rsid wsp:val=&quot;000B7980&quot;/&gt;&lt;wsp:rsid wsp:val=&quot;000C0754&quot;/&gt;&lt;wsp:rsid wsp:val=&quot;000C07F6&quot;/&gt;&lt;wsp:rsid wsp:val=&quot;000C0A7B&quot;/&gt;&lt;wsp:rsid wsp:val=&quot;000C1182&quot;/&gt;&lt;wsp:rsid wsp:val=&quot;000C13C0&quot;/&gt;&lt;wsp:rsid wsp:val=&quot;000C147E&quot;/&gt;&lt;wsp:rsid wsp:val=&quot;000C168C&quot;/&gt;&lt;wsp:rsid wsp:val=&quot;000C17E4&quot;/&gt;&lt;wsp:rsid wsp:val=&quot;000C26E3&quot;/&gt;&lt;wsp:rsid wsp:val=&quot;000C2EED&quot;/&gt;&lt;wsp:rsid wsp:val=&quot;000C33CE&quot;/&gt;&lt;wsp:rsid wsp:val=&quot;000C3A23&quot;/&gt;&lt;wsp:rsid wsp:val=&quot;000C49E5&quot;/&gt;&lt;wsp:rsid wsp:val=&quot;000C4FF2&quot;/&gt;&lt;wsp:rsid wsp:val=&quot;000C5038&quot;/&gt;&lt;wsp:rsid wsp:val=&quot;000C50BA&quot;/&gt;&lt;wsp:rsid wsp:val=&quot;000C5223&quot;/&gt;&lt;wsp:rsid wsp:val=&quot;000C53FC&quot;/&gt;&lt;wsp:rsid wsp:val=&quot;000C5A7D&quot;/&gt;&lt;wsp:rsid wsp:val=&quot;000C5BCE&quot;/&gt;&lt;wsp:rsid wsp:val=&quot;000C5E69&quot;/&gt;&lt;wsp:rsid wsp:val=&quot;000C603F&quot;/&gt;&lt;wsp:rsid wsp:val=&quot;000C60BE&quot;/&gt;&lt;wsp:rsid wsp:val=&quot;000C645A&quot;/&gt;&lt;wsp:rsid wsp:val=&quot;000C65E0&quot;/&gt;&lt;wsp:rsid wsp:val=&quot;000C6864&quot;/&gt;&lt;wsp:rsid wsp:val=&quot;000C6AA7&quot;/&gt;&lt;wsp:rsid wsp:val=&quot;000C6FD6&quot;/&gt;&lt;wsp:rsid wsp:val=&quot;000C722B&quot;/&gt;&lt;wsp:rsid wsp:val=&quot;000C73DC&quot;/&gt;&lt;wsp:rsid wsp:val=&quot;000C73F7&quot;/&gt;&lt;wsp:rsid wsp:val=&quot;000C75D4&quot;/&gt;&lt;wsp:rsid wsp:val=&quot;000D02D5&quot;/&gt;&lt;wsp:rsid wsp:val=&quot;000D0720&quot;/&gt;&lt;wsp:rsid wsp:val=&quot;000D10BA&quot;/&gt;&lt;wsp:rsid wsp:val=&quot;000D23E6&quot;/&gt;&lt;wsp:rsid wsp:val=&quot;000D2E3B&quot;/&gt;&lt;wsp:rsid wsp:val=&quot;000D2F81&quot;/&gt;&lt;wsp:rsid wsp:val=&quot;000D32AD&quot;/&gt;&lt;wsp:rsid wsp:val=&quot;000D445F&quot;/&gt;&lt;wsp:rsid wsp:val=&quot;000D45CC&quot;/&gt;&lt;wsp:rsid wsp:val=&quot;000D4D73&quot;/&gt;&lt;wsp:rsid wsp:val=&quot;000D573F&quot;/&gt;&lt;wsp:rsid wsp:val=&quot;000D640B&quot;/&gt;&lt;wsp:rsid wsp:val=&quot;000D6495&quot;/&gt;&lt;wsp:rsid wsp:val=&quot;000D6956&quot;/&gt;&lt;wsp:rsid wsp:val=&quot;000D6B0C&quot;/&gt;&lt;wsp:rsid wsp:val=&quot;000D6FBA&quot;/&gt;&lt;wsp:rsid wsp:val=&quot;000D7152&quot;/&gt;&lt;wsp:rsid wsp:val=&quot;000D74FA&quot;/&gt;&lt;wsp:rsid wsp:val=&quot;000D7F69&quot;/&gt;&lt;wsp:rsid wsp:val=&quot;000E02CD&quot;/&gt;&lt;wsp:rsid wsp:val=&quot;000E0CD7&quot;/&gt;&lt;wsp:rsid wsp:val=&quot;000E0D23&quot;/&gt;&lt;wsp:rsid wsp:val=&quot;000E0F56&quot;/&gt;&lt;wsp:rsid wsp:val=&quot;000E0FBB&quot;/&gt;&lt;wsp:rsid wsp:val=&quot;000E10AF&quot;/&gt;&lt;wsp:rsid wsp:val=&quot;000E1723&quot;/&gt;&lt;wsp:rsid wsp:val=&quot;000E2163&quot;/&gt;&lt;wsp:rsid wsp:val=&quot;000E2229&quot;/&gt;&lt;wsp:rsid wsp:val=&quot;000E2A30&quot;/&gt;&lt;wsp:rsid wsp:val=&quot;000E3435&quot;/&gt;&lt;wsp:rsid wsp:val=&quot;000E3538&quot;/&gt;&lt;wsp:rsid wsp:val=&quot;000E37C7&quot;/&gt;&lt;wsp:rsid wsp:val=&quot;000E3813&quot;/&gt;&lt;wsp:rsid wsp:val=&quot;000E4A9F&quot;/&gt;&lt;wsp:rsid wsp:val=&quot;000E4AF5&quot;/&gt;&lt;wsp:rsid wsp:val=&quot;000E4C8E&quot;/&gt;&lt;wsp:rsid wsp:val=&quot;000E4F97&quot;/&gt;&lt;wsp:rsid wsp:val=&quot;000E5142&quot;/&gt;&lt;wsp:rsid wsp:val=&quot;000E535B&quot;/&gt;&lt;wsp:rsid wsp:val=&quot;000E56E2&quot;/&gt;&lt;wsp:rsid wsp:val=&quot;000E5E8C&quot;/&gt;&lt;wsp:rsid wsp:val=&quot;000E6047&quot;/&gt;&lt;wsp:rsid wsp:val=&quot;000E726E&quot;/&gt;&lt;wsp:rsid wsp:val=&quot;000E749F&quot;/&gt;&lt;wsp:rsid wsp:val=&quot;000E778E&quot;/&gt;&lt;wsp:rsid wsp:val=&quot;000E7962&quot;/&gt;&lt;wsp:rsid wsp:val=&quot;000E7D4D&quot;/&gt;&lt;wsp:rsid wsp:val=&quot;000E7EA0&quot;/&gt;&lt;wsp:rsid wsp:val=&quot;000F04C7&quot;/&gt;&lt;wsp:rsid wsp:val=&quot;000F1A09&quot;/&gt;&lt;wsp:rsid wsp:val=&quot;000F1A21&quot;/&gt;&lt;wsp:rsid wsp:val=&quot;000F1AE8&quot;/&gt;&lt;wsp:rsid wsp:val=&quot;000F1C14&quot;/&gt;&lt;wsp:rsid wsp:val=&quot;000F1EA2&quot;/&gt;&lt;wsp:rsid wsp:val=&quot;000F2082&quot;/&gt;&lt;wsp:rsid wsp:val=&quot;000F243D&quot;/&gt;&lt;wsp:rsid wsp:val=&quot;000F2810&quot;/&gt;&lt;wsp:rsid wsp:val=&quot;000F2F3A&quot;/&gt;&lt;wsp:rsid wsp:val=&quot;000F32F3&quot;/&gt;&lt;wsp:rsid wsp:val=&quot;000F37AC&quot;/&gt;&lt;wsp:rsid wsp:val=&quot;000F450C&quot;/&gt;&lt;wsp:rsid wsp:val=&quot;000F4FED&quot;/&gt;&lt;wsp:rsid wsp:val=&quot;000F582C&quot;/&gt;&lt;wsp:rsid wsp:val=&quot;000F591B&quot;/&gt;&lt;wsp:rsid wsp:val=&quot;000F5EAF&quot;/&gt;&lt;wsp:rsid wsp:val=&quot;000F613D&quot;/&gt;&lt;wsp:rsid wsp:val=&quot;000F6278&quot;/&gt;&lt;wsp:rsid wsp:val=&quot;000F687D&quot;/&gt;&lt;wsp:rsid wsp:val=&quot;000F693A&quot;/&gt;&lt;wsp:rsid wsp:val=&quot;000F7547&quot;/&gt;&lt;wsp:rsid wsp:val=&quot;000F788F&quot;/&gt;&lt;wsp:rsid wsp:val=&quot;001005A5&quot;/&gt;&lt;wsp:rsid wsp:val=&quot;00100A65&quot;/&gt;&lt;wsp:rsid wsp:val=&quot;0010102F&quot;/&gt;&lt;wsp:rsid wsp:val=&quot;00101030&quot;/&gt;&lt;wsp:rsid wsp:val=&quot;00101283&quot;/&gt;&lt;wsp:rsid wsp:val=&quot;00101768&quot;/&gt;&lt;wsp:rsid wsp:val=&quot;00101B66&quot;/&gt;&lt;wsp:rsid wsp:val=&quot;00101C91&quot;/&gt;&lt;wsp:rsid wsp:val=&quot;00101CDB&quot;/&gt;&lt;wsp:rsid wsp:val=&quot;00101D35&quot;/&gt;&lt;wsp:rsid wsp:val=&quot;00102543&quot;/&gt;&lt;wsp:rsid wsp:val=&quot;00102599&quot;/&gt;&lt;wsp:rsid wsp:val=&quot;001026D9&quot;/&gt;&lt;wsp:rsid wsp:val=&quot;00102CC0&quot;/&gt;&lt;wsp:rsid wsp:val=&quot;00102DA1&quot;/&gt;&lt;wsp:rsid wsp:val=&quot;001031DC&quot;/&gt;&lt;wsp:rsid wsp:val=&quot;00103424&quot;/&gt;&lt;wsp:rsid wsp:val=&quot;0010344B&quot;/&gt;&lt;wsp:rsid wsp:val=&quot;001036F4&quot;/&gt;&lt;wsp:rsid wsp:val=&quot;001051F2&quot;/&gt;&lt;wsp:rsid wsp:val=&quot;00105902&quot;/&gt;&lt;wsp:rsid wsp:val=&quot;001059F7&quot;/&gt;&lt;wsp:rsid wsp:val=&quot;00106770&quot;/&gt;&lt;wsp:rsid wsp:val=&quot;00106BC9&quot;/&gt;&lt;wsp:rsid wsp:val=&quot;0010768C&quot;/&gt;&lt;wsp:rsid wsp:val=&quot;00107694&quot;/&gt;&lt;wsp:rsid wsp:val=&quot;00107781&quot;/&gt;&lt;wsp:rsid wsp:val=&quot;00107872&quot;/&gt;&lt;wsp:rsid wsp:val=&quot;00107983&quot;/&gt;&lt;wsp:rsid wsp:val=&quot;00107A21&quot;/&gt;&lt;wsp:rsid wsp:val=&quot;00107E6E&quot;/&gt;&lt;wsp:rsid wsp:val=&quot;00107EA4&quot;/&gt;&lt;wsp:rsid wsp:val=&quot;001109DB&quot;/&gt;&lt;wsp:rsid wsp:val=&quot;0011113B&quot;/&gt;&lt;wsp:rsid wsp:val=&quot;0011194C&quot;/&gt;&lt;wsp:rsid wsp:val=&quot;00111AC8&quot;/&gt;&lt;wsp:rsid wsp:val=&quot;00111E0C&quot;/&gt;&lt;wsp:rsid wsp:val=&quot;0011261D&quot;/&gt;&lt;wsp:rsid wsp:val=&quot;00112EDA&quot;/&gt;&lt;wsp:rsid wsp:val=&quot;00114015&quot;/&gt;&lt;wsp:rsid wsp:val=&quot;00114046&quot;/&gt;&lt;wsp:rsid wsp:val=&quot;00114059&quot;/&gt;&lt;wsp:rsid wsp:val=&quot;0011472C&quot;/&gt;&lt;wsp:rsid wsp:val=&quot;0011496F&quot;/&gt;&lt;wsp:rsid wsp:val=&quot;00114B66&quot;/&gt;&lt;wsp:rsid wsp:val=&quot;00114B9B&quot;/&gt;&lt;wsp:rsid wsp:val=&quot;00115168&quot;/&gt;&lt;wsp:rsid wsp:val=&quot;0011654E&quot;/&gt;&lt;wsp:rsid wsp:val=&quot;00116971&quot;/&gt;&lt;wsp:rsid wsp:val=&quot;0011722C&quot;/&gt;&lt;wsp:rsid wsp:val=&quot;00117AC9&quot;/&gt;&lt;wsp:rsid wsp:val=&quot;00117B9C&quot;/&gt;&lt;wsp:rsid wsp:val=&quot;001203EF&quot;/&gt;&lt;wsp:rsid wsp:val=&quot;00120872&quot;/&gt;&lt;wsp:rsid wsp:val=&quot;00120D84&quot;/&gt;&lt;wsp:rsid wsp:val=&quot;00122143&quot;/&gt;&lt;wsp:rsid wsp:val=&quot;00122ACC&quot;/&gt;&lt;wsp:rsid wsp:val=&quot;0012373E&quot;/&gt;&lt;wsp:rsid wsp:val=&quot;00123C5A&quot;/&gt;&lt;wsp:rsid wsp:val=&quot;00123CD7&quot;/&gt;&lt;wsp:rsid wsp:val=&quot;00124186&quot;/&gt;&lt;wsp:rsid wsp:val=&quot;001247FD&quot;/&gt;&lt;wsp:rsid wsp:val=&quot;00124C7C&quot;/&gt;&lt;wsp:rsid wsp:val=&quot;00124E78&quot;/&gt;&lt;wsp:rsid wsp:val=&quot;00125377&quot;/&gt;&lt;wsp:rsid wsp:val=&quot;0012590F&quot;/&gt;&lt;wsp:rsid wsp:val=&quot;00125E09&quot;/&gt;&lt;wsp:rsid wsp:val=&quot;00126E51&quot;/&gt;&lt;wsp:rsid wsp:val=&quot;00126F10&quot;/&gt;&lt;wsp:rsid wsp:val=&quot;001274F9&quot;/&gt;&lt;wsp:rsid wsp:val=&quot;00127A4E&quot;/&gt;&lt;wsp:rsid wsp:val=&quot;00127B63&quot;/&gt;&lt;wsp:rsid wsp:val=&quot;00127CB8&quot;/&gt;&lt;wsp:rsid wsp:val=&quot;00130008&quot;/&gt;&lt;wsp:rsid wsp:val=&quot;001303FA&quot;/&gt;&lt;wsp:rsid wsp:val=&quot;001306C1&quot;/&gt;&lt;wsp:rsid wsp:val=&quot;00130FFD&quot;/&gt;&lt;wsp:rsid wsp:val=&quot;0013131A&quot;/&gt;&lt;wsp:rsid wsp:val=&quot;001319AA&quot;/&gt;&lt;wsp:rsid wsp:val=&quot;00131F69&quot;/&gt;&lt;wsp:rsid wsp:val=&quot;00131FE1&quot;/&gt;&lt;wsp:rsid wsp:val=&quot;0013298E&quot;/&gt;&lt;wsp:rsid wsp:val=&quot;00132F4A&quot;/&gt;&lt;wsp:rsid wsp:val=&quot;00133651&quot;/&gt;&lt;wsp:rsid wsp:val=&quot;001336D4&quot;/&gt;&lt;wsp:rsid wsp:val=&quot;0013373C&quot;/&gt;&lt;wsp:rsid wsp:val=&quot;00133B1C&quot;/&gt;&lt;wsp:rsid wsp:val=&quot;00134AB1&quot;/&gt;&lt;wsp:rsid wsp:val=&quot;00134D93&quot;/&gt;&lt;wsp:rsid wsp:val=&quot;001355C3&quot;/&gt;&lt;wsp:rsid wsp:val=&quot;00135E4A&quot;/&gt;&lt;wsp:rsid wsp:val=&quot;001362BB&quot;/&gt;&lt;wsp:rsid wsp:val=&quot;00136ABA&quot;/&gt;&lt;wsp:rsid wsp:val=&quot;00136F02&quot;/&gt;&lt;wsp:rsid wsp:val=&quot;00137705&quot;/&gt;&lt;wsp:rsid wsp:val=&quot;001379C2&quot;/&gt;&lt;wsp:rsid wsp:val=&quot;00137B99&quot;/&gt;&lt;wsp:rsid wsp:val=&quot;0014002E&quot;/&gt;&lt;wsp:rsid wsp:val=&quot;00140709&quot;/&gt;&lt;wsp:rsid wsp:val=&quot;00140729&quot;/&gt;&lt;wsp:rsid wsp:val=&quot;00140846&quot;/&gt;&lt;wsp:rsid wsp:val=&quot;00140C4C&quot;/&gt;&lt;wsp:rsid wsp:val=&quot;00140EA2&quot;/&gt;&lt;wsp:rsid wsp:val=&quot;001414EF&quot;/&gt;&lt;wsp:rsid wsp:val=&quot;00141C1D&quot;/&gt;&lt;wsp:rsid wsp:val=&quot;001421D1&quot;/&gt;&lt;wsp:rsid wsp:val=&quot;0014234F&quot;/&gt;&lt;wsp:rsid wsp:val=&quot;00142BB0&quot;/&gt;&lt;wsp:rsid wsp:val=&quot;001438AE&quot;/&gt;&lt;wsp:rsid wsp:val=&quot;00143B93&quot;/&gt;&lt;wsp:rsid wsp:val=&quot;001440C6&quot;/&gt;&lt;wsp:rsid wsp:val=&quot;00144806&quot;/&gt;&lt;wsp:rsid wsp:val=&quot;00144AE2&quot;/&gt;&lt;wsp:rsid wsp:val=&quot;001453B5&quot;/&gt;&lt;wsp:rsid wsp:val=&quot;001454A3&quot;/&gt;&lt;wsp:rsid wsp:val=&quot;0014550A&quot;/&gt;&lt;wsp:rsid wsp:val=&quot;001458DB&quot;/&gt;&lt;wsp:rsid wsp:val=&quot;0014591C&quot;/&gt;&lt;wsp:rsid wsp:val=&quot;00145C1A&quot;/&gt;&lt;wsp:rsid wsp:val=&quot;001461F4&quot;/&gt;&lt;wsp:rsid wsp:val=&quot;00146477&quot;/&gt;&lt;wsp:rsid wsp:val=&quot;00147443&quot;/&gt;&lt;wsp:rsid wsp:val=&quot;0014793F&quot;/&gt;&lt;wsp:rsid wsp:val=&quot;00150311&quot;/&gt;&lt;wsp:rsid wsp:val=&quot;00150AF1&quot;/&gt;&lt;wsp:rsid wsp:val=&quot;00150F06&quot;/&gt;&lt;wsp:rsid wsp:val=&quot;00151698&quot;/&gt;&lt;wsp:rsid wsp:val=&quot;00151937&quot;/&gt;&lt;wsp:rsid wsp:val=&quot;00151E3B&quot;/&gt;&lt;wsp:rsid wsp:val=&quot;00152125&quot;/&gt;&lt;wsp:rsid wsp:val=&quot;001522D4&quot;/&gt;&lt;wsp:rsid wsp:val=&quot;00153146&quot;/&gt;&lt;wsp:rsid wsp:val=&quot;00153346&quot;/&gt;&lt;wsp:rsid wsp:val=&quot;0015366C&quot;/&gt;&lt;wsp:rsid wsp:val=&quot;00153D13&quot;/&gt;&lt;wsp:rsid wsp:val=&quot;0015415E&quot;/&gt;&lt;wsp:rsid wsp:val=&quot;0015463C&quot;/&gt;&lt;wsp:rsid wsp:val=&quot;001546D2&quot;/&gt;&lt;wsp:rsid wsp:val=&quot;0015474D&quot;/&gt;&lt;wsp:rsid wsp:val=&quot;00154797&quot;/&gt;&lt;wsp:rsid wsp:val=&quot;00154813&quot;/&gt;&lt;wsp:rsid wsp:val=&quot;00154C4E&quot;/&gt;&lt;wsp:rsid wsp:val=&quot;00155C8E&quot;/&gt;&lt;wsp:rsid wsp:val=&quot;00155D83&quot;/&gt;&lt;wsp:rsid wsp:val=&quot;00156022&quot;/&gt;&lt;wsp:rsid wsp:val=&quot;0015609B&quot;/&gt;&lt;wsp:rsid wsp:val=&quot;00156609&quot;/&gt;&lt;wsp:rsid wsp:val=&quot;001568C1&quot;/&gt;&lt;wsp:rsid wsp:val=&quot;0015747E&quot;/&gt;&lt;wsp:rsid wsp:val=&quot;001601A0&quot;/&gt;&lt;wsp:rsid wsp:val=&quot;001601E3&quot;/&gt;&lt;wsp:rsid wsp:val=&quot;0016086C&quot;/&gt;&lt;wsp:rsid wsp:val=&quot;00160B39&quot;/&gt;&lt;wsp:rsid wsp:val=&quot;00160BC9&quot;/&gt;&lt;wsp:rsid wsp:val=&quot;001610B9&quot;/&gt;&lt;wsp:rsid wsp:val=&quot;00161155&quot;/&gt;&lt;wsp:rsid wsp:val=&quot;00161D6F&quot;/&gt;&lt;wsp:rsid wsp:val=&quot;00162347&quot;/&gt;&lt;wsp:rsid wsp:val=&quot;00162576&quot;/&gt;&lt;wsp:rsid wsp:val=&quot;00162F4C&quot;/&gt;&lt;wsp:rsid wsp:val=&quot;0016344D&quot;/&gt;&lt;wsp:rsid wsp:val=&quot;00163CAD&quot;/&gt;&lt;wsp:rsid wsp:val=&quot;00163E47&quot;/&gt;&lt;wsp:rsid wsp:val=&quot;00164708&quot;/&gt;&lt;wsp:rsid wsp:val=&quot;001649DA&quot;/&gt;&lt;wsp:rsid wsp:val=&quot;00164B46&quot;/&gt;&lt;wsp:rsid wsp:val=&quot;00164BEC&quot;/&gt;&lt;wsp:rsid wsp:val=&quot;00164C1C&quot;/&gt;&lt;wsp:rsid wsp:val=&quot;00164ED0&quot;/&gt;&lt;wsp:rsid wsp:val=&quot;00165388&quot;/&gt;&lt;wsp:rsid wsp:val=&quot;0016584A&quot;/&gt;&lt;wsp:rsid wsp:val=&quot;00166558&quot;/&gt;&lt;wsp:rsid wsp:val=&quot;00167712&quot;/&gt;&lt;wsp:rsid wsp:val=&quot;00167DA2&quot;/&gt;&lt;wsp:rsid wsp:val=&quot;001706BD&quot;/&gt;&lt;wsp:rsid wsp:val=&quot;00170838&quot;/&gt;&lt;wsp:rsid wsp:val=&quot;00170C6B&quot;/&gt;&lt;wsp:rsid wsp:val=&quot;001711BB&quot;/&gt;&lt;wsp:rsid wsp:val=&quot;00172C66&quot;/&gt;&lt;wsp:rsid wsp:val=&quot;001732AD&quot;/&gt;&lt;wsp:rsid wsp:val=&quot;00173A42&quot;/&gt;&lt;wsp:rsid wsp:val=&quot;00174080&quot;/&gt;&lt;wsp:rsid wsp:val=&quot;0017460C&quot;/&gt;&lt;wsp:rsid wsp:val=&quot;00174954&quot;/&gt;&lt;wsp:rsid wsp:val=&quot;00175A93&quot;/&gt;&lt;wsp:rsid wsp:val=&quot;00175DEA&quot;/&gt;&lt;wsp:rsid wsp:val=&quot;00176097&quot;/&gt;&lt;wsp:rsid wsp:val=&quot;001764DB&quot;/&gt;&lt;wsp:rsid wsp:val=&quot;001766FF&quot;/&gt;&lt;wsp:rsid wsp:val=&quot;00176CCF&quot;/&gt;&lt;wsp:rsid wsp:val=&quot;0017710F&quot;/&gt;&lt;wsp:rsid wsp:val=&quot;00177598&quot;/&gt;&lt;wsp:rsid wsp:val=&quot;00180BC1&quot;/&gt;&lt;wsp:rsid wsp:val=&quot;00181231&quot;/&gt;&lt;wsp:rsid wsp:val=&quot;001817D0&quot;/&gt;&lt;wsp:rsid wsp:val=&quot;0018203F&quot;/&gt;&lt;wsp:rsid wsp:val=&quot;001826DE&quot;/&gt;&lt;wsp:rsid wsp:val=&quot;00182A4B&quot;/&gt;&lt;wsp:rsid wsp:val=&quot;00182F08&quot;/&gt;&lt;wsp:rsid wsp:val=&quot;00183046&quot;/&gt;&lt;wsp:rsid wsp:val=&quot;00184A0B&quot;/&gt;&lt;wsp:rsid wsp:val=&quot;0018505D&quot;/&gt;&lt;wsp:rsid wsp:val=&quot;00185642&quot;/&gt;&lt;wsp:rsid wsp:val=&quot;001857EA&quot;/&gt;&lt;wsp:rsid wsp:val=&quot;00185941&quot;/&gt;&lt;wsp:rsid wsp:val=&quot;0018643A&quot;/&gt;&lt;wsp:rsid wsp:val=&quot;0018738A&quot;/&gt;&lt;wsp:rsid wsp:val=&quot;00187AA0&quot;/&gt;&lt;wsp:rsid wsp:val=&quot;00187CA0&quot;/&gt;&lt;wsp:rsid wsp:val=&quot;0019035B&quot;/&gt;&lt;wsp:rsid wsp:val=&quot;001904E6&quot;/&gt;&lt;wsp:rsid wsp:val=&quot;00190980&quot;/&gt;&lt;wsp:rsid wsp:val=&quot;00190A71&quot;/&gt;&lt;wsp:rsid wsp:val=&quot;00190E86&quot;/&gt;&lt;wsp:rsid wsp:val=&quot;00190EB2&quot;/&gt;&lt;wsp:rsid wsp:val=&quot;00191ADA&quot;/&gt;&lt;wsp:rsid wsp:val=&quot;00191DD3&quot;/&gt;&lt;wsp:rsid wsp:val=&quot;00192918&quot;/&gt;&lt;wsp:rsid wsp:val=&quot;00192B08&quot;/&gt;&lt;wsp:rsid wsp:val=&quot;00192C73&quot;/&gt;&lt;wsp:rsid wsp:val=&quot;00192EA4&quot;/&gt;&lt;wsp:rsid wsp:val=&quot;00192F48&quot;/&gt;&lt;wsp:rsid wsp:val=&quot;00193994&quot;/&gt;&lt;wsp:rsid wsp:val=&quot;00194262&quot;/&gt;&lt;wsp:rsid wsp:val=&quot;0019570E&quot;/&gt;&lt;wsp:rsid wsp:val=&quot;00195973&quot;/&gt;&lt;wsp:rsid wsp:val=&quot;00195AF5&quot;/&gt;&lt;wsp:rsid wsp:val=&quot;00196C58&quot;/&gt;&lt;wsp:rsid wsp:val=&quot;00196CED&quot;/&gt;&lt;wsp:rsid wsp:val=&quot;00196CF0&quot;/&gt;&lt;wsp:rsid wsp:val=&quot;00196D79&quot;/&gt;&lt;wsp:rsid wsp:val=&quot;00196F70&quot;/&gt;&lt;wsp:rsid wsp:val=&quot;001973BA&quot;/&gt;&lt;wsp:rsid wsp:val=&quot;001973D1&quot;/&gt;&lt;wsp:rsid wsp:val=&quot;00197B67&quot;/&gt;&lt;wsp:rsid wsp:val=&quot;001A0658&quot;/&gt;&lt;wsp:rsid wsp:val=&quot;001A07F3&quot;/&gt;&lt;wsp:rsid wsp:val=&quot;001A0AA2&quot;/&gt;&lt;wsp:rsid wsp:val=&quot;001A1180&quot;/&gt;&lt;wsp:rsid wsp:val=&quot;001A16C0&quot;/&gt;&lt;wsp:rsid wsp:val=&quot;001A1BF5&quot;/&gt;&lt;wsp:rsid wsp:val=&quot;001A1DD2&quot;/&gt;&lt;wsp:rsid wsp:val=&quot;001A238C&quot;/&gt;&lt;wsp:rsid wsp:val=&quot;001A2C97&quot;/&gt;&lt;wsp:rsid wsp:val=&quot;001A2FFE&quot;/&gt;&lt;wsp:rsid wsp:val=&quot;001A3428&quot;/&gt;&lt;wsp:rsid wsp:val=&quot;001A3A19&quot;/&gt;&lt;wsp:rsid wsp:val=&quot;001A3AA2&quot;/&gt;&lt;wsp:rsid wsp:val=&quot;001A3C2A&quot;/&gt;&lt;wsp:rsid wsp:val=&quot;001A3FC7&quot;/&gt;&lt;wsp:rsid wsp:val=&quot;001A51AA&quot;/&gt;&lt;wsp:rsid wsp:val=&quot;001A5337&quot;/&gt;&lt;wsp:rsid wsp:val=&quot;001A5C2C&quot;/&gt;&lt;wsp:rsid wsp:val=&quot;001A6069&quot;/&gt;&lt;wsp:rsid wsp:val=&quot;001A665A&quot;/&gt;&lt;wsp:rsid wsp:val=&quot;001A6C55&quot;/&gt;&lt;wsp:rsid wsp:val=&quot;001A6F5A&quot;/&gt;&lt;wsp:rsid wsp:val=&quot;001A703B&quot;/&gt;&lt;wsp:rsid wsp:val=&quot;001A76D3&quot;/&gt;&lt;wsp:rsid wsp:val=&quot;001B0477&quot;/&gt;&lt;wsp:rsid wsp:val=&quot;001B04B1&quot;/&gt;&lt;wsp:rsid wsp:val=&quot;001B087B&quot;/&gt;&lt;wsp:rsid wsp:val=&quot;001B1070&quot;/&gt;&lt;wsp:rsid wsp:val=&quot;001B1176&quot;/&gt;&lt;wsp:rsid wsp:val=&quot;001B1309&quot;/&gt;&lt;wsp:rsid wsp:val=&quot;001B138D&quot;/&gt;&lt;wsp:rsid wsp:val=&quot;001B18C1&quot;/&gt;&lt;wsp:rsid wsp:val=&quot;001B18DA&quot;/&gt;&lt;wsp:rsid wsp:val=&quot;001B1B17&quot;/&gt;&lt;wsp:rsid wsp:val=&quot;001B1FAE&quot;/&gt;&lt;wsp:rsid wsp:val=&quot;001B233C&quot;/&gt;&lt;wsp:rsid wsp:val=&quot;001B2593&quot;/&gt;&lt;wsp:rsid wsp:val=&quot;001B3347&quot;/&gt;&lt;wsp:rsid wsp:val=&quot;001B339D&quot;/&gt;&lt;wsp:rsid wsp:val=&quot;001B34F0&quot;/&gt;&lt;wsp:rsid wsp:val=&quot;001B36EC&quot;/&gt;&lt;wsp:rsid wsp:val=&quot;001B3BA7&quot;/&gt;&lt;wsp:rsid wsp:val=&quot;001B41E8&quot;/&gt;&lt;wsp:rsid wsp:val=&quot;001B4FDB&quot;/&gt;&lt;wsp:rsid wsp:val=&quot;001B50C1&quot;/&gt;&lt;wsp:rsid wsp:val=&quot;001B514A&quot;/&gt;&lt;wsp:rsid wsp:val=&quot;001B52A7&quot;/&gt;&lt;wsp:rsid wsp:val=&quot;001B59FF&quot;/&gt;&lt;wsp:rsid wsp:val=&quot;001B5E47&quot;/&gt;&lt;wsp:rsid wsp:val=&quot;001B691B&quot;/&gt;&lt;wsp:rsid wsp:val=&quot;001B69DE&quot;/&gt;&lt;wsp:rsid wsp:val=&quot;001B6A64&quot;/&gt;&lt;wsp:rsid wsp:val=&quot;001B6F5E&quot;/&gt;&lt;wsp:rsid wsp:val=&quot;001B73D2&quot;/&gt;&lt;wsp:rsid wsp:val=&quot;001B7C4D&quot;/&gt;&lt;wsp:rsid wsp:val=&quot;001B7E27&quot;/&gt;&lt;wsp:rsid wsp:val=&quot;001C19E0&quot;/&gt;&lt;wsp:rsid wsp:val=&quot;001C1AD7&quot;/&gt;&lt;wsp:rsid wsp:val=&quot;001C23AF&quot;/&gt;&lt;wsp:rsid wsp:val=&quot;001C23F2&quot;/&gt;&lt;wsp:rsid wsp:val=&quot;001C2A94&quot;/&gt;&lt;wsp:rsid wsp:val=&quot;001C2AD9&quot;/&gt;&lt;wsp:rsid wsp:val=&quot;001C2BF3&quot;/&gt;&lt;wsp:rsid wsp:val=&quot;001C2C76&quot;/&gt;&lt;wsp:rsid wsp:val=&quot;001C2DF4&quot;/&gt;&lt;wsp:rsid wsp:val=&quot;001C4D5E&quot;/&gt;&lt;wsp:rsid wsp:val=&quot;001C5CD2&quot;/&gt;&lt;wsp:rsid wsp:val=&quot;001C5E26&quot;/&gt;&lt;wsp:rsid wsp:val=&quot;001C5F75&quot;/&gt;&lt;wsp:rsid wsp:val=&quot;001C61AD&quot;/&gt;&lt;wsp:rsid wsp:val=&quot;001C6830&quot;/&gt;&lt;wsp:rsid wsp:val=&quot;001C7D37&quot;/&gt;&lt;wsp:rsid wsp:val=&quot;001C7E1C&quot;/&gt;&lt;wsp:rsid wsp:val=&quot;001D0379&quot;/&gt;&lt;wsp:rsid wsp:val=&quot;001D0473&quot;/&gt;&lt;wsp:rsid wsp:val=&quot;001D0F78&quot;/&gt;&lt;wsp:rsid wsp:val=&quot;001D1396&quot;/&gt;&lt;wsp:rsid wsp:val=&quot;001D14EF&quot;/&gt;&lt;wsp:rsid wsp:val=&quot;001D205B&quot;/&gt;&lt;wsp:rsid wsp:val=&quot;001D339C&quot;/&gt;&lt;wsp:rsid wsp:val=&quot;001D3D6C&quot;/&gt;&lt;wsp:rsid wsp:val=&quot;001D3F26&quot;/&gt;&lt;wsp:rsid wsp:val=&quot;001D4DE0&quot;/&gt;&lt;wsp:rsid wsp:val=&quot;001D53AD&quot;/&gt;&lt;wsp:rsid wsp:val=&quot;001D5B3A&quot;/&gt;&lt;wsp:rsid wsp:val=&quot;001D5C18&quot;/&gt;&lt;wsp:rsid wsp:val=&quot;001D5F9C&quot;/&gt;&lt;wsp:rsid wsp:val=&quot;001D66DD&quot;/&gt;&lt;wsp:rsid wsp:val=&quot;001D693D&quot;/&gt;&lt;wsp:rsid wsp:val=&quot;001D6A98&quot;/&gt;&lt;wsp:rsid wsp:val=&quot;001D78C0&quot;/&gt;&lt;wsp:rsid wsp:val=&quot;001E0824&quot;/&gt;&lt;wsp:rsid wsp:val=&quot;001E0835&quot;/&gt;&lt;wsp:rsid wsp:val=&quot;001E0B02&quot;/&gt;&lt;wsp:rsid wsp:val=&quot;001E0D9D&quot;/&gt;&lt;wsp:rsid wsp:val=&quot;001E11E9&quot;/&gt;&lt;wsp:rsid wsp:val=&quot;001E1628&quot;/&gt;&lt;wsp:rsid wsp:val=&quot;001E164E&quot;/&gt;&lt;wsp:rsid wsp:val=&quot;001E1E06&quot;/&gt;&lt;wsp:rsid wsp:val=&quot;001E1FE5&quot;/&gt;&lt;wsp:rsid wsp:val=&quot;001E2038&quot;/&gt;&lt;wsp:rsid wsp:val=&quot;001E20CE&quot;/&gt;&lt;wsp:rsid wsp:val=&quot;001E2340&quot;/&gt;&lt;wsp:rsid wsp:val=&quot;001E251E&quot;/&gt;&lt;wsp:rsid wsp:val=&quot;001E31AA&quot;/&gt;&lt;wsp:rsid wsp:val=&quot;001E389A&quot;/&gt;&lt;wsp:rsid wsp:val=&quot;001E3951&quot;/&gt;&lt;wsp:rsid wsp:val=&quot;001E420F&quot;/&gt;&lt;wsp:rsid wsp:val=&quot;001E5555&quot;/&gt;&lt;wsp:rsid wsp:val=&quot;001E57A3&quot;/&gt;&lt;wsp:rsid wsp:val=&quot;001E5802&quot;/&gt;&lt;wsp:rsid wsp:val=&quot;001E613F&quot;/&gt;&lt;wsp:rsid wsp:val=&quot;001E6332&quot;/&gt;&lt;wsp:rsid wsp:val=&quot;001E6515&quot;/&gt;&lt;wsp:rsid wsp:val=&quot;001E6710&quot;/&gt;&lt;wsp:rsid wsp:val=&quot;001E6742&quot;/&gt;&lt;wsp:rsid wsp:val=&quot;001E67D5&quot;/&gt;&lt;wsp:rsid wsp:val=&quot;001E70E8&quot;/&gt;&lt;wsp:rsid wsp:val=&quot;001E757F&quot;/&gt;&lt;wsp:rsid wsp:val=&quot;001E777F&quot;/&gt;&lt;wsp:rsid wsp:val=&quot;001E7A73&quot;/&gt;&lt;wsp:rsid wsp:val=&quot;001E7F20&quot;/&gt;&lt;wsp:rsid wsp:val=&quot;001F038E&quot;/&gt;&lt;wsp:rsid wsp:val=&quot;001F03E1&quot;/&gt;&lt;wsp:rsid wsp:val=&quot;001F041A&quot;/&gt;&lt;wsp:rsid wsp:val=&quot;001F08C2&quot;/&gt;&lt;wsp:rsid wsp:val=&quot;001F0CF2&quot;/&gt;&lt;wsp:rsid wsp:val=&quot;001F0E2B&quot;/&gt;&lt;wsp:rsid wsp:val=&quot;001F0F72&quot;/&gt;&lt;wsp:rsid wsp:val=&quot;001F17F3&quot;/&gt;&lt;wsp:rsid wsp:val=&quot;001F1A99&quot;/&gt;&lt;wsp:rsid wsp:val=&quot;001F1D9A&quot;/&gt;&lt;wsp:rsid wsp:val=&quot;001F2472&quot;/&gt;&lt;wsp:rsid wsp:val=&quot;001F265D&quot;/&gt;&lt;wsp:rsid wsp:val=&quot;001F41DF&quot;/&gt;&lt;wsp:rsid wsp:val=&quot;001F423A&quot;/&gt;&lt;wsp:rsid wsp:val=&quot;001F48E5&quot;/&gt;&lt;wsp:rsid wsp:val=&quot;001F48F8&quot;/&gt;&lt;wsp:rsid wsp:val=&quot;001F4C61&quot;/&gt;&lt;wsp:rsid wsp:val=&quot;001F521B&quot;/&gt;&lt;wsp:rsid wsp:val=&quot;001F5AB9&quot;/&gt;&lt;wsp:rsid wsp:val=&quot;001F647C&quot;/&gt;&lt;wsp:rsid wsp:val=&quot;001F66A5&quot;/&gt;&lt;wsp:rsid wsp:val=&quot;001F69ED&quot;/&gt;&lt;wsp:rsid wsp:val=&quot;001F6CA4&quot;/&gt;&lt;wsp:rsid wsp:val=&quot;001F7205&quot;/&gt;&lt;wsp:rsid wsp:val=&quot;001F7A09&quot;/&gt;&lt;wsp:rsid wsp:val=&quot;002005B3&quot;/&gt;&lt;wsp:rsid wsp:val=&quot;00200F99&quot;/&gt;&lt;wsp:rsid wsp:val=&quot;002014E4&quot;/&gt;&lt;wsp:rsid wsp:val=&quot;002016C4&quot;/&gt;&lt;wsp:rsid wsp:val=&quot;00201A3F&quot;/&gt;&lt;wsp:rsid wsp:val=&quot;00201AFE&quot;/&gt;&lt;wsp:rsid wsp:val=&quot;00201EAB&quot;/&gt;&lt;wsp:rsid wsp:val=&quot;0020221B&quot;/&gt;&lt;wsp:rsid wsp:val=&quot;00202700&quot;/&gt;&lt;wsp:rsid wsp:val=&quot;0020283D&quot;/&gt;&lt;wsp:rsid wsp:val=&quot;00202891&quot;/&gt;&lt;wsp:rsid wsp:val=&quot;00202BC2&quot;/&gt;&lt;wsp:rsid wsp:val=&quot;00203501&quot;/&gt;&lt;wsp:rsid wsp:val=&quot;0020397F&quot;/&gt;&lt;wsp:rsid wsp:val=&quot;002039F0&quot;/&gt;&lt;wsp:rsid wsp:val=&quot;00203DAC&quot;/&gt;&lt;wsp:rsid wsp:val=&quot;0020406A&quot;/&gt;&lt;wsp:rsid wsp:val=&quot;00204189&quot;/&gt;&lt;wsp:rsid wsp:val=&quot;00204A87&quot;/&gt;&lt;wsp:rsid wsp:val=&quot;00204FAD&quot;/&gt;&lt;wsp:rsid wsp:val=&quot;00205174&quot;/&gt;&lt;wsp:rsid wsp:val=&quot;002055D5&quot;/&gt;&lt;wsp:rsid wsp:val=&quot;0020563D&quot;/&gt;&lt;wsp:rsid wsp:val=&quot;00205DAE&quot;/&gt;&lt;wsp:rsid wsp:val=&quot;0020667B&quot;/&gt;&lt;wsp:rsid wsp:val=&quot;00207255&quot;/&gt;&lt;wsp:rsid wsp:val=&quot;002075E1&quot;/&gt;&lt;wsp:rsid wsp:val=&quot;002078C7&quot;/&gt;&lt;wsp:rsid wsp:val=&quot;00207A6A&quot;/&gt;&lt;wsp:rsid wsp:val=&quot;002103BE&quot;/&gt;&lt;wsp:rsid wsp:val=&quot;002103E5&quot;/&gt;&lt;wsp:rsid wsp:val=&quot;0021054A&quot;/&gt;&lt;wsp:rsid wsp:val=&quot;002107F5&quot;/&gt;&lt;wsp:rsid wsp:val=&quot;00211024&quot;/&gt;&lt;wsp:rsid wsp:val=&quot;00211602&quot;/&gt;&lt;wsp:rsid wsp:val=&quot;0021170C&quot;/&gt;&lt;wsp:rsid wsp:val=&quot;0021277D&quot;/&gt;&lt;wsp:rsid wsp:val=&quot;00212A00&quot;/&gt;&lt;wsp:rsid wsp:val=&quot;00212BBF&quot;/&gt;&lt;wsp:rsid wsp:val=&quot;002130B4&quot;/&gt;&lt;wsp:rsid wsp:val=&quot;00213597&quot;/&gt;&lt;wsp:rsid wsp:val=&quot;00213AA5&quot;/&gt;&lt;wsp:rsid wsp:val=&quot;00213BF0&quot;/&gt;&lt;wsp:rsid wsp:val=&quot;00213EEE&quot;/&gt;&lt;wsp:rsid wsp:val=&quot;002140F2&quot;/&gt;&lt;wsp:rsid wsp:val=&quot;002141CD&quot;/&gt;&lt;wsp:rsid wsp:val=&quot;0021431A&quot;/&gt;&lt;wsp:rsid wsp:val=&quot;0021440B&quot;/&gt;&lt;wsp:rsid wsp:val=&quot;00214598&quot;/&gt;&lt;wsp:rsid wsp:val=&quot;002149C8&quot;/&gt;&lt;wsp:rsid wsp:val=&quot;00215A51&quot;/&gt;&lt;wsp:rsid wsp:val=&quot;0021691D&quot;/&gt;&lt;wsp:rsid wsp:val=&quot;00216C11&quot;/&gt;&lt;wsp:rsid wsp:val=&quot;002172AA&quot;/&gt;&lt;wsp:rsid wsp:val=&quot;00217C7F&quot;/&gt;&lt;wsp:rsid wsp:val=&quot;00217CAD&quot;/&gt;&lt;wsp:rsid wsp:val=&quot;00217D70&quot;/&gt;&lt;wsp:rsid wsp:val=&quot;00217F0B&quot;/&gt;&lt;wsp:rsid wsp:val=&quot;002205A4&quot;/&gt;&lt;wsp:rsid wsp:val=&quot;0022071E&quot;/&gt;&lt;wsp:rsid wsp:val=&quot;00220861&quot;/&gt;&lt;wsp:rsid wsp:val=&quot;00221DAC&quot;/&gt;&lt;wsp:rsid wsp:val=&quot;002221CB&quot;/&gt;&lt;wsp:rsid wsp:val=&quot;002238F8&quot;/&gt;&lt;wsp:rsid wsp:val=&quot;00223EFA&quot;/&gt;&lt;wsp:rsid wsp:val=&quot;002243FD&quot;/&gt;&lt;wsp:rsid wsp:val=&quot;00224A36&quot;/&gt;&lt;wsp:rsid wsp:val=&quot;00224C82&quot;/&gt;&lt;wsp:rsid wsp:val=&quot;00224CF7&quot;/&gt;&lt;wsp:rsid wsp:val=&quot;002253BB&quot;/&gt;&lt;wsp:rsid wsp:val=&quot;002256B7&quot;/&gt;&lt;wsp:rsid wsp:val=&quot;00225914&quot;/&gt;&lt;wsp:rsid wsp:val=&quot;00225B00&quot;/&gt;&lt;wsp:rsid wsp:val=&quot;00225F2C&quot;/&gt;&lt;wsp:rsid wsp:val=&quot;002262C8&quot;/&gt;&lt;wsp:rsid wsp:val=&quot;00226B02&quot;/&gt;&lt;wsp:rsid wsp:val=&quot;00226B49&quot;/&gt;&lt;wsp:rsid wsp:val=&quot;00227406&quot;/&gt;&lt;wsp:rsid wsp:val=&quot;0022743C&quot;/&gt;&lt;wsp:rsid wsp:val=&quot;0022748A&quot;/&gt;&lt;wsp:rsid wsp:val=&quot;00227EC9&quot;/&gt;&lt;wsp:rsid wsp:val=&quot;002302D6&quot;/&gt;&lt;wsp:rsid wsp:val=&quot;002309F9&quot;/&gt;&lt;wsp:rsid wsp:val=&quot;00230C52&quot;/&gt;&lt;wsp:rsid wsp:val=&quot;00231322&quot;/&gt;&lt;wsp:rsid wsp:val=&quot;002313B8&quot;/&gt;&lt;wsp:rsid wsp:val=&quot;00231A4F&quot;/&gt;&lt;wsp:rsid wsp:val=&quot;00231B21&quot;/&gt;&lt;wsp:rsid wsp:val=&quot;00231D91&quot;/&gt;&lt;wsp:rsid wsp:val=&quot;00231DC4&quot;/&gt;&lt;wsp:rsid wsp:val=&quot;002324B1&quot;/&gt;&lt;wsp:rsid wsp:val=&quot;00232B79&quot;/&gt;&lt;wsp:rsid wsp:val=&quot;00232D27&quot;/&gt;&lt;wsp:rsid wsp:val=&quot;00232D95&quot;/&gt;&lt;wsp:rsid wsp:val=&quot;00232F95&quot;/&gt;&lt;wsp:rsid wsp:val=&quot;00233779&quot;/&gt;&lt;wsp:rsid wsp:val=&quot;00233D50&quot;/&gt;&lt;wsp:rsid wsp:val=&quot;0023431F&quot;/&gt;&lt;wsp:rsid wsp:val=&quot;0023455F&quot;/&gt;&lt;wsp:rsid wsp:val=&quot;00234729&quot;/&gt;&lt;wsp:rsid wsp:val=&quot;0023491E&quot;/&gt;&lt;wsp:rsid wsp:val=&quot;00234AEB&quot;/&gt;&lt;wsp:rsid wsp:val=&quot;00234CD7&quot;/&gt;&lt;wsp:rsid wsp:val=&quot;00234D5C&quot;/&gt;&lt;wsp:rsid wsp:val=&quot;00234F18&quot;/&gt;&lt;wsp:rsid wsp:val=&quot;0023530D&quot;/&gt;&lt;wsp:rsid wsp:val=&quot;00235872&quot;/&gt;&lt;wsp:rsid wsp:val=&quot;00235C73&quot;/&gt;&lt;wsp:rsid wsp:val=&quot;0023657F&quot;/&gt;&lt;wsp:rsid wsp:val=&quot;002365DA&quot;/&gt;&lt;wsp:rsid wsp:val=&quot;00236A30&quot;/&gt;&lt;wsp:rsid wsp:val=&quot;002370D2&quot;/&gt;&lt;wsp:rsid wsp:val=&quot;00237180&quot;/&gt;&lt;wsp:rsid wsp:val=&quot;00237804&quot;/&gt;&lt;wsp:rsid wsp:val=&quot;00237CC4&quot;/&gt;&lt;wsp:rsid wsp:val=&quot;002403F0&quot;/&gt;&lt;wsp:rsid wsp:val=&quot;002405EF&quot;/&gt;&lt;wsp:rsid wsp:val=&quot;00240745&quot;/&gt;&lt;wsp:rsid wsp:val=&quot;00240963&quot;/&gt;&lt;wsp:rsid wsp:val=&quot;00240968&quot;/&gt;&lt;wsp:rsid wsp:val=&quot;00240A1B&quot;/&gt;&lt;wsp:rsid wsp:val=&quot;00241128&quot;/&gt;&lt;wsp:rsid wsp:val=&quot;00241877&quot;/&gt;&lt;wsp:rsid wsp:val=&quot;00241878&quot;/&gt;&lt;wsp:rsid wsp:val=&quot;00241969&quot;/&gt;&lt;wsp:rsid wsp:val=&quot;00241E93&quot;/&gt;&lt;wsp:rsid wsp:val=&quot;00241F28&quot;/&gt;&lt;wsp:rsid wsp:val=&quot;002420EE&quot;/&gt;&lt;wsp:rsid wsp:val=&quot;002422BC&quot;/&gt;&lt;wsp:rsid wsp:val=&quot;00242907&quot;/&gt;&lt;wsp:rsid wsp:val=&quot;00242D76&quot;/&gt;&lt;wsp:rsid wsp:val=&quot;002430DD&quot;/&gt;&lt;wsp:rsid wsp:val=&quot;002438CA&quot;/&gt;&lt;wsp:rsid wsp:val=&quot;00243FED&quot;/&gt;&lt;wsp:rsid wsp:val=&quot;002443F1&quot;/&gt;&lt;wsp:rsid wsp:val=&quot;002444F2&quot;/&gt;&lt;wsp:rsid wsp:val=&quot;002444F4&quot;/&gt;&lt;wsp:rsid wsp:val=&quot;002448BE&quot;/&gt;&lt;wsp:rsid wsp:val=&quot;002448EF&quot;/&gt;&lt;wsp:rsid wsp:val=&quot;00244E58&quot;/&gt;&lt;wsp:rsid wsp:val=&quot;002456C6&quot;/&gt;&lt;wsp:rsid wsp:val=&quot;002458DD&quot;/&gt;&lt;wsp:rsid wsp:val=&quot;00245907&quot;/&gt;&lt;wsp:rsid wsp:val=&quot;0024602D&quot;/&gt;&lt;wsp:rsid wsp:val=&quot;0024643E&quot;/&gt;&lt;wsp:rsid wsp:val=&quot;00246F8B&quot;/&gt;&lt;wsp:rsid wsp:val=&quot;00247125&quot;/&gt;&lt;wsp:rsid wsp:val=&quot;002473B8&quot;/&gt;&lt;wsp:rsid wsp:val=&quot;00247659&quot;/&gt;&lt;wsp:rsid wsp:val=&quot;00247720&quot;/&gt;&lt;wsp:rsid wsp:val=&quot;00247C13&quot;/&gt;&lt;wsp:rsid wsp:val=&quot;00251EE0&quot;/&gt;&lt;wsp:rsid wsp:val=&quot;00251FD5&quot;/&gt;&lt;wsp:rsid wsp:val=&quot;00252164&quot;/&gt;&lt;wsp:rsid wsp:val=&quot;002524CF&quot;/&gt;&lt;wsp:rsid wsp:val=&quot;0025257C&quot;/&gt;&lt;wsp:rsid wsp:val=&quot;00252B13&quot;/&gt;&lt;wsp:rsid wsp:val=&quot;00252EA7&quot;/&gt;&lt;wsp:rsid wsp:val=&quot;00253011&quot;/&gt;&lt;wsp:rsid wsp:val=&quot;00253093&quot;/&gt;&lt;wsp:rsid wsp:val=&quot;0025354E&quot;/&gt;&lt;wsp:rsid wsp:val=&quot;00253D0A&quot;/&gt;&lt;wsp:rsid wsp:val=&quot;0025429C&quot;/&gt;&lt;wsp:rsid wsp:val=&quot;002543C9&quot;/&gt;&lt;wsp:rsid wsp:val=&quot;0025441C&quot;/&gt;&lt;wsp:rsid wsp:val=&quot;002544FB&quot;/&gt;&lt;wsp:rsid wsp:val=&quot;0025450D&quot;/&gt;&lt;wsp:rsid wsp:val=&quot;00254847&quot;/&gt;&lt;wsp:rsid wsp:val=&quot;00254B22&quot;/&gt;&lt;wsp:rsid wsp:val=&quot;00254DE3&quot;/&gt;&lt;wsp:rsid wsp:val=&quot;00255F84&quot;/&gt;&lt;wsp:rsid wsp:val=&quot;002563BA&quot;/&gt;&lt;wsp:rsid wsp:val=&quot;002565B7&quot;/&gt;&lt;wsp:rsid wsp:val=&quot;00256814&quot;/&gt;&lt;wsp:rsid wsp:val=&quot;00256A7B&quot;/&gt;&lt;wsp:rsid wsp:val=&quot;00256C4F&quot;/&gt;&lt;wsp:rsid wsp:val=&quot;00256F77&quot;/&gt;&lt;wsp:rsid wsp:val=&quot;00257737&quot;/&gt;&lt;wsp:rsid wsp:val=&quot;00257B64&quot;/&gt;&lt;wsp:rsid wsp:val=&quot;00257B9E&quot;/&gt;&lt;wsp:rsid wsp:val=&quot;00257C29&quot;/&gt;&lt;wsp:rsid wsp:val=&quot;002601AB&quot;/&gt;&lt;wsp:rsid wsp:val=&quot;00260686&quot;/&gt;&lt;wsp:rsid wsp:val=&quot;00260AA6&quot;/&gt;&lt;wsp:rsid wsp:val=&quot;00261838&quot;/&gt;&lt;wsp:rsid wsp:val=&quot;00261B05&quot;/&gt;&lt;wsp:rsid wsp:val=&quot;00261DB0&quot;/&gt;&lt;wsp:rsid wsp:val=&quot;002627A6&quot;/&gt;&lt;wsp:rsid wsp:val=&quot;00263309&quot;/&gt;&lt;wsp:rsid wsp:val=&quot;0026387E&quot;/&gt;&lt;wsp:rsid wsp:val=&quot;002647A9&quot;/&gt;&lt;wsp:rsid wsp:val=&quot;00264D9E&quot;/&gt;&lt;wsp:rsid wsp:val=&quot;002651A6&quot;/&gt;&lt;wsp:rsid wsp:val=&quot;0026548D&quot;/&gt;&lt;wsp:rsid wsp:val=&quot;00265DCA&quot;/&gt;&lt;wsp:rsid wsp:val=&quot;002664CF&quot;/&gt;&lt;wsp:rsid wsp:val=&quot;00266B76&quot;/&gt;&lt;wsp:rsid wsp:val=&quot;002673EC&quot;/&gt;&lt;wsp:rsid wsp:val=&quot;00267892&quot;/&gt;&lt;wsp:rsid wsp:val=&quot;00267921&quot;/&gt;&lt;wsp:rsid wsp:val=&quot;002679CE&quot;/&gt;&lt;wsp:rsid wsp:val=&quot;002706FD&quot;/&gt;&lt;wsp:rsid wsp:val=&quot;00270A59&quot;/&gt;&lt;wsp:rsid wsp:val=&quot;00270E1C&quot;/&gt;&lt;wsp:rsid wsp:val=&quot;0027112F&quot;/&gt;&lt;wsp:rsid wsp:val=&quot;00271280&quot;/&gt;&lt;wsp:rsid wsp:val=&quot;00271523&quot;/&gt;&lt;wsp:rsid wsp:val=&quot;00271583&quot;/&gt;&lt;wsp:rsid wsp:val=&quot;00271AD7&quot;/&gt;&lt;wsp:rsid wsp:val=&quot;00271F7B&quot;/&gt;&lt;wsp:rsid wsp:val=&quot;002720F5&quot;/&gt;&lt;wsp:rsid wsp:val=&quot;002724F9&quot;/&gt;&lt;wsp:rsid wsp:val=&quot;0027254D&quot;/&gt;&lt;wsp:rsid wsp:val=&quot;002726B1&quot;/&gt;&lt;wsp:rsid wsp:val=&quot;002727A0&quot;/&gt;&lt;wsp:rsid wsp:val=&quot;0027322E&quot;/&gt;&lt;wsp:rsid wsp:val=&quot;00273358&quot;/&gt;&lt;wsp:rsid wsp:val=&quot;00273BCC&quot;/&gt;&lt;wsp:rsid wsp:val=&quot;00273DB4&quot;/&gt;&lt;wsp:rsid wsp:val=&quot;002747BF&quot;/&gt;&lt;wsp:rsid wsp:val=&quot;0027488B&quot;/&gt;&lt;wsp:rsid wsp:val=&quot;002749A5&quot;/&gt;&lt;wsp:rsid wsp:val=&quot;002754D6&quot;/&gt;&lt;wsp:rsid wsp:val=&quot;00275BAF&quot;/&gt;&lt;wsp:rsid wsp:val=&quot;0027625F&quot;/&gt;&lt;wsp:rsid wsp:val=&quot;002764EA&quot;/&gt;&lt;wsp:rsid wsp:val=&quot;002769B7&quot;/&gt;&lt;wsp:rsid wsp:val=&quot;00276A39&quot;/&gt;&lt;wsp:rsid wsp:val=&quot;00277326&quot;/&gt;&lt;wsp:rsid wsp:val=&quot;002776F1&quot;/&gt;&lt;wsp:rsid wsp:val=&quot;0027773C&quot;/&gt;&lt;wsp:rsid wsp:val=&quot;0027775C&quot;/&gt;&lt;wsp:rsid wsp:val=&quot;00277D84&quot;/&gt;&lt;wsp:rsid wsp:val=&quot;00277F24&quot;/&gt;&lt;wsp:rsid wsp:val=&quot;0028068B&quot;/&gt;&lt;wsp:rsid wsp:val=&quot;002806CF&quot;/&gt;&lt;wsp:rsid wsp:val=&quot;00281377&quot;/&gt;&lt;wsp:rsid wsp:val=&quot;002813AE&quot;/&gt;&lt;wsp:rsid wsp:val=&quot;00281D06&quot;/&gt;&lt;wsp:rsid wsp:val=&quot;00282320&quot;/&gt;&lt;wsp:rsid wsp:val=&quot;002830EC&quot;/&gt;&lt;wsp:rsid wsp:val=&quot;002839F7&quot;/&gt;&lt;wsp:rsid wsp:val=&quot;00283A03&quot;/&gt;&lt;wsp:rsid wsp:val=&quot;00283AA1&quot;/&gt;&lt;wsp:rsid wsp:val=&quot;00283AB5&quot;/&gt;&lt;wsp:rsid wsp:val=&quot;0028428B&quot;/&gt;&lt;wsp:rsid wsp:val=&quot;00284415&quot;/&gt;&lt;wsp:rsid wsp:val=&quot;00284437&quot;/&gt;&lt;wsp:rsid wsp:val=&quot;002847DE&quot;/&gt;&lt;wsp:rsid wsp:val=&quot;00284F07&quot;/&gt;&lt;wsp:rsid wsp:val=&quot;002851AF&quot;/&gt;&lt;wsp:rsid wsp:val=&quot;002853A5&quot;/&gt;&lt;wsp:rsid wsp:val=&quot;0028569B&quot;/&gt;&lt;wsp:rsid wsp:val=&quot;00285790&quot;/&gt;&lt;wsp:rsid wsp:val=&quot;00285DBA&quot;/&gt;&lt;wsp:rsid wsp:val=&quot;00285DFF&quot;/&gt;&lt;wsp:rsid wsp:val=&quot;0028667C&quot;/&gt;&lt;wsp:rsid wsp:val=&quot;00286F92&quot;/&gt;&lt;wsp:rsid wsp:val=&quot;002874AC&quot;/&gt;&lt;wsp:rsid wsp:val=&quot;00287CFD&quot;/&gt;&lt;wsp:rsid wsp:val=&quot;002904B1&quot;/&gt;&lt;wsp:rsid wsp:val=&quot;0029067A&quot;/&gt;&lt;wsp:rsid wsp:val=&quot;00290711&quot;/&gt;&lt;wsp:rsid wsp:val=&quot;00290E4D&quot;/&gt;&lt;wsp:rsid wsp:val=&quot;002910CE&quot;/&gt;&lt;wsp:rsid wsp:val=&quot;0029181A&quot;/&gt;&lt;wsp:rsid wsp:val=&quot;00291AD0&quot;/&gt;&lt;wsp:rsid wsp:val=&quot;00291B1B&quot;/&gt;&lt;wsp:rsid wsp:val=&quot;00291EF5&quot;/&gt;&lt;wsp:rsid wsp:val=&quot;00292143&quot;/&gt;&lt;wsp:rsid wsp:val=&quot;002928F1&quot;/&gt;&lt;wsp:rsid wsp:val=&quot;002930E1&quot;/&gt;&lt;wsp:rsid wsp:val=&quot;0029329D&quot;/&gt;&lt;wsp:rsid wsp:val=&quot;0029364E&quot;/&gt;&lt;wsp:rsid wsp:val=&quot;00294050&quot;/&gt;&lt;wsp:rsid wsp:val=&quot;002944B2&quot;/&gt;&lt;wsp:rsid wsp:val=&quot;002948D0&quot;/&gt;&lt;wsp:rsid wsp:val=&quot;00294A78&quot;/&gt;&lt;wsp:rsid wsp:val=&quot;00295002&quot;/&gt;&lt;wsp:rsid wsp:val=&quot;00295862&quot;/&gt;&lt;wsp:rsid wsp:val=&quot;00295ACE&quot;/&gt;&lt;wsp:rsid wsp:val=&quot;00295B29&quot;/&gt;&lt;wsp:rsid wsp:val=&quot;00295B36&quot;/&gt;&lt;wsp:rsid wsp:val=&quot;00295BB0&quot;/&gt;&lt;wsp:rsid wsp:val=&quot;00296510&quot;/&gt;&lt;wsp:rsid wsp:val=&quot;002967AB&quot;/&gt;&lt;wsp:rsid wsp:val=&quot;00296BE6&quot;/&gt;&lt;wsp:rsid wsp:val=&quot;00296DDA&quot;/&gt;&lt;wsp:rsid wsp:val=&quot;00296FEC&quot;/&gt;&lt;wsp:rsid wsp:val=&quot;002972A1&quot;/&gt;&lt;wsp:rsid wsp:val=&quot;002974E0&quot;/&gt;&lt;wsp:rsid wsp:val=&quot;002979FC&quot;/&gt;&lt;wsp:rsid wsp:val=&quot;00297F76&quot;/&gt;&lt;wsp:rsid wsp:val=&quot;002A0000&quot;/&gt;&lt;wsp:rsid wsp:val=&quot;002A07F5&quot;/&gt;&lt;wsp:rsid wsp:val=&quot;002A08F6&quot;/&gt;&lt;wsp:rsid wsp:val=&quot;002A1117&quot;/&gt;&lt;wsp:rsid wsp:val=&quot;002A11F7&quot;/&gt;&lt;wsp:rsid wsp:val=&quot;002A1978&quot;/&gt;&lt;wsp:rsid wsp:val=&quot;002A1CF3&quot;/&gt;&lt;wsp:rsid wsp:val=&quot;002A1DF8&quot;/&gt;&lt;wsp:rsid wsp:val=&quot;002A2C46&quot;/&gt;&lt;wsp:rsid wsp:val=&quot;002A2C9B&quot;/&gt;&lt;wsp:rsid wsp:val=&quot;002A3015&quot;/&gt;&lt;wsp:rsid wsp:val=&quot;002A3219&quot;/&gt;&lt;wsp:rsid wsp:val=&quot;002A3841&quot;/&gt;&lt;wsp:rsid wsp:val=&quot;002A40DF&quot;/&gt;&lt;wsp:rsid wsp:val=&quot;002A4287&quot;/&gt;&lt;wsp:rsid wsp:val=&quot;002A4785&quot;/&gt;&lt;wsp:rsid wsp:val=&quot;002A4802&quot;/&gt;&lt;wsp:rsid wsp:val=&quot;002A48D2&quot;/&gt;&lt;wsp:rsid wsp:val=&quot;002A4AD0&quot;/&gt;&lt;wsp:rsid wsp:val=&quot;002A572B&quot;/&gt;&lt;wsp:rsid wsp:val=&quot;002A5A04&quot;/&gt;&lt;wsp:rsid wsp:val=&quot;002A5D9A&quot;/&gt;&lt;wsp:rsid wsp:val=&quot;002A630B&quot;/&gt;&lt;wsp:rsid wsp:val=&quot;002A6551&quot;/&gt;&lt;wsp:rsid wsp:val=&quot;002A697E&quot;/&gt;&lt;wsp:rsid wsp:val=&quot;002A6B96&quot;/&gt;&lt;wsp:rsid wsp:val=&quot;002A6D5F&quot;/&gt;&lt;wsp:rsid wsp:val=&quot;002A73B9&quot;/&gt;&lt;wsp:rsid wsp:val=&quot;002A76E2&quot;/&gt;&lt;wsp:rsid wsp:val=&quot;002A7800&quot;/&gt;&lt;wsp:rsid wsp:val=&quot;002B01D8&quot;/&gt;&lt;wsp:rsid wsp:val=&quot;002B046D&quot;/&gt;&lt;wsp:rsid wsp:val=&quot;002B090E&quot;/&gt;&lt;wsp:rsid wsp:val=&quot;002B09DD&quot;/&gt;&lt;wsp:rsid wsp:val=&quot;002B0F6D&quot;/&gt;&lt;wsp:rsid wsp:val=&quot;002B0FD8&quot;/&gt;&lt;wsp:rsid wsp:val=&quot;002B2215&quot;/&gt;&lt;wsp:rsid wsp:val=&quot;002B27AC&quot;/&gt;&lt;wsp:rsid wsp:val=&quot;002B3740&quot;/&gt;&lt;wsp:rsid wsp:val=&quot;002B3CE6&quot;/&gt;&lt;wsp:rsid wsp:val=&quot;002B3CF4&quot;/&gt;&lt;wsp:rsid wsp:val=&quot;002B41C2&quot;/&gt;&lt;wsp:rsid wsp:val=&quot;002B55AD&quot;/&gt;&lt;wsp:rsid wsp:val=&quot;002B5B71&quot;/&gt;&lt;wsp:rsid wsp:val=&quot;002B5CA6&quot;/&gt;&lt;wsp:rsid wsp:val=&quot;002B5D6F&quot;/&gt;&lt;wsp:rsid wsp:val=&quot;002B62AF&quot;/&gt;&lt;wsp:rsid wsp:val=&quot;002B6488&quot;/&gt;&lt;wsp:rsid wsp:val=&quot;002B66C9&quot;/&gt;&lt;wsp:rsid wsp:val=&quot;002B6C83&quot;/&gt;&lt;wsp:rsid wsp:val=&quot;002B7B54&quot;/&gt;&lt;wsp:rsid wsp:val=&quot;002C0618&quot;/&gt;&lt;wsp:rsid wsp:val=&quot;002C069F&quot;/&gt;&lt;wsp:rsid wsp:val=&quot;002C06B8&quot;/&gt;&lt;wsp:rsid wsp:val=&quot;002C0D17&quot;/&gt;&lt;wsp:rsid wsp:val=&quot;002C0F8F&quot;/&gt;&lt;wsp:rsid wsp:val=&quot;002C0FB0&quot;/&gt;&lt;wsp:rsid wsp:val=&quot;002C173E&quot;/&gt;&lt;wsp:rsid wsp:val=&quot;002C1BE4&quot;/&gt;&lt;wsp:rsid wsp:val=&quot;002C1FC2&quot;/&gt;&lt;wsp:rsid wsp:val=&quot;002C24E6&quot;/&gt;&lt;wsp:rsid wsp:val=&quot;002C2B6E&quot;/&gt;&lt;wsp:rsid wsp:val=&quot;002C3186&quot;/&gt;&lt;wsp:rsid wsp:val=&quot;002C32CD&quot;/&gt;&lt;wsp:rsid wsp:val=&quot;002C3A1A&quot;/&gt;&lt;wsp:rsid wsp:val=&quot;002C3E0D&quot;/&gt;&lt;wsp:rsid wsp:val=&quot;002C3F3A&quot;/&gt;&lt;wsp:rsid wsp:val=&quot;002C4558&quot;/&gt;&lt;wsp:rsid wsp:val=&quot;002C4E7C&quot;/&gt;&lt;wsp:rsid wsp:val=&quot;002C5030&quot;/&gt;&lt;wsp:rsid wsp:val=&quot;002C5F6D&quot;/&gt;&lt;wsp:rsid wsp:val=&quot;002C6B73&quot;/&gt;&lt;wsp:rsid wsp:val=&quot;002C6C8F&quot;/&gt;&lt;wsp:rsid wsp:val=&quot;002C6EDD&quot;/&gt;&lt;wsp:rsid wsp:val=&quot;002C6FBD&quot;/&gt;&lt;wsp:rsid wsp:val=&quot;002C70FE&quot;/&gt;&lt;wsp:rsid wsp:val=&quot;002C7374&quot;/&gt;&lt;wsp:rsid wsp:val=&quot;002C7B72&quot;/&gt;&lt;wsp:rsid wsp:val=&quot;002D094C&quot;/&gt;&lt;wsp:rsid wsp:val=&quot;002D0A39&quot;/&gt;&lt;wsp:rsid wsp:val=&quot;002D0BBF&quot;/&gt;&lt;wsp:rsid wsp:val=&quot;002D0E83&quot;/&gt;&lt;wsp:rsid wsp:val=&quot;002D0F6C&quot;/&gt;&lt;wsp:rsid wsp:val=&quot;002D10F0&quot;/&gt;&lt;wsp:rsid wsp:val=&quot;002D1376&quot;/&gt;&lt;wsp:rsid wsp:val=&quot;002D1421&quot;/&gt;&lt;wsp:rsid wsp:val=&quot;002D18B0&quot;/&gt;&lt;wsp:rsid wsp:val=&quot;002D19BC&quot;/&gt;&lt;wsp:rsid wsp:val=&quot;002D1B0E&quot;/&gt;&lt;wsp:rsid wsp:val=&quot;002D1D22&quot;/&gt;&lt;wsp:rsid wsp:val=&quot;002D2543&quot;/&gt;&lt;wsp:rsid wsp:val=&quot;002D2813&quot;/&gt;&lt;wsp:rsid wsp:val=&quot;002D2925&quot;/&gt;&lt;wsp:rsid wsp:val=&quot;002D2B88&quot;/&gt;&lt;wsp:rsid wsp:val=&quot;002D33EA&quot;/&gt;&lt;wsp:rsid wsp:val=&quot;002D464F&quot;/&gt;&lt;wsp:rsid wsp:val=&quot;002D4743&quot;/&gt;&lt;wsp:rsid wsp:val=&quot;002D4994&quot;/&gt;&lt;wsp:rsid wsp:val=&quot;002D4CF0&quot;/&gt;&lt;wsp:rsid wsp:val=&quot;002D51AF&quot;/&gt;&lt;wsp:rsid wsp:val=&quot;002D61E9&quot;/&gt;&lt;wsp:rsid wsp:val=&quot;002D63A0&quot;/&gt;&lt;wsp:rsid wsp:val=&quot;002D7FD2&quot;/&gt;&lt;wsp:rsid wsp:val=&quot;002E0211&quot;/&gt;&lt;wsp:rsid wsp:val=&quot;002E08D3&quot;/&gt;&lt;wsp:rsid wsp:val=&quot;002E09DE&quot;/&gt;&lt;wsp:rsid wsp:val=&quot;002E0A15&quot;/&gt;&lt;wsp:rsid wsp:val=&quot;002E2642&quot;/&gt;&lt;wsp:rsid wsp:val=&quot;002E3074&quot;/&gt;&lt;wsp:rsid wsp:val=&quot;002E39D4&quot;/&gt;&lt;wsp:rsid wsp:val=&quot;002E3D9F&quot;/&gt;&lt;wsp:rsid wsp:val=&quot;002E415A&quot;/&gt;&lt;wsp:rsid wsp:val=&quot;002E4AD7&quot;/&gt;&lt;wsp:rsid wsp:val=&quot;002E513D&quot;/&gt;&lt;wsp:rsid wsp:val=&quot;002E57EC&quot;/&gt;&lt;wsp:rsid wsp:val=&quot;002E5A9F&quot;/&gt;&lt;wsp:rsid wsp:val=&quot;002E616A&quot;/&gt;&lt;wsp:rsid wsp:val=&quot;002E631F&quot;/&gt;&lt;wsp:rsid wsp:val=&quot;002E68F6&quot;/&gt;&lt;wsp:rsid wsp:val=&quot;002E7344&quot;/&gt;&lt;wsp:rsid wsp:val=&quot;002E77EC&quot;/&gt;&lt;wsp:rsid wsp:val=&quot;002E7F43&quot;/&gt;&lt;wsp:rsid wsp:val=&quot;002F05ED&quot;/&gt;&lt;wsp:rsid wsp:val=&quot;002F0E90&quot;/&gt;&lt;wsp:rsid wsp:val=&quot;002F168E&quot;/&gt;&lt;wsp:rsid wsp:val=&quot;002F1DF6&quot;/&gt;&lt;wsp:rsid wsp:val=&quot;002F209E&quot;/&gt;&lt;wsp:rsid wsp:val=&quot;002F2F45&quot;/&gt;&lt;wsp:rsid wsp:val=&quot;002F386A&quot;/&gt;&lt;wsp:rsid wsp:val=&quot;002F3DCE&quot;/&gt;&lt;wsp:rsid wsp:val=&quot;002F46EF&quot;/&gt;&lt;wsp:rsid wsp:val=&quot;002F4A96&quot;/&gt;&lt;wsp:rsid wsp:val=&quot;002F4D29&quot;/&gt;&lt;wsp:rsid wsp:val=&quot;002F4F47&quot;/&gt;&lt;wsp:rsid wsp:val=&quot;002F53E0&quot;/&gt;&lt;wsp:rsid wsp:val=&quot;002F598E&quot;/&gt;&lt;wsp:rsid wsp:val=&quot;002F5B84&quot;/&gt;&lt;wsp:rsid wsp:val=&quot;002F6AD3&quot;/&gt;&lt;wsp:rsid wsp:val=&quot;002F6BD1&quot;/&gt;&lt;wsp:rsid wsp:val=&quot;002F6CF6&quot;/&gt;&lt;wsp:rsid wsp:val=&quot;002F6D4B&quot;/&gt;&lt;wsp:rsid wsp:val=&quot;002F6F6D&quot;/&gt;&lt;wsp:rsid wsp:val=&quot;002F782E&quot;/&gt;&lt;wsp:rsid wsp:val=&quot;002F7FD9&quot;/&gt;&lt;wsp:rsid wsp:val=&quot;003005DB&quot;/&gt;&lt;wsp:rsid wsp:val=&quot;00300A22&quot;/&gt;&lt;wsp:rsid wsp:val=&quot;00300B41&quot;/&gt;&lt;wsp:rsid wsp:val=&quot;00300D8F&quot;/&gt;&lt;wsp:rsid wsp:val=&quot;00300EC3&quot;/&gt;&lt;wsp:rsid wsp:val=&quot;0030125B&quot;/&gt;&lt;wsp:rsid wsp:val=&quot;00301D25&quot;/&gt;&lt;wsp:rsid wsp:val=&quot;00301E03&quot;/&gt;&lt;wsp:rsid wsp:val=&quot;00301F88&quot;/&gt;&lt;wsp:rsid wsp:val=&quot;00302101&quot;/&gt;&lt;wsp:rsid wsp:val=&quot;00302108&quot;/&gt;&lt;wsp:rsid wsp:val=&quot;003025DB&quot;/&gt;&lt;wsp:rsid wsp:val=&quot;003027AA&quot;/&gt;&lt;wsp:rsid wsp:val=&quot;00303163&quot;/&gt;&lt;wsp:rsid wsp:val=&quot;00303BCD&quot;/&gt;&lt;wsp:rsid wsp:val=&quot;003049FF&quot;/&gt;&lt;wsp:rsid wsp:val=&quot;00304DB0&quot;/&gt;&lt;wsp:rsid wsp:val=&quot;00304E31&quot;/&gt;&lt;wsp:rsid wsp:val=&quot;00305BD2&quot;/&gt;&lt;wsp:rsid wsp:val=&quot;00305E83&quot;/&gt;&lt;wsp:rsid wsp:val=&quot;003061D8&quot;/&gt;&lt;wsp:rsid wsp:val=&quot;003061ED&quot;/&gt;&lt;wsp:rsid wsp:val=&quot;003064B5&quot;/&gt;&lt;wsp:rsid wsp:val=&quot;00306E4F&quot;/&gt;&lt;wsp:rsid wsp:val=&quot;00307714&quot;/&gt;&lt;wsp:rsid wsp:val=&quot;003077C6&quot;/&gt;&lt;wsp:rsid wsp:val=&quot;00307AB9&quot;/&gt;&lt;wsp:rsid wsp:val=&quot;00307E95&quot;/&gt;&lt;wsp:rsid wsp:val=&quot;00307F12&quot;/&gt;&lt;wsp:rsid wsp:val=&quot;00310E1A&quot;/&gt;&lt;wsp:rsid wsp:val=&quot;003114B7&quot;/&gt;&lt;wsp:rsid wsp:val=&quot;003115A8&quot;/&gt;&lt;wsp:rsid wsp:val=&quot;003118A5&quot;/&gt;&lt;wsp:rsid wsp:val=&quot;00311949&quot;/&gt;&lt;wsp:rsid wsp:val=&quot;00311E5C&quot;/&gt;&lt;wsp:rsid wsp:val=&quot;00312024&quot;/&gt;&lt;wsp:rsid wsp:val=&quot;00312176&quot;/&gt;&lt;wsp:rsid wsp:val=&quot;003122BB&quot;/&gt;&lt;wsp:rsid wsp:val=&quot;00312DED&quot;/&gt;&lt;wsp:rsid wsp:val=&quot;003135C7&quot;/&gt;&lt;wsp:rsid wsp:val=&quot;00313983&quot;/&gt;&lt;wsp:rsid wsp:val=&quot;00313997&quot;/&gt;&lt;wsp:rsid wsp:val=&quot;00313B56&quot;/&gt;&lt;wsp:rsid wsp:val=&quot;00313E8A&quot;/&gt;&lt;wsp:rsid wsp:val=&quot;0031413F&quot;/&gt;&lt;wsp:rsid wsp:val=&quot;003150D9&quot;/&gt;&lt;wsp:rsid wsp:val=&quot;00315B32&quot;/&gt;&lt;wsp:rsid wsp:val=&quot;00315BC1&quot;/&gt;&lt;wsp:rsid wsp:val=&quot;00315BEC&quot;/&gt;&lt;wsp:rsid wsp:val=&quot;00315EBB&quot;/&gt;&lt;wsp:rsid wsp:val=&quot;00316007&quot;/&gt;&lt;wsp:rsid wsp:val=&quot;003162C6&quot;/&gt;&lt;wsp:rsid wsp:val=&quot;003164B8&quot;/&gt;&lt;wsp:rsid wsp:val=&quot;003164C1&quot;/&gt;&lt;wsp:rsid wsp:val=&quot;003164DA&quot;/&gt;&lt;wsp:rsid wsp:val=&quot;00316704&quot;/&gt;&lt;wsp:rsid wsp:val=&quot;00316914&quot;/&gt;&lt;wsp:rsid wsp:val=&quot;00316B26&quot;/&gt;&lt;wsp:rsid wsp:val=&quot;003173E0&quot;/&gt;&lt;wsp:rsid wsp:val=&quot;00317439&quot;/&gt;&lt;wsp:rsid wsp:val=&quot;00317549&quot;/&gt;&lt;wsp:rsid wsp:val=&quot;003177D0&quot;/&gt;&lt;wsp:rsid wsp:val=&quot;00320077&quot;/&gt;&lt;wsp:rsid wsp:val=&quot;00320247&quot;/&gt;&lt;wsp:rsid wsp:val=&quot;00321001&quot;/&gt;&lt;wsp:rsid wsp:val=&quot;003212FC&quot;/&gt;&lt;wsp:rsid wsp:val=&quot;003212FE&quot;/&gt;&lt;wsp:rsid wsp:val=&quot;003218D6&quot;/&gt;&lt;wsp:rsid wsp:val=&quot;0032209A&quot;/&gt;&lt;wsp:rsid wsp:val=&quot;00322562&quot;/&gt;&lt;wsp:rsid wsp:val=&quot;003225AE&quot;/&gt;&lt;wsp:rsid wsp:val=&quot;003228F6&quot;/&gt;&lt;wsp:rsid wsp:val=&quot;00322B6F&quot;/&gt;&lt;wsp:rsid wsp:val=&quot;00322BAE&quot;/&gt;&lt;wsp:rsid wsp:val=&quot;00322CD2&quot;/&gt;&lt;wsp:rsid wsp:val=&quot;003230FB&quot;/&gt;&lt;wsp:rsid wsp:val=&quot;00323294&quot;/&gt;&lt;wsp:rsid wsp:val=&quot;003240FE&quot;/&gt;&lt;wsp:rsid wsp:val=&quot;003246F9&quot;/&gt;&lt;wsp:rsid wsp:val=&quot;00324ACC&quot;/&gt;&lt;wsp:rsid wsp:val=&quot;00324F30&quot;/&gt;&lt;wsp:rsid wsp:val=&quot;003259A3&quot;/&gt;&lt;wsp:rsid wsp:val=&quot;00326825&quot;/&gt;&lt;wsp:rsid wsp:val=&quot;00326896&quot;/&gt;&lt;wsp:rsid wsp:val=&quot;003268DE&quot;/&gt;&lt;wsp:rsid wsp:val=&quot;00326D1D&quot;/&gt;&lt;wsp:rsid wsp:val=&quot;00326FBA&quot;/&gt;&lt;wsp:rsid wsp:val=&quot;003276EF&quot;/&gt;&lt;wsp:rsid wsp:val=&quot;00330055&quot;/&gt;&lt;wsp:rsid wsp:val=&quot;00330749&quot;/&gt;&lt;wsp:rsid wsp:val=&quot;00330FE3&quot;/&gt;&lt;wsp:rsid wsp:val=&quot;003315DA&quot;/&gt;&lt;wsp:rsid wsp:val=&quot;00331B19&quot;/&gt;&lt;wsp:rsid wsp:val=&quot;00331DA1&quot;/&gt;&lt;wsp:rsid wsp:val=&quot;00332402&quot;/&gt;&lt;wsp:rsid wsp:val=&quot;003334C1&quot;/&gt;&lt;wsp:rsid wsp:val=&quot;003335ED&quot;/&gt;&lt;wsp:rsid wsp:val=&quot;00333D72&quot;/&gt;&lt;wsp:rsid wsp:val=&quot;00333EF1&quot;/&gt;&lt;wsp:rsid wsp:val=&quot;00333EF8&quot;/&gt;&lt;wsp:rsid wsp:val=&quot;003345BB&quot;/&gt;&lt;wsp:rsid wsp:val=&quot;00334D51&quot;/&gt;&lt;wsp:rsid wsp:val=&quot;00335CDC&quot;/&gt;&lt;wsp:rsid wsp:val=&quot;00336047&quot;/&gt;&lt;wsp:rsid wsp:val=&quot;00336A17&quot;/&gt;&lt;wsp:rsid wsp:val=&quot;00336E9D&quot;/&gt;&lt;wsp:rsid wsp:val=&quot;00336F82&quot;/&gt;&lt;wsp:rsid wsp:val=&quot;00337476&quot;/&gt;&lt;wsp:rsid wsp:val=&quot;003375DD&quot;/&gt;&lt;wsp:rsid wsp:val=&quot;003377A8&quot;/&gt;&lt;wsp:rsid wsp:val=&quot;00337C80&quot;/&gt;&lt;wsp:rsid wsp:val=&quot;00337CCD&quot;/&gt;&lt;wsp:rsid wsp:val=&quot;00340B14&quot;/&gt;&lt;wsp:rsid wsp:val=&quot;003415BE&quot;/&gt;&lt;wsp:rsid wsp:val=&quot;003415CD&quot;/&gt;&lt;wsp:rsid wsp:val=&quot;00341ACC&quot;/&gt;&lt;wsp:rsid wsp:val=&quot;003420C2&quot;/&gt;&lt;wsp:rsid wsp:val=&quot;003426CF&quot;/&gt;&lt;wsp:rsid wsp:val=&quot;00342B9C&quot;/&gt;&lt;wsp:rsid wsp:val=&quot;00342D22&quot;/&gt;&lt;wsp:rsid wsp:val=&quot;00342FCC&quot;/&gt;&lt;wsp:rsid wsp:val=&quot;00343061&quot;/&gt;&lt;wsp:rsid wsp:val=&quot;0034318C&quot;/&gt;&lt;wsp:rsid wsp:val=&quot;00343193&quot;/&gt;&lt;wsp:rsid wsp:val=&quot;00343756&quot;/&gt;&lt;wsp:rsid wsp:val=&quot;00344136&quot;/&gt;&lt;wsp:rsid wsp:val=&quot;00344371&quot;/&gt;&lt;wsp:rsid wsp:val=&quot;00344D7E&quot;/&gt;&lt;wsp:rsid wsp:val=&quot;003451CD&quot;/&gt;&lt;wsp:rsid wsp:val=&quot;00345FDC&quot;/&gt;&lt;wsp:rsid wsp:val=&quot;003463EF&quot;/&gt;&lt;wsp:rsid wsp:val=&quot;0034650E&quot;/&gt;&lt;wsp:rsid wsp:val=&quot;0034650F&quot;/&gt;&lt;wsp:rsid wsp:val=&quot;00347689&quot;/&gt;&lt;wsp:rsid wsp:val=&quot;00347774&quot;/&gt;&lt;wsp:rsid wsp:val=&quot;0034797C&quot;/&gt;&lt;wsp:rsid wsp:val=&quot;00347C6F&quot;/&gt;&lt;wsp:rsid wsp:val=&quot;00347EC8&quot;/&gt;&lt;wsp:rsid wsp:val=&quot;00347F27&quot;/&gt;&lt;wsp:rsid wsp:val=&quot;00347FCA&quot;/&gt;&lt;wsp:rsid wsp:val=&quot;00350599&quot;/&gt;&lt;wsp:rsid wsp:val=&quot;003505DD&quot;/&gt;&lt;wsp:rsid wsp:val=&quot;00350747&quot;/&gt;&lt;wsp:rsid wsp:val=&quot;00350A5B&quot;/&gt;&lt;wsp:rsid wsp:val=&quot;00350E5A&quot;/&gt;&lt;wsp:rsid wsp:val=&quot;0035151B&quot;/&gt;&lt;wsp:rsid wsp:val=&quot;003515A6&quot;/&gt;&lt;wsp:rsid wsp:val=&quot;00351C1D&quot;/&gt;&lt;wsp:rsid wsp:val=&quot;00351DE1&quot;/&gt;&lt;wsp:rsid wsp:val=&quot;003524AD&quot;/&gt;&lt;wsp:rsid wsp:val=&quot;00352672&quot;/&gt;&lt;wsp:rsid wsp:val=&quot;0035279F&quot;/&gt;&lt;wsp:rsid wsp:val=&quot;003537B2&quot;/&gt;&lt;wsp:rsid wsp:val=&quot;00353970&quot;/&gt;&lt;wsp:rsid wsp:val=&quot;00353DA7&quot;/&gt;&lt;wsp:rsid wsp:val=&quot;00354651&quot;/&gt;&lt;wsp:rsid wsp:val=&quot;00354890&quot;/&gt;&lt;wsp:rsid wsp:val=&quot;00354995&quot;/&gt;&lt;wsp:rsid wsp:val=&quot;00354A44&quot;/&gt;&lt;wsp:rsid wsp:val=&quot;00354BB5&quot;/&gt;&lt;wsp:rsid wsp:val=&quot;003554A9&quot;/&gt;&lt;wsp:rsid wsp:val=&quot;003554BB&quot;/&gt;&lt;wsp:rsid wsp:val=&quot;0035598E&quot;/&gt;&lt;wsp:rsid wsp:val=&quot;00355DC6&quot;/&gt;&lt;wsp:rsid wsp:val=&quot;00355EBB&quot;/&gt;&lt;wsp:rsid wsp:val=&quot;00356AA3&quot;/&gt;&lt;wsp:rsid wsp:val=&quot;00356E81&quot;/&gt;&lt;wsp:rsid wsp:val=&quot;00356EA3&quot;/&gt;&lt;wsp:rsid wsp:val=&quot;00357779&quot;/&gt;&lt;wsp:rsid wsp:val=&quot;00357B5B&quot;/&gt;&lt;wsp:rsid wsp:val=&quot;00357E8F&quot;/&gt;&lt;wsp:rsid wsp:val=&quot;00360302&quot;/&gt;&lt;wsp:rsid wsp:val=&quot;0036045E&quot;/&gt;&lt;wsp:rsid wsp:val=&quot;003609FC&quot;/&gt;&lt;wsp:rsid wsp:val=&quot;00360DA0&quot;/&gt;&lt;wsp:rsid wsp:val=&quot;00360EF1&quot;/&gt;&lt;wsp:rsid wsp:val=&quot;00361063&quot;/&gt;&lt;wsp:rsid wsp:val=&quot;003613DA&quot;/&gt;&lt;wsp:rsid wsp:val=&quot;00361474&quot;/&gt;&lt;wsp:rsid wsp:val=&quot;0036167E&quot;/&gt;&lt;wsp:rsid wsp:val=&quot;0036213D&quot;/&gt;&lt;wsp:rsid wsp:val=&quot;003625A8&quot;/&gt;&lt;wsp:rsid wsp:val=&quot;00362738&quot;/&gt;&lt;wsp:rsid wsp:val=&quot;00362F1C&quot;/&gt;&lt;wsp:rsid wsp:val=&quot;00363088&quot;/&gt;&lt;wsp:rsid wsp:val=&quot;003631DD&quot;/&gt;&lt;wsp:rsid wsp:val=&quot;00363C9F&quot;/&gt;&lt;wsp:rsid wsp:val=&quot;00364029&quot;/&gt;&lt;wsp:rsid wsp:val=&quot;003651E1&quot;/&gt;&lt;wsp:rsid wsp:val=&quot;00365983&quot;/&gt;&lt;wsp:rsid wsp:val=&quot;00365B27&quot;/&gt;&lt;wsp:rsid wsp:val=&quot;00365CF2&quot;/&gt;&lt;wsp:rsid wsp:val=&quot;00366432&quot;/&gt;&lt;wsp:rsid wsp:val=&quot;0036663A&quot;/&gt;&lt;wsp:rsid wsp:val=&quot;0036674F&quot;/&gt;&lt;wsp:rsid wsp:val=&quot;003673E6&quot;/&gt;&lt;wsp:rsid wsp:val=&quot;00367BE5&quot;/&gt;&lt;wsp:rsid wsp:val=&quot;0037042C&quot;/&gt;&lt;wsp:rsid wsp:val=&quot;00370702&quot;/&gt;&lt;wsp:rsid wsp:val=&quot;00370F8A&quot;/&gt;&lt;wsp:rsid wsp:val=&quot;00371EB3&quot;/&gt;&lt;wsp:rsid wsp:val=&quot;003726F4&quot;/&gt;&lt;wsp:rsid wsp:val=&quot;00372726&quot;/&gt;&lt;wsp:rsid wsp:val=&quot;00372DC5&quot;/&gt;&lt;wsp:rsid wsp:val=&quot;003735B4&quot;/&gt;&lt;wsp:rsid wsp:val=&quot;00374650&quot;/&gt;&lt;wsp:rsid wsp:val=&quot;003746EC&quot;/&gt;&lt;wsp:rsid wsp:val=&quot;00374893&quot;/&gt;&lt;wsp:rsid wsp:val=&quot;003748B1&quot;/&gt;&lt;wsp:rsid wsp:val=&quot;0037568F&quot;/&gt;&lt;wsp:rsid wsp:val=&quot;00375727&quot;/&gt;&lt;wsp:rsid wsp:val=&quot;00376089&quot;/&gt;&lt;wsp:rsid wsp:val=&quot;003760C9&quot;/&gt;&lt;wsp:rsid wsp:val=&quot;00376FF7&quot;/&gt;&lt;wsp:rsid wsp:val=&quot;003772B4&quot;/&gt;&lt;wsp:rsid wsp:val=&quot;00377876&quot;/&gt;&lt;wsp:rsid wsp:val=&quot;00377978&quot;/&gt;&lt;wsp:rsid wsp:val=&quot;00380733&quot;/&gt;&lt;wsp:rsid wsp:val=&quot;00380770&quot;/&gt;&lt;wsp:rsid wsp:val=&quot;00380868&quot;/&gt;&lt;wsp:rsid wsp:val=&quot;00380FEA&quot;/&gt;&lt;wsp:rsid wsp:val=&quot;00381342&quot;/&gt;&lt;wsp:rsid wsp:val=&quot;00381499&quot;/&gt;&lt;wsp:rsid wsp:val=&quot;003814E5&quot;/&gt;&lt;wsp:rsid wsp:val=&quot;00381D26&quot;/&gt;&lt;wsp:rsid wsp:val=&quot;0038269B&quot;/&gt;&lt;wsp:rsid wsp:val=&quot;00383BA8&quot;/&gt;&lt;wsp:rsid wsp:val=&quot;00383DA8&quot;/&gt;&lt;wsp:rsid wsp:val=&quot;00383DE5&quot;/&gt;&lt;wsp:rsid wsp:val=&quot;003842AE&quot;/&gt;&lt;wsp:rsid wsp:val=&quot;00384610&quot;/&gt;&lt;wsp:rsid wsp:val=&quot;003851EA&quot;/&gt;&lt;wsp:rsid wsp:val=&quot;003853B7&quot;/&gt;&lt;wsp:rsid wsp:val=&quot;003853F6&quot;/&gt;&lt;wsp:rsid wsp:val=&quot;00385751&quot;/&gt;&lt;wsp:rsid wsp:val=&quot;00385A25&quot;/&gt;&lt;wsp:rsid wsp:val=&quot;00385BEB&quot;/&gt;&lt;wsp:rsid wsp:val=&quot;00386657&quot;/&gt;&lt;wsp:rsid wsp:val=&quot;00386A52&quot;/&gt;&lt;wsp:rsid wsp:val=&quot;00386B19&quot;/&gt;&lt;wsp:rsid wsp:val=&quot;003872B9&quot;/&gt;&lt;wsp:rsid wsp:val=&quot;0038741F&quot;/&gt;&lt;wsp:rsid wsp:val=&quot;003877BB&quot;/&gt;&lt;wsp:rsid wsp:val=&quot;00387D86&quot;/&gt;&lt;wsp:rsid wsp:val=&quot;003904D8&quot;/&gt;&lt;wsp:rsid wsp:val=&quot;00391130&quot;/&gt;&lt;wsp:rsid wsp:val=&quot;0039185F&quot;/&gt;&lt;wsp:rsid wsp:val=&quot;0039188E&quot;/&gt;&lt;wsp:rsid wsp:val=&quot;003921D2&quot;/&gt;&lt;wsp:rsid wsp:val=&quot;003925F3&quot;/&gt;&lt;wsp:rsid wsp:val=&quot;00392CF6&quot;/&gt;&lt;wsp:rsid wsp:val=&quot;00393322&quot;/&gt;&lt;wsp:rsid wsp:val=&quot;00393426&quot;/&gt;&lt;wsp:rsid wsp:val=&quot;00393493&quot;/&gt;&lt;wsp:rsid wsp:val=&quot;003941F9&quot;/&gt;&lt;wsp:rsid wsp:val=&quot;003943CD&quot;/&gt;&lt;wsp:rsid wsp:val=&quot;003946A0&quot;/&gt;&lt;wsp:rsid wsp:val=&quot;00394B1A&quot;/&gt;&lt;wsp:rsid wsp:val=&quot;00394D80&quot;/&gt;&lt;wsp:rsid wsp:val=&quot;00394F04&quot;/&gt;&lt;wsp:rsid wsp:val=&quot;003955C3&quot;/&gt;&lt;wsp:rsid wsp:val=&quot;003956DC&quot;/&gt;&lt;wsp:rsid wsp:val=&quot;00395967&quot;/&gt;&lt;wsp:rsid wsp:val=&quot;00395D23&quot;/&gt;&lt;wsp:rsid wsp:val=&quot;00395DBE&quot;/&gt;&lt;wsp:rsid wsp:val=&quot;00396530&quot;/&gt;&lt;wsp:rsid wsp:val=&quot;003969B3&quot;/&gt;&lt;wsp:rsid wsp:val=&quot;00396C1F&quot;/&gt;&lt;wsp:rsid wsp:val=&quot;00396E8D&quot;/&gt;&lt;wsp:rsid wsp:val=&quot;0039757A&quot;/&gt;&lt;wsp:rsid wsp:val=&quot;003976DA&quot;/&gt;&lt;wsp:rsid wsp:val=&quot;00397F90&quot;/&gt;&lt;wsp:rsid wsp:val=&quot;003A04ED&quot;/&gt;&lt;wsp:rsid wsp:val=&quot;003A0B02&quot;/&gt;&lt;wsp:rsid wsp:val=&quot;003A1522&quot;/&gt;&lt;wsp:rsid wsp:val=&quot;003A195E&quot;/&gt;&lt;wsp:rsid wsp:val=&quot;003A1F1C&quot;/&gt;&lt;wsp:rsid wsp:val=&quot;003A2891&quot;/&gt;&lt;wsp:rsid wsp:val=&quot;003A31DE&quot;/&gt;&lt;wsp:rsid wsp:val=&quot;003A382B&quot;/&gt;&lt;wsp:rsid wsp:val=&quot;003A384E&quot;/&gt;&lt;wsp:rsid wsp:val=&quot;003A3857&quot;/&gt;&lt;wsp:rsid wsp:val=&quot;003A4314&quot;/&gt;&lt;wsp:rsid wsp:val=&quot;003A5C59&quot;/&gt;&lt;wsp:rsid wsp:val=&quot;003A5E96&quot;/&gt;&lt;wsp:rsid wsp:val=&quot;003A6022&quot;/&gt;&lt;wsp:rsid wsp:val=&quot;003A6A72&quot;/&gt;&lt;wsp:rsid wsp:val=&quot;003A6A89&quot;/&gt;&lt;wsp:rsid wsp:val=&quot;003A6CB1&quot;/&gt;&lt;wsp:rsid wsp:val=&quot;003A78AF&quot;/&gt;&lt;wsp:rsid wsp:val=&quot;003A7C9A&quot;/&gt;&lt;wsp:rsid wsp:val=&quot;003A7D9F&quot;/&gt;&lt;wsp:rsid wsp:val=&quot;003B0227&quot;/&gt;&lt;wsp:rsid wsp:val=&quot;003B0298&quot;/&gt;&lt;wsp:rsid wsp:val=&quot;003B034B&quot;/&gt;&lt;wsp:rsid wsp:val=&quot;003B03AF&quot;/&gt;&lt;wsp:rsid wsp:val=&quot;003B05CD&quot;/&gt;&lt;wsp:rsid wsp:val=&quot;003B14DF&quot;/&gt;&lt;wsp:rsid wsp:val=&quot;003B19F0&quot;/&gt;&lt;wsp:rsid wsp:val=&quot;003B2863&quot;/&gt;&lt;wsp:rsid wsp:val=&quot;003B2FCA&quot;/&gt;&lt;wsp:rsid wsp:val=&quot;003B4231&quot;/&gt;&lt;wsp:rsid wsp:val=&quot;003B432F&quot;/&gt;&lt;wsp:rsid wsp:val=&quot;003B470F&quot;/&gt;&lt;wsp:rsid wsp:val=&quot;003B4768&quot;/&gt;&lt;wsp:rsid wsp:val=&quot;003B48B5&quot;/&gt;&lt;wsp:rsid wsp:val=&quot;003B4E0D&quot;/&gt;&lt;wsp:rsid wsp:val=&quot;003B5259&quot;/&gt;&lt;wsp:rsid wsp:val=&quot;003B534E&quot;/&gt;&lt;wsp:rsid wsp:val=&quot;003B5467&quot;/&gt;&lt;wsp:rsid wsp:val=&quot;003B64BA&quot;/&gt;&lt;wsp:rsid wsp:val=&quot;003B64BF&quot;/&gt;&lt;wsp:rsid wsp:val=&quot;003B671B&quot;/&gt;&lt;wsp:rsid wsp:val=&quot;003B6988&quot;/&gt;&lt;wsp:rsid wsp:val=&quot;003B69E9&quot;/&gt;&lt;wsp:rsid wsp:val=&quot;003B6C7C&quot;/&gt;&lt;wsp:rsid wsp:val=&quot;003B6E99&quot;/&gt;&lt;wsp:rsid wsp:val=&quot;003B6EC1&quot;/&gt;&lt;wsp:rsid wsp:val=&quot;003B7780&quot;/&gt;&lt;wsp:rsid wsp:val=&quot;003B792D&quot;/&gt;&lt;wsp:rsid wsp:val=&quot;003B7964&quot;/&gt;&lt;wsp:rsid wsp:val=&quot;003B7E33&quot;/&gt;&lt;wsp:rsid wsp:val=&quot;003C08DC&quot;/&gt;&lt;wsp:rsid wsp:val=&quot;003C0A4E&quot;/&gt;&lt;wsp:rsid wsp:val=&quot;003C0ECD&quot;/&gt;&lt;wsp:rsid wsp:val=&quot;003C0F3F&quot;/&gt;&lt;wsp:rsid wsp:val=&quot;003C0F44&quot;/&gt;&lt;wsp:rsid wsp:val=&quot;003C131F&quot;/&gt;&lt;wsp:rsid wsp:val=&quot;003C188A&quot;/&gt;&lt;wsp:rsid wsp:val=&quot;003C1BD9&quot;/&gt;&lt;wsp:rsid wsp:val=&quot;003C1D58&quot;/&gt;&lt;wsp:rsid wsp:val=&quot;003C270E&quot;/&gt;&lt;wsp:rsid wsp:val=&quot;003C287D&quot;/&gt;&lt;wsp:rsid wsp:val=&quot;003C2AB8&quot;/&gt;&lt;wsp:rsid wsp:val=&quot;003C32FA&quot;/&gt;&lt;wsp:rsid wsp:val=&quot;003C3887&quot;/&gt;&lt;wsp:rsid wsp:val=&quot;003C3E2A&quot;/&gt;&lt;wsp:rsid wsp:val=&quot;003C4398&quot;/&gt;&lt;wsp:rsid wsp:val=&quot;003C47BC&quot;/&gt;&lt;wsp:rsid wsp:val=&quot;003C4C34&quot;/&gt;&lt;wsp:rsid wsp:val=&quot;003C51F1&quot;/&gt;&lt;wsp:rsid wsp:val=&quot;003C53AF&quot;/&gt;&lt;wsp:rsid wsp:val=&quot;003C54F2&quot;/&gt;&lt;wsp:rsid wsp:val=&quot;003C5B23&quot;/&gt;&lt;wsp:rsid wsp:val=&quot;003C5B89&quot;/&gt;&lt;wsp:rsid wsp:val=&quot;003C6153&quot;/&gt;&lt;wsp:rsid wsp:val=&quot;003C664A&quot;/&gt;&lt;wsp:rsid wsp:val=&quot;003C675D&quot;/&gt;&lt;wsp:rsid wsp:val=&quot;003C717A&quot;/&gt;&lt;wsp:rsid wsp:val=&quot;003C72A3&quot;/&gt;&lt;wsp:rsid wsp:val=&quot;003C746E&quot;/&gt;&lt;wsp:rsid wsp:val=&quot;003C7BE0&quot;/&gt;&lt;wsp:rsid wsp:val=&quot;003C7D1E&quot;/&gt;&lt;wsp:rsid wsp:val=&quot;003D0072&quot;/&gt;&lt;wsp:rsid wsp:val=&quot;003D0191&quot;/&gt;&lt;wsp:rsid wsp:val=&quot;003D0461&quot;/&gt;&lt;wsp:rsid wsp:val=&quot;003D110F&quot;/&gt;&lt;wsp:rsid wsp:val=&quot;003D1800&quot;/&gt;&lt;wsp:rsid wsp:val=&quot;003D1A5A&quot;/&gt;&lt;wsp:rsid wsp:val=&quot;003D1D46&quot;/&gt;&lt;wsp:rsid wsp:val=&quot;003D2025&quot;/&gt;&lt;wsp:rsid wsp:val=&quot;003D20DC&quot;/&gt;&lt;wsp:rsid wsp:val=&quot;003D2294&quot;/&gt;&lt;wsp:rsid wsp:val=&quot;003D269B&quot;/&gt;&lt;wsp:rsid wsp:val=&quot;003D2CF6&quot;/&gt;&lt;wsp:rsid wsp:val=&quot;003D31CA&quot;/&gt;&lt;wsp:rsid wsp:val=&quot;003D3F3A&quot;/&gt;&lt;wsp:rsid wsp:val=&quot;003D41A3&quot;/&gt;&lt;wsp:rsid wsp:val=&quot;003D43A6&quot;/&gt;&lt;wsp:rsid wsp:val=&quot;003D443F&quot;/&gt;&lt;wsp:rsid wsp:val=&quot;003D4CA6&quot;/&gt;&lt;wsp:rsid wsp:val=&quot;003D4EE9&quot;/&gt;&lt;wsp:rsid wsp:val=&quot;003D57B0&quot;/&gt;&lt;wsp:rsid wsp:val=&quot;003D5965&quot;/&gt;&lt;wsp:rsid wsp:val=&quot;003D6447&quot;/&gt;&lt;wsp:rsid wsp:val=&quot;003D6578&quot;/&gt;&lt;wsp:rsid wsp:val=&quot;003D669C&quot;/&gt;&lt;wsp:rsid wsp:val=&quot;003D6C83&quot;/&gt;&lt;wsp:rsid wsp:val=&quot;003D7D0B&quot;/&gt;&lt;wsp:rsid wsp:val=&quot;003E01C2&quot;/&gt;&lt;wsp:rsid wsp:val=&quot;003E0498&quot;/&gt;&lt;wsp:rsid wsp:val=&quot;003E04B9&quot;/&gt;&lt;wsp:rsid wsp:val=&quot;003E066C&quot;/&gt;&lt;wsp:rsid wsp:val=&quot;003E06F3&quot;/&gt;&lt;wsp:rsid wsp:val=&quot;003E0E2B&quot;/&gt;&lt;wsp:rsid wsp:val=&quot;003E114A&quot;/&gt;&lt;wsp:rsid wsp:val=&quot;003E1602&quot;/&gt;&lt;wsp:rsid wsp:val=&quot;003E1AFD&quot;/&gt;&lt;wsp:rsid wsp:val=&quot;003E1BEE&quot;/&gt;&lt;wsp:rsid wsp:val=&quot;003E2083&quot;/&gt;&lt;wsp:rsid wsp:val=&quot;003E25D4&quot;/&gt;&lt;wsp:rsid wsp:val=&quot;003E2B57&quot;/&gt;&lt;wsp:rsid wsp:val=&quot;003E2C4A&quot;/&gt;&lt;wsp:rsid wsp:val=&quot;003E301E&quot;/&gt;&lt;wsp:rsid wsp:val=&quot;003E3730&quot;/&gt;&lt;wsp:rsid wsp:val=&quot;003E490B&quot;/&gt;&lt;wsp:rsid wsp:val=&quot;003E4B94&quot;/&gt;&lt;wsp:rsid wsp:val=&quot;003E4C14&quot;/&gt;&lt;wsp:rsid wsp:val=&quot;003E4CD5&quot;/&gt;&lt;wsp:rsid wsp:val=&quot;003E5861&quot;/&gt;&lt;wsp:rsid wsp:val=&quot;003E6103&quot;/&gt;&lt;wsp:rsid wsp:val=&quot;003E659D&quot;/&gt;&lt;wsp:rsid wsp:val=&quot;003E6BEB&quot;/&gt;&lt;wsp:rsid wsp:val=&quot;003E7433&quot;/&gt;&lt;wsp:rsid wsp:val=&quot;003E7479&quot;/&gt;&lt;wsp:rsid wsp:val=&quot;003E7761&quot;/&gt;&lt;wsp:rsid wsp:val=&quot;003E7CD9&quot;/&gt;&lt;wsp:rsid wsp:val=&quot;003E7DD3&quot;/&gt;&lt;wsp:rsid wsp:val=&quot;003F01B5&quot;/&gt;&lt;wsp:rsid wsp:val=&quot;003F0BDD&quot;/&gt;&lt;wsp:rsid wsp:val=&quot;003F1A9E&quot;/&gt;&lt;wsp:rsid wsp:val=&quot;003F1CD1&quot;/&gt;&lt;wsp:rsid wsp:val=&quot;003F1D67&quot;/&gt;&lt;wsp:rsid wsp:val=&quot;003F27E6&quot;/&gt;&lt;wsp:rsid wsp:val=&quot;003F28FD&quot;/&gt;&lt;wsp:rsid wsp:val=&quot;003F3042&quot;/&gt;&lt;wsp:rsid wsp:val=&quot;003F34D5&quot;/&gt;&lt;wsp:rsid wsp:val=&quot;003F3A6B&quot;/&gt;&lt;wsp:rsid wsp:val=&quot;003F3C88&quot;/&gt;&lt;wsp:rsid wsp:val=&quot;003F3C8E&quot;/&gt;&lt;wsp:rsid wsp:val=&quot;003F3E74&quot;/&gt;&lt;wsp:rsid wsp:val=&quot;003F4598&quot;/&gt;&lt;wsp:rsid wsp:val=&quot;003F4855&quot;/&gt;&lt;wsp:rsid wsp:val=&quot;003F4AD0&quot;/&gt;&lt;wsp:rsid wsp:val=&quot;003F4B79&quot;/&gt;&lt;wsp:rsid wsp:val=&quot;003F4E83&quot;/&gt;&lt;wsp:rsid wsp:val=&quot;003F5183&quot;/&gt;&lt;wsp:rsid wsp:val=&quot;003F543F&quot;/&gt;&lt;wsp:rsid wsp:val=&quot;003F5632&quot;/&gt;&lt;wsp:rsid wsp:val=&quot;003F5E0C&quot;/&gt;&lt;wsp:rsid wsp:val=&quot;003F6A63&quot;/&gt;&lt;wsp:rsid wsp:val=&quot;003F6AE9&quot;/&gt;&lt;wsp:rsid wsp:val=&quot;003F6C49&quot;/&gt;&lt;wsp:rsid wsp:val=&quot;003F6D25&quot;/&gt;&lt;wsp:rsid wsp:val=&quot;003F7466&quot;/&gt;&lt;wsp:rsid wsp:val=&quot;003F760D&quot;/&gt;&lt;wsp:rsid wsp:val=&quot;003F7818&quot;/&gt;&lt;wsp:rsid wsp:val=&quot;0040026C&quot;/&gt;&lt;wsp:rsid wsp:val=&quot;004004A3&quot;/&gt;&lt;wsp:rsid wsp:val=&quot;00400ADD&quot;/&gt;&lt;wsp:rsid wsp:val=&quot;004011D2&quot;/&gt;&lt;wsp:rsid wsp:val=&quot;00401351&quot;/&gt;&lt;wsp:rsid wsp:val=&quot;00401453&quot;/&gt;&lt;wsp:rsid wsp:val=&quot;0040147D&quot;/&gt;&lt;wsp:rsid wsp:val=&quot;00401505&quot;/&gt;&lt;wsp:rsid wsp:val=&quot;00401728&quot;/&gt;&lt;wsp:rsid wsp:val=&quot;004017FD&quot;/&gt;&lt;wsp:rsid wsp:val=&quot;00401B15&quot;/&gt;&lt;wsp:rsid wsp:val=&quot;00401B67&quot;/&gt;&lt;wsp:rsid wsp:val=&quot;004027D6&quot;/&gt;&lt;wsp:rsid wsp:val=&quot;00403109&quot;/&gt;&lt;wsp:rsid wsp:val=&quot;00403AF6&quot;/&gt;&lt;wsp:rsid wsp:val=&quot;0040469C&quot;/&gt;&lt;wsp:rsid wsp:val=&quot;00404B8C&quot;/&gt;&lt;wsp:rsid wsp:val=&quot;00404B9D&quot;/&gt;&lt;wsp:rsid wsp:val=&quot;00404DF5&quot;/&gt;&lt;wsp:rsid wsp:val=&quot;004056B0&quot;/&gt;&lt;wsp:rsid wsp:val=&quot;0040583B&quot;/&gt;&lt;wsp:rsid wsp:val=&quot;00405B1D&quot;/&gt;&lt;wsp:rsid wsp:val=&quot;00406486&quot;/&gt;&lt;wsp:rsid wsp:val=&quot;004070DF&quot;/&gt;&lt;wsp:rsid wsp:val=&quot;00407675&quot;/&gt;&lt;wsp:rsid wsp:val=&quot;00407D8F&quot;/&gt;&lt;wsp:rsid wsp:val=&quot;004104B3&quot;/&gt;&lt;wsp:rsid wsp:val=&quot;004105DE&quot;/&gt;&lt;wsp:rsid wsp:val=&quot;0041173A&quot;/&gt;&lt;wsp:rsid wsp:val=&quot;00411964&quot;/&gt;&lt;wsp:rsid wsp:val=&quot;00411E54&quot;/&gt;&lt;wsp:rsid wsp:val=&quot;00412155&quot;/&gt;&lt;wsp:rsid wsp:val=&quot;00412160&quot;/&gt;&lt;wsp:rsid wsp:val=&quot;004123FB&quot;/&gt;&lt;wsp:rsid wsp:val=&quot;0041240A&quot;/&gt;&lt;wsp:rsid wsp:val=&quot;00412BE8&quot;/&gt;&lt;wsp:rsid wsp:val=&quot;00412C08&quot;/&gt;&lt;wsp:rsid wsp:val=&quot;00413376&quot;/&gt;&lt;wsp:rsid wsp:val=&quot;00413BAF&quot;/&gt;&lt;wsp:rsid wsp:val=&quot;00413C34&quot;/&gt;&lt;wsp:rsid wsp:val=&quot;004140B4&quot;/&gt;&lt;wsp:rsid wsp:val=&quot;004140ED&quot;/&gt;&lt;wsp:rsid wsp:val=&quot;0041421E&quot;/&gt;&lt;wsp:rsid wsp:val=&quot;0041429A&quot;/&gt;&lt;wsp:rsid wsp:val=&quot;00414C79&quot;/&gt;&lt;wsp:rsid wsp:val=&quot;0041526F&quot;/&gt;&lt;wsp:rsid wsp:val=&quot;00415530&quot;/&gt;&lt;wsp:rsid wsp:val=&quot;00415603&quot;/&gt;&lt;wsp:rsid wsp:val=&quot;00415906&quot;/&gt;&lt;wsp:rsid wsp:val=&quot;00415A45&quot;/&gt;&lt;wsp:rsid wsp:val=&quot;00415C8D&quot;/&gt;&lt;wsp:rsid wsp:val=&quot;00416387&quot;/&gt;&lt;wsp:rsid wsp:val=&quot;004165E7&quot;/&gt;&lt;wsp:rsid wsp:val=&quot;00417321&quot;/&gt;&lt;wsp:rsid wsp:val=&quot;004206A6&quot;/&gt;&lt;wsp:rsid wsp:val=&quot;00420A8B&quot;/&gt;&lt;wsp:rsid wsp:val=&quot;00420CEA&quot;/&gt;&lt;wsp:rsid wsp:val=&quot;00421354&quot;/&gt;&lt;wsp:rsid wsp:val=&quot;0042154B&quot;/&gt;&lt;wsp:rsid wsp:val=&quot;00421A54&quot;/&gt;&lt;wsp:rsid wsp:val=&quot;00422833&quot;/&gt;&lt;wsp:rsid wsp:val=&quot;004229C1&quot;/&gt;&lt;wsp:rsid wsp:val=&quot;00422F5E&quot;/&gt;&lt;wsp:rsid wsp:val=&quot;004239F4&quot;/&gt;&lt;wsp:rsid wsp:val=&quot;00423AF6&quot;/&gt;&lt;wsp:rsid wsp:val=&quot;0042428D&quot;/&gt;&lt;wsp:rsid wsp:val=&quot;00424D7E&quot;/&gt;&lt;wsp:rsid wsp:val=&quot;004250D4&quot;/&gt;&lt;wsp:rsid wsp:val=&quot;0042568D&quot;/&gt;&lt;wsp:rsid wsp:val=&quot;00425A1C&quot;/&gt;&lt;wsp:rsid wsp:val=&quot;00425DF1&quot;/&gt;&lt;wsp:rsid wsp:val=&quot;00426AC9&quot;/&gt;&lt;wsp:rsid wsp:val=&quot;00426FCD&quot;/&gt;&lt;wsp:rsid wsp:val=&quot;00427DF0&quot;/&gt;&lt;wsp:rsid wsp:val=&quot;0043013D&quot;/&gt;&lt;wsp:rsid wsp:val=&quot;00430966&quot;/&gt;&lt;wsp:rsid wsp:val=&quot;00430EAC&quot;/&gt;&lt;wsp:rsid wsp:val=&quot;00431114&quot;/&gt;&lt;wsp:rsid wsp:val=&quot;00431521&quot;/&gt;&lt;wsp:rsid wsp:val=&quot;00431C6D&quot;/&gt;&lt;wsp:rsid wsp:val=&quot;004322FC&quot;/&gt;&lt;wsp:rsid wsp:val=&quot;0043288A&quot;/&gt;&lt;wsp:rsid wsp:val=&quot;00432D17&quot;/&gt;&lt;wsp:rsid wsp:val=&quot;0043302D&quot;/&gt;&lt;wsp:rsid wsp:val=&quot;004330F3&quot;/&gt;&lt;wsp:rsid wsp:val=&quot;004331BE&quot;/&gt;&lt;wsp:rsid wsp:val=&quot;0043368F&quot;/&gt;&lt;wsp:rsid wsp:val=&quot;00433A46&quot;/&gt;&lt;wsp:rsid wsp:val=&quot;00433AF1&quot;/&gt;&lt;wsp:rsid wsp:val=&quot;0043425D&quot;/&gt;&lt;wsp:rsid wsp:val=&quot;00434440&quot;/&gt;&lt;wsp:rsid wsp:val=&quot;004345DB&quot;/&gt;&lt;wsp:rsid wsp:val=&quot;00434866&quot;/&gt;&lt;wsp:rsid wsp:val=&quot;004348CE&quot;/&gt;&lt;wsp:rsid wsp:val=&quot;00435590&quot;/&gt;&lt;wsp:rsid wsp:val=&quot;004364DC&quot;/&gt;&lt;wsp:rsid wsp:val=&quot;0043660E&quot;/&gt;&lt;wsp:rsid wsp:val=&quot;0043661A&quot;/&gt;&lt;wsp:rsid wsp:val=&quot;00436937&quot;/&gt;&lt;wsp:rsid wsp:val=&quot;00437665&quot;/&gt;&lt;wsp:rsid wsp:val=&quot;00437C93&quot;/&gt;&lt;wsp:rsid wsp:val=&quot;00437D02&quot;/&gt;&lt;wsp:rsid wsp:val=&quot;00437E27&quot;/&gt;&lt;wsp:rsid wsp:val=&quot;00437EA6&quot;/&gt;&lt;wsp:rsid wsp:val=&quot;00440A4B&quot;/&gt;&lt;wsp:rsid wsp:val=&quot;00441B4B&quot;/&gt;&lt;wsp:rsid wsp:val=&quot;00442186&quot;/&gt;&lt;wsp:rsid wsp:val=&quot;00442385&quot;/&gt;&lt;wsp:rsid wsp:val=&quot;004428C3&quot;/&gt;&lt;wsp:rsid wsp:val=&quot;004434E9&quot;/&gt;&lt;wsp:rsid wsp:val=&quot;004439C7&quot;/&gt;&lt;wsp:rsid wsp:val=&quot;00443C77&quot;/&gt;&lt;wsp:rsid wsp:val=&quot;00443D59&quot;/&gt;&lt;wsp:rsid wsp:val=&quot;0044409C&quot;/&gt;&lt;wsp:rsid wsp:val=&quot;0044486D&quot;/&gt;&lt;wsp:rsid wsp:val=&quot;00444980&quot;/&gt;&lt;wsp:rsid wsp:val=&quot;00444FCA&quot;/&gt;&lt;wsp:rsid wsp:val=&quot;004462E2&quot;/&gt;&lt;wsp:rsid wsp:val=&quot;0044680D&quot;/&gt;&lt;wsp:rsid wsp:val=&quot;004469CC&quot;/&gt;&lt;wsp:rsid wsp:val=&quot;00446EA4&quot;/&gt;&lt;wsp:rsid wsp:val=&quot;004472C8&quot;/&gt;&lt;wsp:rsid wsp:val=&quot;00447373&quot;/&gt;&lt;wsp:rsid wsp:val=&quot;00450061&quot;/&gt;&lt;wsp:rsid wsp:val=&quot;00450A23&quot;/&gt;&lt;wsp:rsid wsp:val=&quot;00450AD6&quot;/&gt;&lt;wsp:rsid wsp:val=&quot;00450DA3&quot;/&gt;&lt;wsp:rsid wsp:val=&quot;00451090&quot;/&gt;&lt;wsp:rsid wsp:val=&quot;004511A2&quot;/&gt;&lt;wsp:rsid wsp:val=&quot;004511D4&quot;/&gt;&lt;wsp:rsid wsp:val=&quot;004517AA&quot;/&gt;&lt;wsp:rsid wsp:val=&quot;00451832&quot;/&gt;&lt;wsp:rsid wsp:val=&quot;00451D8A&quot;/&gt;&lt;wsp:rsid wsp:val=&quot;00451D98&quot;/&gt;&lt;wsp:rsid wsp:val=&quot;00452024&quot;/&gt;&lt;wsp:rsid wsp:val=&quot;004528A7&quot;/&gt;&lt;wsp:rsid wsp:val=&quot;00452991&quot;/&gt;&lt;wsp:rsid wsp:val=&quot;00453253&quot;/&gt;&lt;wsp:rsid wsp:val=&quot;00453532&quot;/&gt;&lt;wsp:rsid wsp:val=&quot;00453C40&quot;/&gt;&lt;wsp:rsid wsp:val=&quot;00453F92&quot;/&gt;&lt;wsp:rsid wsp:val=&quot;004543C3&quot;/&gt;&lt;wsp:rsid wsp:val=&quot;004543E9&quot;/&gt;&lt;wsp:rsid wsp:val=&quot;0045459E&quot;/&gt;&lt;wsp:rsid wsp:val=&quot;0045469D&quot;/&gt;&lt;wsp:rsid wsp:val=&quot;00454D6F&quot;/&gt;&lt;wsp:rsid wsp:val=&quot;00454F17&quot;/&gt;&lt;wsp:rsid wsp:val=&quot;00454FA8&quot;/&gt;&lt;wsp:rsid wsp:val=&quot;0045515D&quot;/&gt;&lt;wsp:rsid wsp:val=&quot;00455327&quot;/&gt;&lt;wsp:rsid wsp:val=&quot;004562C2&quot;/&gt;&lt;wsp:rsid wsp:val=&quot;0045755E&quot;/&gt;&lt;wsp:rsid wsp:val=&quot;00457EEE&quot;/&gt;&lt;wsp:rsid wsp:val=&quot;00460061&quot;/&gt;&lt;wsp:rsid wsp:val=&quot;004601E1&quot;/&gt;&lt;wsp:rsid wsp:val=&quot;004602C5&quot;/&gt;&lt;wsp:rsid wsp:val=&quot;00460981&quot;/&gt;&lt;wsp:rsid wsp:val=&quot;00460A60&quot;/&gt;&lt;wsp:rsid wsp:val=&quot;00461379&quot;/&gt;&lt;wsp:rsid wsp:val=&quot;00461561&quot;/&gt;&lt;wsp:rsid wsp:val=&quot;004616A9&quot;/&gt;&lt;wsp:rsid wsp:val=&quot;00462B2F&quot;/&gt;&lt;wsp:rsid wsp:val=&quot;00462D41&quot;/&gt;&lt;wsp:rsid wsp:val=&quot;0046367E&quot;/&gt;&lt;wsp:rsid wsp:val=&quot;00463F20&quot;/&gt;&lt;wsp:rsid wsp:val=&quot;00464422&quot;/&gt;&lt;wsp:rsid wsp:val=&quot;00464449&quot;/&gt;&lt;wsp:rsid wsp:val=&quot;00464737&quot;/&gt;&lt;wsp:rsid wsp:val=&quot;00465DC7&quot;/&gt;&lt;wsp:rsid wsp:val=&quot;00466491&quot;/&gt;&lt;wsp:rsid wsp:val=&quot;00466621&quot;/&gt;&lt;wsp:rsid wsp:val=&quot;004668EB&quot;/&gt;&lt;wsp:rsid wsp:val=&quot;00466D8F&quot;/&gt;&lt;wsp:rsid wsp:val=&quot;00466F82&quot;/&gt;&lt;wsp:rsid wsp:val=&quot;0046708B&quot;/&gt;&lt;wsp:rsid wsp:val=&quot;00467928&quot;/&gt;&lt;wsp:rsid wsp:val=&quot;00467F44&quot;/&gt;&lt;wsp:rsid wsp:val=&quot;00470092&quot;/&gt;&lt;wsp:rsid wsp:val=&quot;00470125&quot;/&gt;&lt;wsp:rsid wsp:val=&quot;00470EB1&quot;/&gt;&lt;wsp:rsid wsp:val=&quot;00472552&quot;/&gt;&lt;wsp:rsid wsp:val=&quot;00472822&quot;/&gt;&lt;wsp:rsid wsp:val=&quot;004728D4&quot;/&gt;&lt;wsp:rsid wsp:val=&quot;00472DD1&quot;/&gt;&lt;wsp:rsid wsp:val=&quot;00472E4E&quot;/&gt;&lt;wsp:rsid wsp:val=&quot;00473154&quot;/&gt;&lt;wsp:rsid wsp:val=&quot;0047351B&quot;/&gt;&lt;wsp:rsid wsp:val=&quot;00473DC4&quot;/&gt;&lt;wsp:rsid wsp:val=&quot;004741DA&quot;/&gt;&lt;wsp:rsid wsp:val=&quot;0047435A&quot;/&gt;&lt;wsp:rsid wsp:val=&quot;0047483D&quot;/&gt;&lt;wsp:rsid wsp:val=&quot;004754AA&quot;/&gt;&lt;wsp:rsid wsp:val=&quot;004756C4&quot;/&gt;&lt;wsp:rsid wsp:val=&quot;0047572C&quot;/&gt;&lt;wsp:rsid wsp:val=&quot;0047597B&quot;/&gt;&lt;wsp:rsid wsp:val=&quot;00475C0E&quot;/&gt;&lt;wsp:rsid wsp:val=&quot;00475E3F&quot;/&gt;&lt;wsp:rsid wsp:val=&quot;00476072&quot;/&gt;&lt;wsp:rsid wsp:val=&quot;00476ABA&quot;/&gt;&lt;wsp:rsid wsp:val=&quot;004804F8&quot;/&gt;&lt;wsp:rsid wsp:val=&quot;0048082C&quot;/&gt;&lt;wsp:rsid wsp:val=&quot;004808AF&quot;/&gt;&lt;wsp:rsid wsp:val=&quot;00482BB8&quot;/&gt;&lt;wsp:rsid wsp:val=&quot;00482F46&quot;/&gt;&lt;wsp:rsid wsp:val=&quot;00483219&quot;/&gt;&lt;wsp:rsid wsp:val=&quot;00483E15&quot;/&gt;&lt;wsp:rsid wsp:val=&quot;00484C8E&quot;/&gt;&lt;wsp:rsid wsp:val=&quot;00484FF2&quot;/&gt;&lt;wsp:rsid wsp:val=&quot;0048528D&quot;/&gt;&lt;wsp:rsid wsp:val=&quot;00485441&quot;/&gt;&lt;wsp:rsid wsp:val=&quot;004860D1&quot;/&gt;&lt;wsp:rsid wsp:val=&quot;0048697B&quot;/&gt;&lt;wsp:rsid wsp:val=&quot;00486AAE&quot;/&gt;&lt;wsp:rsid wsp:val=&quot;00486AC9&quot;/&gt;&lt;wsp:rsid wsp:val=&quot;0048744A&quot;/&gt;&lt;wsp:rsid wsp:val=&quot;0049046C&quot;/&gt;&lt;wsp:rsid wsp:val=&quot;004906F7&quot;/&gt;&lt;wsp:rsid wsp:val=&quot;00490733&quot;/&gt;&lt;wsp:rsid wsp:val=&quot;00490843&quot;/&gt;&lt;wsp:rsid wsp:val=&quot;00490B4C&quot;/&gt;&lt;wsp:rsid wsp:val=&quot;00490F39&quot;/&gt;&lt;wsp:rsid wsp:val=&quot;00491662&quot;/&gt;&lt;wsp:rsid wsp:val=&quot;00492282&quot;/&gt;&lt;wsp:rsid wsp:val=&quot;004923C0&quot;/&gt;&lt;wsp:rsid wsp:val=&quot;0049267E&quot;/&gt;&lt;wsp:rsid wsp:val=&quot;004928A1&quot;/&gt;&lt;wsp:rsid wsp:val=&quot;00492D9C&quot;/&gt;&lt;wsp:rsid wsp:val=&quot;00493132&quot;/&gt;&lt;wsp:rsid wsp:val=&quot;004931B9&quot;/&gt;&lt;wsp:rsid wsp:val=&quot;00493840&quot;/&gt;&lt;wsp:rsid wsp:val=&quot;00493EA4&quot;/&gt;&lt;wsp:rsid wsp:val=&quot;004940E2&quot;/&gt;&lt;wsp:rsid wsp:val=&quot;004949ED&quot;/&gt;&lt;wsp:rsid wsp:val=&quot;00494AB5&quot;/&gt;&lt;wsp:rsid wsp:val=&quot;00494C4A&quot;/&gt;&lt;wsp:rsid wsp:val=&quot;004957B7&quot;/&gt;&lt;wsp:rsid wsp:val=&quot;004958F3&quot;/&gt;&lt;wsp:rsid wsp:val=&quot;00495BC8&quot;/&gt;&lt;wsp:rsid wsp:val=&quot;00495F89&quot;/&gt;&lt;wsp:rsid wsp:val=&quot;004962E0&quot;/&gt;&lt;wsp:rsid wsp:val=&quot;004964FF&quot;/&gt;&lt;wsp:rsid wsp:val=&quot;00496E3B&quot;/&gt;&lt;wsp:rsid wsp:val=&quot;00496F1D&quot;/&gt;&lt;wsp:rsid wsp:val=&quot;004972E2&quot;/&gt;&lt;wsp:rsid wsp:val=&quot;00497BA4&quot;/&gt;&lt;wsp:rsid wsp:val=&quot;00497C91&quot;/&gt;&lt;wsp:rsid wsp:val=&quot;00497F53&quot;/&gt;&lt;wsp:rsid wsp:val=&quot;004A041F&quot;/&gt;&lt;wsp:rsid wsp:val=&quot;004A0523&quot;/&gt;&lt;wsp:rsid wsp:val=&quot;004A0637&quot;/&gt;&lt;wsp:rsid wsp:val=&quot;004A06AC&quot;/&gt;&lt;wsp:rsid wsp:val=&quot;004A0CB7&quot;/&gt;&lt;wsp:rsid wsp:val=&quot;004A10C5&quot;/&gt;&lt;wsp:rsid wsp:val=&quot;004A10ED&quot;/&gt;&lt;wsp:rsid wsp:val=&quot;004A1B41&quot;/&gt;&lt;wsp:rsid wsp:val=&quot;004A20D1&quot;/&gt;&lt;wsp:rsid wsp:val=&quot;004A21D3&quot;/&gt;&lt;wsp:rsid wsp:val=&quot;004A249A&quot;/&gt;&lt;wsp:rsid wsp:val=&quot;004A27F1&quot;/&gt;&lt;wsp:rsid wsp:val=&quot;004A38ED&quot;/&gt;&lt;wsp:rsid wsp:val=&quot;004A3948&quot;/&gt;&lt;wsp:rsid wsp:val=&quot;004A450F&quot;/&gt;&lt;wsp:rsid wsp:val=&quot;004A4603&quot;/&gt;&lt;wsp:rsid wsp:val=&quot;004A52CD&quot;/&gt;&lt;wsp:rsid wsp:val=&quot;004A5616&quot;/&gt;&lt;wsp:rsid wsp:val=&quot;004A58DF&quot;/&gt;&lt;wsp:rsid wsp:val=&quot;004A5911&quot;/&gt;&lt;wsp:rsid wsp:val=&quot;004A5E27&quot;/&gt;&lt;wsp:rsid wsp:val=&quot;004A5F06&quot;/&gt;&lt;wsp:rsid wsp:val=&quot;004A5FEE&quot;/&gt;&lt;wsp:rsid wsp:val=&quot;004A6091&quot;/&gt;&lt;wsp:rsid wsp:val=&quot;004A7096&quot;/&gt;&lt;wsp:rsid wsp:val=&quot;004A71DA&quot;/&gt;&lt;wsp:rsid wsp:val=&quot;004A73DE&quot;/&gt;&lt;wsp:rsid wsp:val=&quot;004A76AD&quot;/&gt;&lt;wsp:rsid wsp:val=&quot;004A792E&quot;/&gt;&lt;wsp:rsid wsp:val=&quot;004A7BE9&quot;/&gt;&lt;wsp:rsid wsp:val=&quot;004A7E07&quot;/&gt;&lt;wsp:rsid wsp:val=&quot;004B07D2&quot;/&gt;&lt;wsp:rsid wsp:val=&quot;004B0F92&quot;/&gt;&lt;wsp:rsid wsp:val=&quot;004B12F9&quot;/&gt;&lt;wsp:rsid wsp:val=&quot;004B154F&quot;/&gt;&lt;wsp:rsid wsp:val=&quot;004B1BD3&quot;/&gt;&lt;wsp:rsid wsp:val=&quot;004B1CA2&quot;/&gt;&lt;wsp:rsid wsp:val=&quot;004B26A1&quot;/&gt;&lt;wsp:rsid wsp:val=&quot;004B2EF4&quot;/&gt;&lt;wsp:rsid wsp:val=&quot;004B3ACC&quot;/&gt;&lt;wsp:rsid wsp:val=&quot;004B45BF&quot;/&gt;&lt;wsp:rsid wsp:val=&quot;004B46C0&quot;/&gt;&lt;wsp:rsid wsp:val=&quot;004B4D0F&quot;/&gt;&lt;wsp:rsid wsp:val=&quot;004B54B0&quot;/&gt;&lt;wsp:rsid wsp:val=&quot;004B5ADB&quot;/&gt;&lt;wsp:rsid wsp:val=&quot;004B5F45&quot;/&gt;&lt;wsp:rsid wsp:val=&quot;004B6C86&quot;/&gt;&lt;wsp:rsid wsp:val=&quot;004B700B&quot;/&gt;&lt;wsp:rsid wsp:val=&quot;004B7467&quot;/&gt;&lt;wsp:rsid wsp:val=&quot;004B7763&quot;/&gt;&lt;wsp:rsid wsp:val=&quot;004C05EF&quot;/&gt;&lt;wsp:rsid wsp:val=&quot;004C119D&quot;/&gt;&lt;wsp:rsid wsp:val=&quot;004C1289&quot;/&gt;&lt;wsp:rsid wsp:val=&quot;004C17BC&quot;/&gt;&lt;wsp:rsid wsp:val=&quot;004C17CF&quot;/&gt;&lt;wsp:rsid wsp:val=&quot;004C237E&quot;/&gt;&lt;wsp:rsid wsp:val=&quot;004C2945&quot;/&gt;&lt;wsp:rsid wsp:val=&quot;004C2B16&quot;/&gt;&lt;wsp:rsid wsp:val=&quot;004C321E&quot;/&gt;&lt;wsp:rsid wsp:val=&quot;004C3246&quot;/&gt;&lt;wsp:rsid wsp:val=&quot;004C3A18&quot;/&gt;&lt;wsp:rsid wsp:val=&quot;004C3A3B&quot;/&gt;&lt;wsp:rsid wsp:val=&quot;004C47B6&quot;/&gt;&lt;wsp:rsid wsp:val=&quot;004C49D6&quot;/&gt;&lt;wsp:rsid wsp:val=&quot;004C4AF1&quot;/&gt;&lt;wsp:rsid wsp:val=&quot;004C4FC2&quot;/&gt;&lt;wsp:rsid wsp:val=&quot;004C51AB&quot;/&gt;&lt;wsp:rsid wsp:val=&quot;004C67B4&quot;/&gt;&lt;wsp:rsid wsp:val=&quot;004C7199&quot;/&gt;&lt;wsp:rsid wsp:val=&quot;004C7B0E&quot;/&gt;&lt;wsp:rsid wsp:val=&quot;004C7BF5&quot;/&gt;&lt;wsp:rsid wsp:val=&quot;004D07D0&quot;/&gt;&lt;wsp:rsid wsp:val=&quot;004D0E95&quot;/&gt;&lt;wsp:rsid wsp:val=&quot;004D1095&quot;/&gt;&lt;wsp:rsid wsp:val=&quot;004D17D9&quot;/&gt;&lt;wsp:rsid wsp:val=&quot;004D1973&quot;/&gt;&lt;wsp:rsid wsp:val=&quot;004D2240&quot;/&gt;&lt;wsp:rsid wsp:val=&quot;004D2E35&quot;/&gt;&lt;wsp:rsid wsp:val=&quot;004D361E&quot;/&gt;&lt;wsp:rsid wsp:val=&quot;004D3942&quot;/&gt;&lt;wsp:rsid wsp:val=&quot;004D3A09&quot;/&gt;&lt;wsp:rsid wsp:val=&quot;004D3AE0&quot;/&gt;&lt;wsp:rsid wsp:val=&quot;004D4010&quot;/&gt;&lt;wsp:rsid wsp:val=&quot;004D4214&quot;/&gt;&lt;wsp:rsid wsp:val=&quot;004D444B&quot;/&gt;&lt;wsp:rsid wsp:val=&quot;004D4461&quot;/&gt;&lt;wsp:rsid wsp:val=&quot;004D44C3&quot;/&gt;&lt;wsp:rsid wsp:val=&quot;004D4748&quot;/&gt;&lt;wsp:rsid wsp:val=&quot;004D4810&quot;/&gt;&lt;wsp:rsid wsp:val=&quot;004D5506&quot;/&gt;&lt;wsp:rsid wsp:val=&quot;004D5719&quot;/&gt;&lt;wsp:rsid wsp:val=&quot;004D5CEA&quot;/&gt;&lt;wsp:rsid wsp:val=&quot;004D5E6A&quot;/&gt;&lt;wsp:rsid wsp:val=&quot;004D5EBA&quot;/&gt;&lt;wsp:rsid wsp:val=&quot;004D6768&quot;/&gt;&lt;wsp:rsid wsp:val=&quot;004D6BF5&quot;/&gt;&lt;wsp:rsid wsp:val=&quot;004D717D&quot;/&gt;&lt;wsp:rsid wsp:val=&quot;004D7E69&quot;/&gt;&lt;wsp:rsid wsp:val=&quot;004E03C1&quot;/&gt;&lt;wsp:rsid wsp:val=&quot;004E0955&quot;/&gt;&lt;wsp:rsid wsp:val=&quot;004E1245&quot;/&gt;&lt;wsp:rsid wsp:val=&quot;004E1713&quot;/&gt;&lt;wsp:rsid wsp:val=&quot;004E1F2B&quot;/&gt;&lt;wsp:rsid wsp:val=&quot;004E272C&quot;/&gt;&lt;wsp:rsid wsp:val=&quot;004E2C93&quot;/&gt;&lt;wsp:rsid wsp:val=&quot;004E3227&quot;/&gt;&lt;wsp:rsid wsp:val=&quot;004E344A&quot;/&gt;&lt;wsp:rsid wsp:val=&quot;004E3EB4&quot;/&gt;&lt;wsp:rsid wsp:val=&quot;004E41BE&quot;/&gt;&lt;wsp:rsid wsp:val=&quot;004E4BAF&quot;/&gt;&lt;wsp:rsid wsp:val=&quot;004E4C0D&quot;/&gt;&lt;wsp:rsid wsp:val=&quot;004E4DBF&quot;/&gt;&lt;wsp:rsid wsp:val=&quot;004E500F&quot;/&gt;&lt;wsp:rsid wsp:val=&quot;004E5876&quot;/&gt;&lt;wsp:rsid wsp:val=&quot;004E5A3B&quot;/&gt;&lt;wsp:rsid wsp:val=&quot;004E60F4&quot;/&gt;&lt;wsp:rsid wsp:val=&quot;004E6F64&quot;/&gt;&lt;wsp:rsid wsp:val=&quot;004E770F&quot;/&gt;&lt;wsp:rsid wsp:val=&quot;004E7957&quot;/&gt;&lt;wsp:rsid wsp:val=&quot;004E7ABC&quot;/&gt;&lt;wsp:rsid wsp:val=&quot;004F08CF&quot;/&gt;&lt;wsp:rsid wsp:val=&quot;004F0979&quot;/&gt;&lt;wsp:rsid wsp:val=&quot;004F0CEB&quot;/&gt;&lt;wsp:rsid wsp:val=&quot;004F1A36&quot;/&gt;&lt;wsp:rsid wsp:val=&quot;004F1CE6&quot;/&gt;&lt;wsp:rsid wsp:val=&quot;004F3545&quot;/&gt;&lt;wsp:rsid wsp:val=&quot;004F3AF6&quot;/&gt;&lt;wsp:rsid wsp:val=&quot;004F4631&quot;/&gt;&lt;wsp:rsid wsp:val=&quot;004F485B&quot;/&gt;&lt;wsp:rsid wsp:val=&quot;004F4D84&quot;/&gt;&lt;wsp:rsid wsp:val=&quot;004F5294&quot;/&gt;&lt;wsp:rsid wsp:val=&quot;004F52E1&quot;/&gt;&lt;wsp:rsid wsp:val=&quot;004F57A7&quot;/&gt;&lt;wsp:rsid wsp:val=&quot;004F59DD&quot;/&gt;&lt;wsp:rsid wsp:val=&quot;004F600F&quot;/&gt;&lt;wsp:rsid wsp:val=&quot;004F6CB2&quot;/&gt;&lt;wsp:rsid wsp:val=&quot;004F6CE3&quot;/&gt;&lt;wsp:rsid wsp:val=&quot;004F7946&quot;/&gt;&lt;wsp:rsid wsp:val=&quot;00500102&quot;/&gt;&lt;wsp:rsid wsp:val=&quot;0050062F&quot;/&gt;&lt;wsp:rsid wsp:val=&quot;00500696&quot;/&gt;&lt;wsp:rsid wsp:val=&quot;00500A62&quot;/&gt;&lt;wsp:rsid wsp:val=&quot;00500A7B&quot;/&gt;&lt;wsp:rsid wsp:val=&quot;00500DBA&quot;/&gt;&lt;wsp:rsid wsp:val=&quot;00501894&quot;/&gt;&lt;wsp:rsid wsp:val=&quot;00501D9E&quot;/&gt;&lt;wsp:rsid wsp:val=&quot;00501EB7&quot;/&gt;&lt;wsp:rsid wsp:val=&quot;005023CA&quot;/&gt;&lt;wsp:rsid wsp:val=&quot;00502514&quot;/&gt;&lt;wsp:rsid wsp:val=&quot;00502A04&quot;/&gt;&lt;wsp:rsid wsp:val=&quot;00502A82&quot;/&gt;&lt;wsp:rsid wsp:val=&quot;00502F5F&quot;/&gt;&lt;wsp:rsid wsp:val=&quot;005034DA&quot;/&gt;&lt;wsp:rsid wsp:val=&quot;005039B7&quot;/&gt;&lt;wsp:rsid wsp:val=&quot;00503C1F&quot;/&gt;&lt;wsp:rsid wsp:val=&quot;00504229&quot;/&gt;&lt;wsp:rsid wsp:val=&quot;00504303&quot;/&gt;&lt;wsp:rsid wsp:val=&quot;0050456C&quot;/&gt;&lt;wsp:rsid wsp:val=&quot;00504621&quot;/&gt;&lt;wsp:rsid wsp:val=&quot;0050462B&quot;/&gt;&lt;wsp:rsid wsp:val=&quot;00504A25&quot;/&gt;&lt;wsp:rsid wsp:val=&quot;00504AF0&quot;/&gt;&lt;wsp:rsid wsp:val=&quot;005052B6&quot;/&gt;&lt;wsp:rsid wsp:val=&quot;0050567F&quot;/&gt;&lt;wsp:rsid wsp:val=&quot;005057BD&quot;/&gt;&lt;wsp:rsid wsp:val=&quot;0050594A&quot;/&gt;&lt;wsp:rsid wsp:val=&quot;005059CC&quot;/&gt;&lt;wsp:rsid wsp:val=&quot;00505A4F&quot;/&gt;&lt;wsp:rsid wsp:val=&quot;00506291&quot;/&gt;&lt;wsp:rsid wsp:val=&quot;00506383&quot;/&gt;&lt;wsp:rsid wsp:val=&quot;00506789&quot;/&gt;&lt;wsp:rsid wsp:val=&quot;00506B08&quot;/&gt;&lt;wsp:rsid wsp:val=&quot;00506D61&quot;/&gt;&lt;wsp:rsid wsp:val=&quot;00506F64&quot;/&gt;&lt;wsp:rsid wsp:val=&quot;00507251&quot;/&gt;&lt;wsp:rsid wsp:val=&quot;005076E6&quot;/&gt;&lt;wsp:rsid wsp:val=&quot;00507899&quot;/&gt;&lt;wsp:rsid wsp:val=&quot;00507962&quot;/&gt;&lt;wsp:rsid wsp:val=&quot;0051029A&quot;/&gt;&lt;wsp:rsid wsp:val=&quot;005110C9&quot;/&gt;&lt;wsp:rsid wsp:val=&quot;005115C9&quot;/&gt;&lt;wsp:rsid wsp:val=&quot;00511DB7&quot;/&gt;&lt;wsp:rsid wsp:val=&quot;005120A1&quot;/&gt;&lt;wsp:rsid wsp:val=&quot;0051223D&quot;/&gt;&lt;wsp:rsid wsp:val=&quot;005125D5&quot;/&gt;&lt;wsp:rsid wsp:val=&quot;00512832&quot;/&gt;&lt;wsp:rsid wsp:val=&quot;0051284B&quot;/&gt;&lt;wsp:rsid wsp:val=&quot;00512AEA&quot;/&gt;&lt;wsp:rsid wsp:val=&quot;00512B19&quot;/&gt;&lt;wsp:rsid wsp:val=&quot;0051439D&quot;/&gt;&lt;wsp:rsid wsp:val=&quot;0051449F&quot;/&gt;&lt;wsp:rsid wsp:val=&quot;0051454D&quot;/&gt;&lt;wsp:rsid wsp:val=&quot;00514BAC&quot;/&gt;&lt;wsp:rsid wsp:val=&quot;00515357&quot;/&gt;&lt;wsp:rsid wsp:val=&quot;00515660&quot;/&gt;&lt;wsp:rsid wsp:val=&quot;00516ADA&quot;/&gt;&lt;wsp:rsid wsp:val=&quot;00516B3F&quot;/&gt;&lt;wsp:rsid wsp:val=&quot;00517763&quot;/&gt;&lt;wsp:rsid wsp:val=&quot;00517E30&quot;/&gt;&lt;wsp:rsid wsp:val=&quot;00517EAD&quot;/&gt;&lt;wsp:rsid wsp:val=&quot;00520C78&quot;/&gt;&lt;wsp:rsid wsp:val=&quot;0052113A&quot;/&gt;&lt;wsp:rsid wsp:val=&quot;0052179F&quot;/&gt;&lt;wsp:rsid wsp:val=&quot;005217AE&quot;/&gt;&lt;wsp:rsid wsp:val=&quot;00521C7C&quot;/&gt;&lt;wsp:rsid wsp:val=&quot;00521E94&quot;/&gt;&lt;wsp:rsid wsp:val=&quot;0052243B&quot;/&gt;&lt;wsp:rsid wsp:val=&quot;00522941&quot;/&gt;&lt;wsp:rsid wsp:val=&quot;005229F4&quot;/&gt;&lt;wsp:rsid wsp:val=&quot;00522BB9&quot;/&gt;&lt;wsp:rsid wsp:val=&quot;0052308E&quot;/&gt;&lt;wsp:rsid wsp:val=&quot;005231C5&quot;/&gt;&lt;wsp:rsid wsp:val=&quot;00523383&quot;/&gt;&lt;wsp:rsid wsp:val=&quot;0052340D&quot;/&gt;&lt;wsp:rsid wsp:val=&quot;005234C4&quot;/&gt;&lt;wsp:rsid wsp:val=&quot;00523660&quot;/&gt;&lt;wsp:rsid wsp:val=&quot;0052384D&quot;/&gt;&lt;wsp:rsid wsp:val=&quot;00524218&quot;/&gt;&lt;wsp:rsid wsp:val=&quot;00524495&quot;/&gt;&lt;wsp:rsid wsp:val=&quot;0052462B&quot;/&gt;&lt;wsp:rsid wsp:val=&quot;00524F0E&quot;/&gt;&lt;wsp:rsid wsp:val=&quot;005250D8&quot;/&gt;&lt;wsp:rsid wsp:val=&quot;0052514B&quot;/&gt;&lt;wsp:rsid wsp:val=&quot;005252D8&quot;/&gt;&lt;wsp:rsid wsp:val=&quot;00525AE8&quot;/&gt;&lt;wsp:rsid wsp:val=&quot;00525AF2&quot;/&gt;&lt;wsp:rsid wsp:val=&quot;00525B36&quot;/&gt;&lt;wsp:rsid wsp:val=&quot;00526741&quot;/&gt;&lt;wsp:rsid wsp:val=&quot;00526B20&quot;/&gt;&lt;wsp:rsid wsp:val=&quot;00526C36&quot;/&gt;&lt;wsp:rsid wsp:val=&quot;00527572&quot;/&gt;&lt;wsp:rsid wsp:val=&quot;005276FF&quot;/&gt;&lt;wsp:rsid wsp:val=&quot;00527753&quot;/&gt;&lt;wsp:rsid wsp:val=&quot;00527842&quot;/&gt;&lt;wsp:rsid wsp:val=&quot;00527DE3&quot;/&gt;&lt;wsp:rsid wsp:val=&quot;0053002C&quot;/&gt;&lt;wsp:rsid wsp:val=&quot;0053021B&quot;/&gt;&lt;wsp:rsid wsp:val=&quot;00530C05&quot;/&gt;&lt;wsp:rsid wsp:val=&quot;00530EFE&quot;/&gt;&lt;wsp:rsid wsp:val=&quot;005310B5&quot;/&gt;&lt;wsp:rsid wsp:val=&quot;005319DD&quot;/&gt;&lt;wsp:rsid wsp:val=&quot;00532192&quot;/&gt;&lt;wsp:rsid wsp:val=&quot;00532A7D&quot;/&gt;&lt;wsp:rsid wsp:val=&quot;005333E8&quot;/&gt;&lt;wsp:rsid wsp:val=&quot;00533A9B&quot;/&gt;&lt;wsp:rsid wsp:val=&quot;00533F9A&quot;/&gt;&lt;wsp:rsid wsp:val=&quot;005341EB&quot;/&gt;&lt;wsp:rsid wsp:val=&quot;005342C7&quot;/&gt;&lt;wsp:rsid wsp:val=&quot;00534A26&quot;/&gt;&lt;wsp:rsid wsp:val=&quot;00534B51&quot;/&gt;&lt;wsp:rsid wsp:val=&quot;00535036&quot;/&gt;&lt;wsp:rsid wsp:val=&quot;00535280&quot;/&gt;&lt;wsp:rsid wsp:val=&quot;0053561E&quot;/&gt;&lt;wsp:rsid wsp:val=&quot;00535620&quot;/&gt;&lt;wsp:rsid wsp:val=&quot;00535740&quot;/&gt;&lt;wsp:rsid wsp:val=&quot;00535B9C&quot;/&gt;&lt;wsp:rsid wsp:val=&quot;0053700F&quot;/&gt;&lt;wsp:rsid wsp:val=&quot;00537986&quot;/&gt;&lt;wsp:rsid wsp:val=&quot;00537BBA&quot;/&gt;&lt;wsp:rsid wsp:val=&quot;00540784&quot;/&gt;&lt;wsp:rsid wsp:val=&quot;00541419&quot;/&gt;&lt;wsp:rsid wsp:val=&quot;00541C93&quot;/&gt;&lt;wsp:rsid wsp:val=&quot;00541DE5&quot;/&gt;&lt;wsp:rsid wsp:val=&quot;00542037&quot;/&gt;&lt;wsp:rsid wsp:val=&quot;0054212E&quot;/&gt;&lt;wsp:rsid wsp:val=&quot;005422CF&quot;/&gt;&lt;wsp:rsid wsp:val=&quot;005425A7&quot;/&gt;&lt;wsp:rsid wsp:val=&quot;00542794&quot;/&gt;&lt;wsp:rsid wsp:val=&quot;00542C88&quot;/&gt;&lt;wsp:rsid wsp:val=&quot;00542CB0&quot;/&gt;&lt;wsp:rsid wsp:val=&quot;005433F5&quot;/&gt;&lt;wsp:rsid wsp:val=&quot;00543760&quot;/&gt;&lt;wsp:rsid wsp:val=&quot;00544019&quot;/&gt;&lt;wsp:rsid wsp:val=&quot;00545082&quot;/&gt;&lt;wsp:rsid wsp:val=&quot;005451D0&quot;/&gt;&lt;wsp:rsid wsp:val=&quot;00545AD1&quot;/&gt;&lt;wsp:rsid wsp:val=&quot;00545F75&quot;/&gt;&lt;wsp:rsid wsp:val=&quot;005467BE&quot;/&gt;&lt;wsp:rsid wsp:val=&quot;00546864&quot;/&gt;&lt;wsp:rsid wsp:val=&quot;00546EF1&quot;/&gt;&lt;wsp:rsid wsp:val=&quot;00546F8A&quot;/&gt;&lt;wsp:rsid wsp:val=&quot;00547ECC&quot;/&gt;&lt;wsp:rsid wsp:val=&quot;00547FC9&quot;/&gt;&lt;wsp:rsid wsp:val=&quot;00550276&quot;/&gt;&lt;wsp:rsid wsp:val=&quot;005502AC&quot;/&gt;&lt;wsp:rsid wsp:val=&quot;00550656&quot;/&gt;&lt;wsp:rsid wsp:val=&quot;0055115A&quot;/&gt;&lt;wsp:rsid wsp:val=&quot;0055135A&quot;/&gt;&lt;wsp:rsid wsp:val=&quot;00551A3C&quot;/&gt;&lt;wsp:rsid wsp:val=&quot;00551A4C&quot;/&gt;&lt;wsp:rsid wsp:val=&quot;00551E25&quot;/&gt;&lt;wsp:rsid wsp:val=&quot;0055256B&quot;/&gt;&lt;wsp:rsid wsp:val=&quot;0055270C&quot;/&gt;&lt;wsp:rsid wsp:val=&quot;00553495&quot;/&gt;&lt;wsp:rsid wsp:val=&quot;00553563&quot;/&gt;&lt;wsp:rsid wsp:val=&quot;0055464C&quot;/&gt;&lt;wsp:rsid wsp:val=&quot;00554A95&quot;/&gt;&lt;wsp:rsid wsp:val=&quot;00555C5B&quot;/&gt;&lt;wsp:rsid wsp:val=&quot;00556182&quot;/&gt;&lt;wsp:rsid wsp:val=&quot;005563B8&quot;/&gt;&lt;wsp:rsid wsp:val=&quot;00557CD9&quot;/&gt;&lt;wsp:rsid wsp:val=&quot;00557F27&quot;/&gt;&lt;wsp:rsid wsp:val=&quot;00560051&quot;/&gt;&lt;wsp:rsid wsp:val=&quot;00560324&quot;/&gt;&lt;wsp:rsid wsp:val=&quot;005606AB&quot;/&gt;&lt;wsp:rsid wsp:val=&quot;00560979&quot;/&gt;&lt;wsp:rsid wsp:val=&quot;0056140A&quot;/&gt;&lt;wsp:rsid wsp:val=&quot;005616B9&quot;/&gt;&lt;wsp:rsid wsp:val=&quot;00561BC0&quot;/&gt;&lt;wsp:rsid wsp:val=&quot;0056286B&quot;/&gt;&lt;wsp:rsid wsp:val=&quot;00562B45&quot;/&gt;&lt;wsp:rsid wsp:val=&quot;0056313D&quot;/&gt;&lt;wsp:rsid wsp:val=&quot;00563622&quot;/&gt;&lt;wsp:rsid wsp:val=&quot;0056370F&quot;/&gt;&lt;wsp:rsid wsp:val=&quot;0056422D&quot;/&gt;&lt;wsp:rsid wsp:val=&quot;00564485&quot;/&gt;&lt;wsp:rsid wsp:val=&quot;005647F7&quot;/&gt;&lt;wsp:rsid wsp:val=&quot;005650F0&quot;/&gt;&lt;wsp:rsid wsp:val=&quot;0056540C&quot;/&gt;&lt;wsp:rsid wsp:val=&quot;00565708&quot;/&gt;&lt;wsp:rsid wsp:val=&quot;00565805&quot;/&gt;&lt;wsp:rsid wsp:val=&quot;00566884&quot;/&gt;&lt;wsp:rsid wsp:val=&quot;00566E47&quot;/&gt;&lt;wsp:rsid wsp:val=&quot;00566F69&quot;/&gt;&lt;wsp:rsid wsp:val=&quot;00567039&quot;/&gt;&lt;wsp:rsid wsp:val=&quot;00567E90&quot;/&gt;&lt;wsp:rsid wsp:val=&quot;00567EB8&quot;/&gt;&lt;wsp:rsid wsp:val=&quot;00567F16&quot;/&gt;&lt;wsp:rsid wsp:val=&quot;005703A9&quot;/&gt;&lt;wsp:rsid wsp:val=&quot;00570D6F&quot;/&gt;&lt;wsp:rsid wsp:val=&quot;005711A4&quot;/&gt;&lt;wsp:rsid wsp:val=&quot;005719A2&quot;/&gt;&lt;wsp:rsid wsp:val=&quot;00571ACA&quot;/&gt;&lt;wsp:rsid wsp:val=&quot;00572022&quot;/&gt;&lt;wsp:rsid wsp:val=&quot;005724AA&quot;/&gt;&lt;wsp:rsid wsp:val=&quot;005726F8&quot;/&gt;&lt;wsp:rsid wsp:val=&quot;005727EB&quot;/&gt;&lt;wsp:rsid wsp:val=&quot;0057298B&quot;/&gt;&lt;wsp:rsid wsp:val=&quot;00572B39&quot;/&gt;&lt;wsp:rsid wsp:val=&quot;005739B1&quot;/&gt;&lt;wsp:rsid wsp:val=&quot;00573AC6&quot;/&gt;&lt;wsp:rsid wsp:val=&quot;0057412D&quot;/&gt;&lt;wsp:rsid wsp:val=&quot;00574157&quot;/&gt;&lt;wsp:rsid wsp:val=&quot;0057425D&quot;/&gt;&lt;wsp:rsid wsp:val=&quot;0057470B&quot;/&gt;&lt;wsp:rsid wsp:val=&quot;00574DD9&quot;/&gt;&lt;wsp:rsid wsp:val=&quot;00574F46&quot;/&gt;&lt;wsp:rsid wsp:val=&quot;005753A5&quot;/&gt;&lt;wsp:rsid wsp:val=&quot;005754E0&quot;/&gt;&lt;wsp:rsid wsp:val=&quot;00575B78&quot;/&gt;&lt;wsp:rsid wsp:val=&quot;00575C6A&quot;/&gt;&lt;wsp:rsid wsp:val=&quot;005762AB&quot;/&gt;&lt;wsp:rsid wsp:val=&quot;0057657F&quot;/&gt;&lt;wsp:rsid wsp:val=&quot;005773AD&quot;/&gt;&lt;wsp:rsid wsp:val=&quot;00577A73&quot;/&gt;&lt;wsp:rsid wsp:val=&quot;00577B5C&quot;/&gt;&lt;wsp:rsid wsp:val=&quot;00577C0F&quot;/&gt;&lt;wsp:rsid wsp:val=&quot;00577C17&quot;/&gt;&lt;wsp:rsid wsp:val=&quot;005800FB&quot;/&gt;&lt;wsp:rsid wsp:val=&quot;005805E9&quot;/&gt;&lt;wsp:rsid wsp:val=&quot;0058152F&quot;/&gt;&lt;wsp:rsid wsp:val=&quot;00581F6F&quot;/&gt;&lt;wsp:rsid wsp:val=&quot;005824CC&quot;/&gt;&lt;wsp:rsid wsp:val=&quot;005826AA&quot;/&gt;&lt;wsp:rsid wsp:val=&quot;00582BF2&quot;/&gt;&lt;wsp:rsid wsp:val=&quot;00583252&quot;/&gt;&lt;wsp:rsid wsp:val=&quot;00583808&quot;/&gt;&lt;wsp:rsid wsp:val=&quot;00583882&quot;/&gt;&lt;wsp:rsid wsp:val=&quot;00583955&quot;/&gt;&lt;wsp:rsid wsp:val=&quot;005841D2&quot;/&gt;&lt;wsp:rsid wsp:val=&quot;00584561&quot;/&gt;&lt;wsp:rsid wsp:val=&quot;0058472B&quot;/&gt;&lt;wsp:rsid wsp:val=&quot;00584DAD&quot;/&gt;&lt;wsp:rsid wsp:val=&quot;0058527B&quot;/&gt;&lt;wsp:rsid wsp:val=&quot;005854D0&quot;/&gt;&lt;wsp:rsid wsp:val=&quot;00585F8D&quot;/&gt;&lt;wsp:rsid wsp:val=&quot;0058612D&quot;/&gt;&lt;wsp:rsid wsp:val=&quot;00586407&quot;/&gt;&lt;wsp:rsid wsp:val=&quot;00586C83&quot;/&gt;&lt;wsp:rsid wsp:val=&quot;0058731E&quot;/&gt;&lt;wsp:rsid wsp:val=&quot;0058782D&quot;/&gt;&lt;wsp:rsid wsp:val=&quot;00587D78&quot;/&gt;&lt;wsp:rsid wsp:val=&quot;005904E3&quot;/&gt;&lt;wsp:rsid wsp:val=&quot;00590FE7&quot;/&gt;&lt;wsp:rsid wsp:val=&quot;00591221&quot;/&gt;&lt;wsp:rsid wsp:val=&quot;005917BC&quot;/&gt;&lt;wsp:rsid wsp:val=&quot;005919DD&quot;/&gt;&lt;wsp:rsid wsp:val=&quot;00591ADA&quot;/&gt;&lt;wsp:rsid wsp:val=&quot;00592F38&quot;/&gt;&lt;wsp:rsid wsp:val=&quot;00593B5F&quot;/&gt;&lt;wsp:rsid wsp:val=&quot;00593E91&quot;/&gt;&lt;wsp:rsid wsp:val=&quot;00593FBD&quot;/&gt;&lt;wsp:rsid wsp:val=&quot;00594BF6&quot;/&gt;&lt;wsp:rsid wsp:val=&quot;00594D03&quot;/&gt;&lt;wsp:rsid wsp:val=&quot;00595329&quot;/&gt;&lt;wsp:rsid wsp:val=&quot;00595667&quot;/&gt;&lt;wsp:rsid wsp:val=&quot;00595A0F&quot;/&gt;&lt;wsp:rsid wsp:val=&quot;00595FFF&quot;/&gt;&lt;wsp:rsid wsp:val=&quot;00596328&quot;/&gt;&lt;wsp:rsid wsp:val=&quot;00596DF8&quot;/&gt;&lt;wsp:rsid wsp:val=&quot;00597591&quot;/&gt;&lt;wsp:rsid wsp:val=&quot;0059780F&quot;/&gt;&lt;wsp:rsid wsp:val=&quot;00597E5A&quot;/&gt;&lt;wsp:rsid wsp:val=&quot;005A0AC1&quot;/&gt;&lt;wsp:rsid wsp:val=&quot;005A0EDE&quot;/&gt;&lt;wsp:rsid wsp:val=&quot;005A1387&quot;/&gt;&lt;wsp:rsid wsp:val=&quot;005A19AF&quot;/&gt;&lt;wsp:rsid wsp:val=&quot;005A1E37&quot;/&gt;&lt;wsp:rsid wsp:val=&quot;005A1FC3&quot;/&gt;&lt;wsp:rsid wsp:val=&quot;005A2176&quot;/&gt;&lt;wsp:rsid wsp:val=&quot;005A2D23&quot;/&gt;&lt;wsp:rsid wsp:val=&quot;005A3111&quot;/&gt;&lt;wsp:rsid wsp:val=&quot;005A3244&quot;/&gt;&lt;wsp:rsid wsp:val=&quot;005A3262&quot;/&gt;&lt;wsp:rsid wsp:val=&quot;005A3BB0&quot;/&gt;&lt;wsp:rsid wsp:val=&quot;005A406D&quot;/&gt;&lt;wsp:rsid wsp:val=&quot;005A41B1&quot;/&gt;&lt;wsp:rsid wsp:val=&quot;005A4A15&quot;/&gt;&lt;wsp:rsid wsp:val=&quot;005A4B26&quot;/&gt;&lt;wsp:rsid wsp:val=&quot;005A567A&quot;/&gt;&lt;wsp:rsid wsp:val=&quot;005A597E&quot;/&gt;&lt;wsp:rsid wsp:val=&quot;005A6055&quot;/&gt;&lt;wsp:rsid wsp:val=&quot;005A6C6E&quot;/&gt;&lt;wsp:rsid wsp:val=&quot;005A70EF&quot;/&gt;&lt;wsp:rsid wsp:val=&quot;005A7349&quot;/&gt;&lt;wsp:rsid wsp:val=&quot;005A74A8&quot;/&gt;&lt;wsp:rsid wsp:val=&quot;005A79B5&quot;/&gt;&lt;wsp:rsid wsp:val=&quot;005A79CE&quot;/&gt;&lt;wsp:rsid wsp:val=&quot;005A7FC2&quot;/&gt;&lt;wsp:rsid wsp:val=&quot;005B0312&quot;/&gt;&lt;wsp:rsid wsp:val=&quot;005B0CE3&quot;/&gt;&lt;wsp:rsid wsp:val=&quot;005B0FF4&quot;/&gt;&lt;wsp:rsid wsp:val=&quot;005B1367&quot;/&gt;&lt;wsp:rsid wsp:val=&quot;005B1EF9&quot;/&gt;&lt;wsp:rsid wsp:val=&quot;005B2278&quot;/&gt;&lt;wsp:rsid wsp:val=&quot;005B228A&quot;/&gt;&lt;wsp:rsid wsp:val=&quot;005B2AC7&quot;/&gt;&lt;wsp:rsid wsp:val=&quot;005B2B69&quot;/&gt;&lt;wsp:rsid wsp:val=&quot;005B30F7&quot;/&gt;&lt;wsp:rsid wsp:val=&quot;005B3A45&quot;/&gt;&lt;wsp:rsid wsp:val=&quot;005B4478&quot;/&gt;&lt;wsp:rsid wsp:val=&quot;005B4BD1&quot;/&gt;&lt;wsp:rsid wsp:val=&quot;005B4EDD&quot;/&gt;&lt;wsp:rsid wsp:val=&quot;005B510A&quot;/&gt;&lt;wsp:rsid wsp:val=&quot;005B5B0E&quot;/&gt;&lt;wsp:rsid wsp:val=&quot;005B6249&quot;/&gt;&lt;wsp:rsid wsp:val=&quot;005B6431&quot;/&gt;&lt;wsp:rsid wsp:val=&quot;005B659B&quot;/&gt;&lt;wsp:rsid wsp:val=&quot;005B65D4&quot;/&gt;&lt;wsp:rsid wsp:val=&quot;005B6665&quot;/&gt;&lt;wsp:rsid wsp:val=&quot;005B6C1A&quot;/&gt;&lt;wsp:rsid wsp:val=&quot;005B6D49&quot;/&gt;&lt;wsp:rsid wsp:val=&quot;005B6F4D&quot;/&gt;&lt;wsp:rsid wsp:val=&quot;005B7BBB&quot;/&gt;&lt;wsp:rsid wsp:val=&quot;005B7BD2&quot;/&gt;&lt;wsp:rsid wsp:val=&quot;005B7C8B&quot;/&gt;&lt;wsp:rsid wsp:val=&quot;005C002B&quot;/&gt;&lt;wsp:rsid wsp:val=&quot;005C03B3&quot;/&gt;&lt;wsp:rsid wsp:val=&quot;005C0620&quot;/&gt;&lt;wsp:rsid wsp:val=&quot;005C07D7&quot;/&gt;&lt;wsp:rsid wsp:val=&quot;005C0A1E&quot;/&gt;&lt;wsp:rsid wsp:val=&quot;005C1518&quot;/&gt;&lt;wsp:rsid wsp:val=&quot;005C1731&quot;/&gt;&lt;wsp:rsid wsp:val=&quot;005C1BB5&quot;/&gt;&lt;wsp:rsid wsp:val=&quot;005C2243&quot;/&gt;&lt;wsp:rsid wsp:val=&quot;005C24C4&quot;/&gt;&lt;wsp:rsid wsp:val=&quot;005C2992&quot;/&gt;&lt;wsp:rsid wsp:val=&quot;005C32C0&quot;/&gt;&lt;wsp:rsid wsp:val=&quot;005C370E&quot;/&gt;&lt;wsp:rsid wsp:val=&quot;005C3A57&quot;/&gt;&lt;wsp:rsid wsp:val=&quot;005C3CE8&quot;/&gt;&lt;wsp:rsid wsp:val=&quot;005C3DA2&quot;/&gt;&lt;wsp:rsid wsp:val=&quot;005C3F89&quot;/&gt;&lt;wsp:rsid wsp:val=&quot;005C4384&quot;/&gt;&lt;wsp:rsid wsp:val=&quot;005C46A7&quot;/&gt;&lt;wsp:rsid wsp:val=&quot;005C5150&quot;/&gt;&lt;wsp:rsid wsp:val=&quot;005C5174&quot;/&gt;&lt;wsp:rsid wsp:val=&quot;005C51AA&quot;/&gt;&lt;wsp:rsid wsp:val=&quot;005C5AB7&quot;/&gt;&lt;wsp:rsid wsp:val=&quot;005C6AE9&quot;/&gt;&lt;wsp:rsid wsp:val=&quot;005C6FCD&quot;/&gt;&lt;wsp:rsid wsp:val=&quot;005C74DF&quot;/&gt;&lt;wsp:rsid wsp:val=&quot;005C7B79&quot;/&gt;&lt;wsp:rsid wsp:val=&quot;005D00A1&quot;/&gt;&lt;wsp:rsid wsp:val=&quot;005D010D&quot;/&gt;&lt;wsp:rsid wsp:val=&quot;005D0642&quot;/&gt;&lt;wsp:rsid wsp:val=&quot;005D08AE&quot;/&gt;&lt;wsp:rsid wsp:val=&quot;005D1D4D&quot;/&gt;&lt;wsp:rsid wsp:val=&quot;005D21DE&quot;/&gt;&lt;wsp:rsid wsp:val=&quot;005D2278&quot;/&gt;&lt;wsp:rsid wsp:val=&quot;005D28B2&quot;/&gt;&lt;wsp:rsid wsp:val=&quot;005D30DD&quot;/&gt;&lt;wsp:rsid wsp:val=&quot;005D3787&quot;/&gt;&lt;wsp:rsid wsp:val=&quot;005D3D9E&quot;/&gt;&lt;wsp:rsid wsp:val=&quot;005D3E8F&quot;/&gt;&lt;wsp:rsid wsp:val=&quot;005D4862&quot;/&gt;&lt;wsp:rsid wsp:val=&quot;005D4A62&quot;/&gt;&lt;wsp:rsid wsp:val=&quot;005D56AF&quot;/&gt;&lt;wsp:rsid wsp:val=&quot;005D5C98&quot;/&gt;&lt;wsp:rsid wsp:val=&quot;005D5E91&quot;/&gt;&lt;wsp:rsid wsp:val=&quot;005D6578&quot;/&gt;&lt;wsp:rsid wsp:val=&quot;005D6E0C&quot;/&gt;&lt;wsp:rsid wsp:val=&quot;005D74F1&quot;/&gt;&lt;wsp:rsid wsp:val=&quot;005D7571&quot;/&gt;&lt;wsp:rsid wsp:val=&quot;005D76B9&quot;/&gt;&lt;wsp:rsid wsp:val=&quot;005D7B8D&quot;/&gt;&lt;wsp:rsid wsp:val=&quot;005E0BB5&quot;/&gt;&lt;wsp:rsid wsp:val=&quot;005E0BDB&quot;/&gt;&lt;wsp:rsid wsp:val=&quot;005E0C9E&quot;/&gt;&lt;wsp:rsid wsp:val=&quot;005E0F82&quot;/&gt;&lt;wsp:rsid wsp:val=&quot;005E10FF&quot;/&gt;&lt;wsp:rsid wsp:val=&quot;005E1100&quot;/&gt;&lt;wsp:rsid wsp:val=&quot;005E1156&quot;/&gt;&lt;wsp:rsid wsp:val=&quot;005E1731&quot;/&gt;&lt;wsp:rsid wsp:val=&quot;005E1809&quot;/&gt;&lt;wsp:rsid wsp:val=&quot;005E2150&quot;/&gt;&lt;wsp:rsid wsp:val=&quot;005E23A4&quot;/&gt;&lt;wsp:rsid wsp:val=&quot;005E2AF8&quot;/&gt;&lt;wsp:rsid wsp:val=&quot;005E366E&quot;/&gt;&lt;wsp:rsid wsp:val=&quot;005E36A1&quot;/&gt;&lt;wsp:rsid wsp:val=&quot;005E36EB&quot;/&gt;&lt;wsp:rsid wsp:val=&quot;005E3B46&quot;/&gt;&lt;wsp:rsid wsp:val=&quot;005E4221&quot;/&gt;&lt;wsp:rsid wsp:val=&quot;005E43FC&quot;/&gt;&lt;wsp:rsid wsp:val=&quot;005E44E1&quot;/&gt;&lt;wsp:rsid wsp:val=&quot;005E4884&quot;/&gt;&lt;wsp:rsid wsp:val=&quot;005E498C&quot;/&gt;&lt;wsp:rsid wsp:val=&quot;005E4FA0&quot;/&gt;&lt;wsp:rsid wsp:val=&quot;005E5303&quot;/&gt;&lt;wsp:rsid wsp:val=&quot;005E54EE&quot;/&gt;&lt;wsp:rsid wsp:val=&quot;005E5C65&quot;/&gt;&lt;wsp:rsid wsp:val=&quot;005E5CD6&quot;/&gt;&lt;wsp:rsid wsp:val=&quot;005E5D2A&quot;/&gt;&lt;wsp:rsid wsp:val=&quot;005E6968&quot;/&gt;&lt;wsp:rsid wsp:val=&quot;005E6FE7&quot;/&gt;&lt;wsp:rsid wsp:val=&quot;005E72E0&quot;/&gt;&lt;wsp:rsid wsp:val=&quot;005E73F5&quot;/&gt;&lt;wsp:rsid wsp:val=&quot;005E7868&quot;/&gt;&lt;wsp:rsid wsp:val=&quot;005E7D63&quot;/&gt;&lt;wsp:rsid wsp:val=&quot;005E7E27&quot;/&gt;&lt;wsp:rsid wsp:val=&quot;005F01FE&quot;/&gt;&lt;wsp:rsid wsp:val=&quot;005F020C&quot;/&gt;&lt;wsp:rsid wsp:val=&quot;005F0383&quot;/&gt;&lt;wsp:rsid wsp:val=&quot;005F067D&quot;/&gt;&lt;wsp:rsid wsp:val=&quot;005F09F7&quot;/&gt;&lt;wsp:rsid wsp:val=&quot;005F0DF6&quot;/&gt;&lt;wsp:rsid wsp:val=&quot;005F1104&quot;/&gt;&lt;wsp:rsid wsp:val=&quot;005F11AB&quot;/&gt;&lt;wsp:rsid wsp:val=&quot;005F15AE&quot;/&gt;&lt;wsp:rsid wsp:val=&quot;005F1736&quot;/&gt;&lt;wsp:rsid wsp:val=&quot;005F1910&quot;/&gt;&lt;wsp:rsid wsp:val=&quot;005F1F37&quot;/&gt;&lt;wsp:rsid wsp:val=&quot;005F1F68&quot;/&gt;&lt;wsp:rsid wsp:val=&quot;005F20E0&quot;/&gt;&lt;wsp:rsid wsp:val=&quot;005F2304&quot;/&gt;&lt;wsp:rsid wsp:val=&quot;005F231B&quot;/&gt;&lt;wsp:rsid wsp:val=&quot;005F265B&quot;/&gt;&lt;wsp:rsid wsp:val=&quot;005F2D31&quot;/&gt;&lt;wsp:rsid wsp:val=&quot;005F3400&quot;/&gt;&lt;wsp:rsid wsp:val=&quot;005F3652&quot;/&gt;&lt;wsp:rsid wsp:val=&quot;005F42C8&quot;/&gt;&lt;wsp:rsid wsp:val=&quot;005F4710&quot;/&gt;&lt;wsp:rsid wsp:val=&quot;005F4E56&quot;/&gt;&lt;wsp:rsid wsp:val=&quot;005F4E74&quot;/&gt;&lt;wsp:rsid wsp:val=&quot;005F51D4&quot;/&gt;&lt;wsp:rsid wsp:val=&quot;005F52C7&quot;/&gt;&lt;wsp:rsid wsp:val=&quot;005F5A01&quot;/&gt;&lt;wsp:rsid wsp:val=&quot;005F5F0C&quot;/&gt;&lt;wsp:rsid wsp:val=&quot;005F668D&quot;/&gt;&lt;wsp:rsid wsp:val=&quot;005F6A71&quot;/&gt;&lt;wsp:rsid wsp:val=&quot;005F6B32&quot;/&gt;&lt;wsp:rsid wsp:val=&quot;005F7933&quot;/&gt;&lt;wsp:rsid wsp:val=&quot;005F7B16&quot;/&gt;&lt;wsp:rsid wsp:val=&quot;005F7BFF&quot;/&gt;&lt;wsp:rsid wsp:val=&quot;005F7D09&quot;/&gt;&lt;wsp:rsid wsp:val=&quot;00600087&quot;/&gt;&lt;wsp:rsid wsp:val=&quot;00600229&quot;/&gt;&lt;wsp:rsid wsp:val=&quot;006009CD&quot;/&gt;&lt;wsp:rsid wsp:val=&quot;00600B04&quot;/&gt;&lt;wsp:rsid wsp:val=&quot;00601145&quot;/&gt;&lt;wsp:rsid wsp:val=&quot;006011D7&quot;/&gt;&lt;wsp:rsid wsp:val=&quot;00601919&quot;/&gt;&lt;wsp:rsid wsp:val=&quot;00601D1D&quot;/&gt;&lt;wsp:rsid wsp:val=&quot;006025E3&quot;/&gt;&lt;wsp:rsid wsp:val=&quot;00602A95&quot;/&gt;&lt;wsp:rsid wsp:val=&quot;00602B39&quot;/&gt;&lt;wsp:rsid wsp:val=&quot;0060349E&quot;/&gt;&lt;wsp:rsid wsp:val=&quot;00603D7E&quot;/&gt;&lt;wsp:rsid wsp:val=&quot;00603EB0&quot;/&gt;&lt;wsp:rsid wsp:val=&quot;00603EE7&quot;/&gt;&lt;wsp:rsid wsp:val=&quot;0060479B&quot;/&gt;&lt;wsp:rsid wsp:val=&quot;00604ADB&quot;/&gt;&lt;wsp:rsid wsp:val=&quot;00604B04&quot;/&gt;&lt;wsp:rsid wsp:val=&quot;00605000&quot;/&gt;&lt;wsp:rsid wsp:val=&quot;006055A1&quot;/&gt;&lt;wsp:rsid wsp:val=&quot;006059DB&quot;/&gt;&lt;wsp:rsid wsp:val=&quot;00605BE4&quot;/&gt;&lt;wsp:rsid wsp:val=&quot;00606831&quot;/&gt;&lt;wsp:rsid wsp:val=&quot;00606DE1&quot;/&gt;&lt;wsp:rsid wsp:val=&quot;00607380&quot;/&gt;&lt;wsp:rsid wsp:val=&quot;00607CB7&quot;/&gt;&lt;wsp:rsid wsp:val=&quot;006102DC&quot;/&gt;&lt;wsp:rsid wsp:val=&quot;00610EAA&quot;/&gt;&lt;wsp:rsid wsp:val=&quot;00611538&quot;/&gt;&lt;wsp:rsid wsp:val=&quot;00611FAA&quot;/&gt;&lt;wsp:rsid wsp:val=&quot;00612141&quot;/&gt;&lt;wsp:rsid wsp:val=&quot;0061288D&quot;/&gt;&lt;wsp:rsid wsp:val=&quot;00613661&quot;/&gt;&lt;wsp:rsid wsp:val=&quot;00613796&quot;/&gt;&lt;wsp:rsid wsp:val=&quot;0061439A&quot;/&gt;&lt;wsp:rsid wsp:val=&quot;006146FA&quot;/&gt;&lt;wsp:rsid wsp:val=&quot;006149B6&quot;/&gt;&lt;wsp:rsid wsp:val=&quot;00614BA3&quot;/&gt;&lt;wsp:rsid wsp:val=&quot;00614FC5&quot;/&gt;&lt;wsp:rsid wsp:val=&quot;006150F3&quot;/&gt;&lt;wsp:rsid wsp:val=&quot;00615175&quot;/&gt;&lt;wsp:rsid wsp:val=&quot;006151D6&quot;/&gt;&lt;wsp:rsid wsp:val=&quot;006157C2&quot;/&gt;&lt;wsp:rsid wsp:val=&quot;00615A16&quot;/&gt;&lt;wsp:rsid wsp:val=&quot;00615E8A&quot;/&gt;&lt;wsp:rsid wsp:val=&quot;00616092&quot;/&gt;&lt;wsp:rsid wsp:val=&quot;0061619A&quot;/&gt;&lt;wsp:rsid wsp:val=&quot;006173D6&quot;/&gt;&lt;wsp:rsid wsp:val=&quot;0061741D&quot;/&gt;&lt;wsp:rsid wsp:val=&quot;006175A1&quot;/&gt;&lt;wsp:rsid wsp:val=&quot;00617908&quot;/&gt;&lt;wsp:rsid wsp:val=&quot;00617B03&quot;/&gt;&lt;wsp:rsid wsp:val=&quot;00617B7C&quot;/&gt;&lt;wsp:rsid wsp:val=&quot;00617D44&quot;/&gt;&lt;wsp:rsid wsp:val=&quot;006200EF&quot;/&gt;&lt;wsp:rsid wsp:val=&quot;00620606&quot;/&gt;&lt;wsp:rsid wsp:val=&quot;0062062C&quot;/&gt;&lt;wsp:rsid wsp:val=&quot;00620917&quot;/&gt;&lt;wsp:rsid wsp:val=&quot;00620AB0&quot;/&gt;&lt;wsp:rsid wsp:val=&quot;00620B6F&quot;/&gt;&lt;wsp:rsid wsp:val=&quot;006212B6&quot;/&gt;&lt;wsp:rsid wsp:val=&quot;00621565&quot;/&gt;&lt;wsp:rsid wsp:val=&quot;006217C2&quot;/&gt;&lt;wsp:rsid wsp:val=&quot;00622851&quot;/&gt;&lt;wsp:rsid wsp:val=&quot;0062289D&quot;/&gt;&lt;wsp:rsid wsp:val=&quot;00622C0C&quot;/&gt;&lt;wsp:rsid wsp:val=&quot;00623A86&quot;/&gt;&lt;wsp:rsid wsp:val=&quot;00623CF5&quot;/&gt;&lt;wsp:rsid wsp:val=&quot;00624D0B&quot;/&gt;&lt;wsp:rsid wsp:val=&quot;00624D5F&quot;/&gt;&lt;wsp:rsid wsp:val=&quot;006250CC&quot;/&gt;&lt;wsp:rsid wsp:val=&quot;00625722&quot;/&gt;&lt;wsp:rsid wsp:val=&quot;00626463&quot;/&gt;&lt;wsp:rsid wsp:val=&quot;006267CF&quot;/&gt;&lt;wsp:rsid wsp:val=&quot;0062734F&quot;/&gt;&lt;wsp:rsid wsp:val=&quot;006302C5&quot;/&gt;&lt;wsp:rsid wsp:val=&quot;00630CB0&quot;/&gt;&lt;wsp:rsid wsp:val=&quot;00630DA6&quot;/&gt;&lt;wsp:rsid wsp:val=&quot;00630DEA&quot;/&gt;&lt;wsp:rsid wsp:val=&quot;00631867&quot;/&gt;&lt;wsp:rsid wsp:val=&quot;00631B81&quot;/&gt;&lt;wsp:rsid wsp:val=&quot;00632576&quot;/&gt;&lt;wsp:rsid wsp:val=&quot;006326D5&quot;/&gt;&lt;wsp:rsid wsp:val=&quot;0063295E&quot;/&gt;&lt;wsp:rsid wsp:val=&quot;00632B53&quot;/&gt;&lt;wsp:rsid wsp:val=&quot;00632C72&quot;/&gt;&lt;wsp:rsid wsp:val=&quot;006333D8&quot;/&gt;&lt;wsp:rsid wsp:val=&quot;00633F0F&quot;/&gt;&lt;wsp:rsid wsp:val=&quot;00634088&quot;/&gt;&lt;wsp:rsid wsp:val=&quot;006343F2&quot;/&gt;&lt;wsp:rsid wsp:val=&quot;00634BA2&quot;/&gt;&lt;wsp:rsid wsp:val=&quot;00634E02&quot;/&gt;&lt;wsp:rsid wsp:val=&quot;0063642D&quot;/&gt;&lt;wsp:rsid wsp:val=&quot;00636EB6&quot;/&gt;&lt;wsp:rsid wsp:val=&quot;00637132&quot;/&gt;&lt;wsp:rsid wsp:val=&quot;00637493&quot;/&gt;&lt;wsp:rsid wsp:val=&quot;006378BB&quot;/&gt;&lt;wsp:rsid wsp:val=&quot;00637A60&quot;/&gt;&lt;wsp:rsid wsp:val=&quot;00640322&quot;/&gt;&lt;wsp:rsid wsp:val=&quot;006404D2&quot;/&gt;&lt;wsp:rsid wsp:val=&quot;006406B3&quot;/&gt;&lt;wsp:rsid wsp:val=&quot;006408CD&quot;/&gt;&lt;wsp:rsid wsp:val=&quot;00640B93&quot;/&gt;&lt;wsp:rsid wsp:val=&quot;00640C1A&quot;/&gt;&lt;wsp:rsid wsp:val=&quot;00641639&quot;/&gt;&lt;wsp:rsid wsp:val=&quot;0064175E&quot;/&gt;&lt;wsp:rsid wsp:val=&quot;0064186C&quot;/&gt;&lt;wsp:rsid wsp:val=&quot;00641BF4&quot;/&gt;&lt;wsp:rsid wsp:val=&quot;006422BF&quot;/&gt;&lt;wsp:rsid wsp:val=&quot;006431EC&quot;/&gt;&lt;wsp:rsid wsp:val=&quot;00643740&quot;/&gt;&lt;wsp:rsid wsp:val=&quot;0064386A&quot;/&gt;&lt;wsp:rsid wsp:val=&quot;00644313&quot;/&gt;&lt;wsp:rsid wsp:val=&quot;00645EAA&quot;/&gt;&lt;wsp:rsid wsp:val=&quot;00646E0A&quot;/&gt;&lt;wsp:rsid wsp:val=&quot;0064721A&quot;/&gt;&lt;wsp:rsid wsp:val=&quot;0064722C&quot;/&gt;&lt;wsp:rsid wsp:val=&quot;006475EB&quot;/&gt;&lt;wsp:rsid wsp:val=&quot;0064774E&quot;/&gt;&lt;wsp:rsid wsp:val=&quot;0064780E&quot;/&gt;&lt;wsp:rsid wsp:val=&quot;0064787A&quot;/&gt;&lt;wsp:rsid wsp:val=&quot;00650C04&quot;/&gt;&lt;wsp:rsid wsp:val=&quot;0065117A&quot;/&gt;&lt;wsp:rsid wsp:val=&quot;006515DC&quot;/&gt;&lt;wsp:rsid wsp:val=&quot;00651C99&quot;/&gt;&lt;wsp:rsid wsp:val=&quot;00652220&quot;/&gt;&lt;wsp:rsid wsp:val=&quot;00652972&quot;/&gt;&lt;wsp:rsid wsp:val=&quot;006530BD&quot;/&gt;&lt;wsp:rsid wsp:val=&quot;006530F9&quot;/&gt;&lt;wsp:rsid wsp:val=&quot;006533F2&quot;/&gt;&lt;wsp:rsid wsp:val=&quot;00653400&quot;/&gt;&lt;wsp:rsid wsp:val=&quot;00653E33&quot;/&gt;&lt;wsp:rsid wsp:val=&quot;006540F9&quot;/&gt;&lt;wsp:rsid wsp:val=&quot;006544F4&quot;/&gt;&lt;wsp:rsid wsp:val=&quot;00654DC7&quot;/&gt;&lt;wsp:rsid wsp:val=&quot;00656F11&quot;/&gt;&lt;wsp:rsid wsp:val=&quot;0065749A&quot;/&gt;&lt;wsp:rsid wsp:val=&quot;00657984&quot;/&gt;&lt;wsp:rsid wsp:val=&quot;00657CE8&quot;/&gt;&lt;wsp:rsid wsp:val=&quot;00657E71&quot;/&gt;&lt;wsp:rsid wsp:val=&quot;00660091&quot;/&gt;&lt;wsp:rsid wsp:val=&quot;00660217&quot;/&gt;&lt;wsp:rsid wsp:val=&quot;00660508&quot;/&gt;&lt;wsp:rsid wsp:val=&quot;00660636&quot;/&gt;&lt;wsp:rsid wsp:val=&quot;006607C3&quot;/&gt;&lt;wsp:rsid wsp:val=&quot;00660B7F&quot;/&gt;&lt;wsp:rsid wsp:val=&quot;006614A2&quot;/&gt;&lt;wsp:rsid wsp:val=&quot;0066157A&quot;/&gt;&lt;wsp:rsid wsp:val=&quot;0066190A&quot;/&gt;&lt;wsp:rsid wsp:val=&quot;00661B4B&quot;/&gt;&lt;wsp:rsid wsp:val=&quot;00661BBA&quot;/&gt;&lt;wsp:rsid wsp:val=&quot;00661BEF&quot;/&gt;&lt;wsp:rsid wsp:val=&quot;00662079&quot;/&gt;&lt;wsp:rsid wsp:val=&quot;006625C1&quot;/&gt;&lt;wsp:rsid wsp:val=&quot;00662DFF&quot;/&gt;&lt;wsp:rsid wsp:val=&quot;00662F3C&quot;/&gt;&lt;wsp:rsid wsp:val=&quot;006631F8&quot;/&gt;&lt;wsp:rsid wsp:val=&quot;0066326E&quot;/&gt;&lt;wsp:rsid wsp:val=&quot;0066328C&quot;/&gt;&lt;wsp:rsid wsp:val=&quot;006632E8&quot;/&gt;&lt;wsp:rsid wsp:val=&quot;0066407B&quot;/&gt;&lt;wsp:rsid wsp:val=&quot;00664641&quot;/&gt;&lt;wsp:rsid wsp:val=&quot;006652B8&quot;/&gt;&lt;wsp:rsid wsp:val=&quot;00665A3D&quot;/&gt;&lt;wsp:rsid wsp:val=&quot;006662C3&quot;/&gt;&lt;wsp:rsid wsp:val=&quot;0066662C&quot;/&gt;&lt;wsp:rsid wsp:val=&quot;00666A2F&quot;/&gt;&lt;wsp:rsid wsp:val=&quot;00666DC4&quot;/&gt;&lt;wsp:rsid wsp:val=&quot;00666DD5&quot;/&gt;&lt;wsp:rsid wsp:val=&quot;0066738C&quot;/&gt;&lt;wsp:rsid wsp:val=&quot;00667443&quot;/&gt;&lt;wsp:rsid wsp:val=&quot;00667490&quot;/&gt;&lt;wsp:rsid wsp:val=&quot;00667692&quot;/&gt;&lt;wsp:rsid wsp:val=&quot;00667A98&quot;/&gt;&lt;wsp:rsid wsp:val=&quot;00667AA8&quot;/&gt;&lt;wsp:rsid wsp:val=&quot;00667C83&quot;/&gt;&lt;wsp:rsid wsp:val=&quot;00670134&quot;/&gt;&lt;wsp:rsid wsp:val=&quot;00670999&quot;/&gt;&lt;wsp:rsid wsp:val=&quot;00670C2D&quot;/&gt;&lt;wsp:rsid wsp:val=&quot;0067142B&quot;/&gt;&lt;wsp:rsid wsp:val=&quot;00671658&quot;/&gt;&lt;wsp:rsid wsp:val=&quot;006716F5&quot;/&gt;&lt;wsp:rsid wsp:val=&quot;006719C1&quot;/&gt;&lt;wsp:rsid wsp:val=&quot;00672255&quot;/&gt;&lt;wsp:rsid wsp:val=&quot;006722ED&quot;/&gt;&lt;wsp:rsid wsp:val=&quot;0067251D&quot;/&gt;&lt;wsp:rsid wsp:val=&quot;006729A8&quot;/&gt;&lt;wsp:rsid wsp:val=&quot;006737B8&quot;/&gt;&lt;wsp:rsid wsp:val=&quot;00673951&quot;/&gt;&lt;wsp:rsid wsp:val=&quot;00673AA9&quot;/&gt;&lt;wsp:rsid wsp:val=&quot;00673F06&quot;/&gt;&lt;wsp:rsid wsp:val=&quot;006740C2&quot;/&gt;&lt;wsp:rsid wsp:val=&quot;006741E3&quot;/&gt;&lt;wsp:rsid wsp:val=&quot;006745E3&quot;/&gt;&lt;wsp:rsid wsp:val=&quot;0067592E&quot;/&gt;&lt;wsp:rsid wsp:val=&quot;00675CCF&quot;/&gt;&lt;wsp:rsid wsp:val=&quot;00676835&quot;/&gt;&lt;wsp:rsid wsp:val=&quot;00677279&quot;/&gt;&lt;wsp:rsid wsp:val=&quot;00677834&quot;/&gt;&lt;wsp:rsid wsp:val=&quot;00677E93&quot;/&gt;&lt;wsp:rsid wsp:val=&quot;00680116&quot;/&gt;&lt;wsp:rsid wsp:val=&quot;006802BC&quot;/&gt;&lt;wsp:rsid wsp:val=&quot;00680528&quot;/&gt;&lt;wsp:rsid wsp:val=&quot;00680982&quot;/&gt;&lt;wsp:rsid wsp:val=&quot;00680E83&quot;/&gt;&lt;wsp:rsid wsp:val=&quot;0068112F&quot;/&gt;&lt;wsp:rsid wsp:val=&quot;0068224F&quot;/&gt;&lt;wsp:rsid wsp:val=&quot;00682393&quot;/&gt;&lt;wsp:rsid wsp:val=&quot;006826C0&quot;/&gt;&lt;wsp:rsid wsp:val=&quot;00682BCD&quot;/&gt;&lt;wsp:rsid wsp:val=&quot;00682C9F&quot;/&gt;&lt;wsp:rsid wsp:val=&quot;00683079&quot;/&gt;&lt;wsp:rsid wsp:val=&quot;00683A2E&quot;/&gt;&lt;wsp:rsid wsp:val=&quot;00683AEA&quot;/&gt;&lt;wsp:rsid wsp:val=&quot;00683D2D&quot;/&gt;&lt;wsp:rsid wsp:val=&quot;00684A5E&quot;/&gt;&lt;wsp:rsid wsp:val=&quot;00685C8E&quot;/&gt;&lt;wsp:rsid wsp:val=&quot;006862D4&quot;/&gt;&lt;wsp:rsid wsp:val=&quot;006864BE&quot;/&gt;&lt;wsp:rsid wsp:val=&quot;00686B4D&quot;/&gt;&lt;wsp:rsid wsp:val=&quot;00686E29&quot;/&gt;&lt;wsp:rsid wsp:val=&quot;0068737C&quot;/&gt;&lt;wsp:rsid wsp:val=&quot;00687528&quot;/&gt;&lt;wsp:rsid wsp:val=&quot;00687BFE&quot;/&gt;&lt;wsp:rsid wsp:val=&quot;006902D5&quot;/&gt;&lt;wsp:rsid wsp:val=&quot;0069039E&quot;/&gt;&lt;wsp:rsid wsp:val=&quot;0069112D&quot;/&gt;&lt;wsp:rsid wsp:val=&quot;006916B2&quot;/&gt;&lt;wsp:rsid wsp:val=&quot;00691BE1&quot;/&gt;&lt;wsp:rsid wsp:val=&quot;006920D6&quot;/&gt;&lt;wsp:rsid wsp:val=&quot;00692909&quot;/&gt;&lt;wsp:rsid wsp:val=&quot;00692AC5&quot;/&gt;&lt;wsp:rsid wsp:val=&quot;00692EDD&quot;/&gt;&lt;wsp:rsid wsp:val=&quot;0069315E&quot;/&gt;&lt;wsp:rsid wsp:val=&quot;00693983&quot;/&gt;&lt;wsp:rsid wsp:val=&quot;0069403D&quot;/&gt;&lt;wsp:rsid wsp:val=&quot;006941BF&quot;/&gt;&lt;wsp:rsid wsp:val=&quot;006949B2&quot;/&gt;&lt;wsp:rsid wsp:val=&quot;00694E88&quot;/&gt;&lt;wsp:rsid wsp:val=&quot;00694FE9&quot;/&gt;&lt;wsp:rsid wsp:val=&quot;00695259&quot;/&gt;&lt;wsp:rsid wsp:val=&quot;00695DB3&quot;/&gt;&lt;wsp:rsid wsp:val=&quot;0069612C&quot;/&gt;&lt;wsp:rsid wsp:val=&quot;006966A1&quot;/&gt;&lt;wsp:rsid wsp:val=&quot;006969FB&quot;/&gt;&lt;wsp:rsid wsp:val=&quot;00696EF7&quot;/&gt;&lt;wsp:rsid wsp:val=&quot;00697061&quot;/&gt;&lt;wsp:rsid wsp:val=&quot;00697075&quot;/&gt;&lt;wsp:rsid wsp:val=&quot;00697347&quot;/&gt;&lt;wsp:rsid wsp:val=&quot;006973AD&quot;/&gt;&lt;wsp:rsid wsp:val=&quot;006976BE&quot;/&gt;&lt;wsp:rsid wsp:val=&quot;0069787F&quot;/&gt;&lt;wsp:rsid wsp:val=&quot;00697D22&quot;/&gt;&lt;wsp:rsid wsp:val=&quot;006A00A1&quot;/&gt;&lt;wsp:rsid wsp:val=&quot;006A00B0&quot;/&gt;&lt;wsp:rsid wsp:val=&quot;006A06BC&quot;/&gt;&lt;wsp:rsid wsp:val=&quot;006A083D&quot;/&gt;&lt;wsp:rsid wsp:val=&quot;006A097D&quot;/&gt;&lt;wsp:rsid wsp:val=&quot;006A2249&quot;/&gt;&lt;wsp:rsid wsp:val=&quot;006A22D0&quot;/&gt;&lt;wsp:rsid wsp:val=&quot;006A262F&quot;/&gt;&lt;wsp:rsid wsp:val=&quot;006A263D&quot;/&gt;&lt;wsp:rsid wsp:val=&quot;006A2C93&quot;/&gt;&lt;wsp:rsid wsp:val=&quot;006A3046&quot;/&gt;&lt;wsp:rsid wsp:val=&quot;006A33B6&quot;/&gt;&lt;wsp:rsid wsp:val=&quot;006A3413&quot;/&gt;&lt;wsp:rsid wsp:val=&quot;006A3891&quot;/&gt;&lt;wsp:rsid wsp:val=&quot;006A389D&quot;/&gt;&lt;wsp:rsid wsp:val=&quot;006A3BDC&quot;/&gt;&lt;wsp:rsid wsp:val=&quot;006A3BF7&quot;/&gt;&lt;wsp:rsid wsp:val=&quot;006A3DA4&quot;/&gt;&lt;wsp:rsid wsp:val=&quot;006A496D&quot;/&gt;&lt;wsp:rsid wsp:val=&quot;006A4AE2&quot;/&gt;&lt;wsp:rsid wsp:val=&quot;006A4DC5&quot;/&gt;&lt;wsp:rsid wsp:val=&quot;006A5166&quot;/&gt;&lt;wsp:rsid wsp:val=&quot;006A51B2&quot;/&gt;&lt;wsp:rsid wsp:val=&quot;006A58F8&quot;/&gt;&lt;wsp:rsid wsp:val=&quot;006A59EA&quot;/&gt;&lt;wsp:rsid wsp:val=&quot;006A678C&quot;/&gt;&lt;wsp:rsid wsp:val=&quot;006A6953&quot;/&gt;&lt;wsp:rsid wsp:val=&quot;006A6CB1&quot;/&gt;&lt;wsp:rsid wsp:val=&quot;006A7008&quot;/&gt;&lt;wsp:rsid wsp:val=&quot;006A744B&quot;/&gt;&lt;wsp:rsid wsp:val=&quot;006A74ED&quot;/&gt;&lt;wsp:rsid wsp:val=&quot;006B068B&quot;/&gt;&lt;wsp:rsid wsp:val=&quot;006B0D01&quot;/&gt;&lt;wsp:rsid wsp:val=&quot;006B1933&quot;/&gt;&lt;wsp:rsid wsp:val=&quot;006B2361&quot;/&gt;&lt;wsp:rsid wsp:val=&quot;006B2BE9&quot;/&gt;&lt;wsp:rsid wsp:val=&quot;006B3013&quot;/&gt;&lt;wsp:rsid wsp:val=&quot;006B325B&quot;/&gt;&lt;wsp:rsid wsp:val=&quot;006B32DC&quot;/&gt;&lt;wsp:rsid wsp:val=&quot;006B3AA9&quot;/&gt;&lt;wsp:rsid wsp:val=&quot;006B3F5D&quot;/&gt;&lt;wsp:rsid wsp:val=&quot;006B42A1&quot;/&gt;&lt;wsp:rsid wsp:val=&quot;006B453F&quot;/&gt;&lt;wsp:rsid wsp:val=&quot;006B4EE6&quot;/&gt;&lt;wsp:rsid wsp:val=&quot;006B52B7&quot;/&gt;&lt;wsp:rsid wsp:val=&quot;006B5387&quot;/&gt;&lt;wsp:rsid wsp:val=&quot;006B540A&quot;/&gt;&lt;wsp:rsid wsp:val=&quot;006B581E&quot;/&gt;&lt;wsp:rsid wsp:val=&quot;006B5EC0&quot;/&gt;&lt;wsp:rsid wsp:val=&quot;006B6F54&quot;/&gt;&lt;wsp:rsid wsp:val=&quot;006B718E&quot;/&gt;&lt;wsp:rsid wsp:val=&quot;006B78F2&quot;/&gt;&lt;wsp:rsid wsp:val=&quot;006B7B84&quot;/&gt;&lt;wsp:rsid wsp:val=&quot;006B7C08&quot;/&gt;&lt;wsp:rsid wsp:val=&quot;006C013E&quot;/&gt;&lt;wsp:rsid wsp:val=&quot;006C0A88&quot;/&gt;&lt;wsp:rsid wsp:val=&quot;006C1619&quot;/&gt;&lt;wsp:rsid wsp:val=&quot;006C201F&quot;/&gt;&lt;wsp:rsid wsp:val=&quot;006C2250&quot;/&gt;&lt;wsp:rsid wsp:val=&quot;006C259A&quot;/&gt;&lt;wsp:rsid wsp:val=&quot;006C25F1&quot;/&gt;&lt;wsp:rsid wsp:val=&quot;006C2CC4&quot;/&gt;&lt;wsp:rsid wsp:val=&quot;006C2F32&quot;/&gt;&lt;wsp:rsid wsp:val=&quot;006C31E1&quot;/&gt;&lt;wsp:rsid wsp:val=&quot;006C34F9&quot;/&gt;&lt;wsp:rsid wsp:val=&quot;006C3742&quot;/&gt;&lt;wsp:rsid wsp:val=&quot;006C38F6&quot;/&gt;&lt;wsp:rsid wsp:val=&quot;006C3F24&quot;/&gt;&lt;wsp:rsid wsp:val=&quot;006C44D2&quot;/&gt;&lt;wsp:rsid wsp:val=&quot;006C4616&quot;/&gt;&lt;wsp:rsid wsp:val=&quot;006C4AB4&quot;/&gt;&lt;wsp:rsid wsp:val=&quot;006C4C47&quot;/&gt;&lt;wsp:rsid wsp:val=&quot;006C4E06&quot;/&gt;&lt;wsp:rsid wsp:val=&quot;006C4F31&quot;/&gt;&lt;wsp:rsid wsp:val=&quot;006C4F43&quot;/&gt;&lt;wsp:rsid wsp:val=&quot;006C501F&quot;/&gt;&lt;wsp:rsid wsp:val=&quot;006C52FC&quot;/&gt;&lt;wsp:rsid wsp:val=&quot;006C5354&quot;/&gt;&lt;wsp:rsid wsp:val=&quot;006C5868&quot;/&gt;&lt;wsp:rsid wsp:val=&quot;006C5D14&quot;/&gt;&lt;wsp:rsid wsp:val=&quot;006C5FB5&quot;/&gt;&lt;wsp:rsid wsp:val=&quot;006C60E5&quot;/&gt;&lt;wsp:rsid wsp:val=&quot;006C669F&quot;/&gt;&lt;wsp:rsid wsp:val=&quot;006C7180&quot;/&gt;&lt;wsp:rsid wsp:val=&quot;006C7ABB&quot;/&gt;&lt;wsp:rsid wsp:val=&quot;006C7F30&quot;/&gt;&lt;wsp:rsid wsp:val=&quot;006D0D36&quot;/&gt;&lt;wsp:rsid wsp:val=&quot;006D190D&quot;/&gt;&lt;wsp:rsid wsp:val=&quot;006D1A8F&quot;/&gt;&lt;wsp:rsid wsp:val=&quot;006D1ECF&quot;/&gt;&lt;wsp:rsid wsp:val=&quot;006D2C7C&quot;/&gt;&lt;wsp:rsid wsp:val=&quot;006D3546&quot;/&gt;&lt;wsp:rsid wsp:val=&quot;006D3F87&quot;/&gt;&lt;wsp:rsid wsp:val=&quot;006D54B0&quot;/&gt;&lt;wsp:rsid wsp:val=&quot;006D5509&quot;/&gt;&lt;wsp:rsid wsp:val=&quot;006D5C47&quot;/&gt;&lt;wsp:rsid wsp:val=&quot;006D5C7F&quot;/&gt;&lt;wsp:rsid wsp:val=&quot;006D5DDA&quot;/&gt;&lt;wsp:rsid wsp:val=&quot;006D5E6F&quot;/&gt;&lt;wsp:rsid wsp:val=&quot;006D6081&quot;/&gt;&lt;wsp:rsid wsp:val=&quot;006D61CE&quot;/&gt;&lt;wsp:rsid wsp:val=&quot;006D7870&quot;/&gt;&lt;wsp:rsid wsp:val=&quot;006D7921&quot;/&gt;&lt;wsp:rsid wsp:val=&quot;006D7BFA&quot;/&gt;&lt;wsp:rsid wsp:val=&quot;006D7E42&quot;/&gt;&lt;wsp:rsid wsp:val=&quot;006D7EB3&quot;/&gt;&lt;wsp:rsid wsp:val=&quot;006E019A&quot;/&gt;&lt;wsp:rsid wsp:val=&quot;006E048C&quot;/&gt;&lt;wsp:rsid wsp:val=&quot;006E0D2C&quot;/&gt;&lt;wsp:rsid wsp:val=&quot;006E0EE8&quot;/&gt;&lt;wsp:rsid wsp:val=&quot;006E11B3&quot;/&gt;&lt;wsp:rsid wsp:val=&quot;006E1D9C&quot;/&gt;&lt;wsp:rsid wsp:val=&quot;006E1E4C&quot;/&gt;&lt;wsp:rsid wsp:val=&quot;006E2515&quot;/&gt;&lt;wsp:rsid wsp:val=&quot;006E2D0A&quot;/&gt;&lt;wsp:rsid wsp:val=&quot;006E37D7&quot;/&gt;&lt;wsp:rsid wsp:val=&quot;006E398D&quot;/&gt;&lt;wsp:rsid wsp:val=&quot;006E3A30&quot;/&gt;&lt;wsp:rsid wsp:val=&quot;006E3B04&quot;/&gt;&lt;wsp:rsid wsp:val=&quot;006E3BE0&quot;/&gt;&lt;wsp:rsid wsp:val=&quot;006E3D79&quot;/&gt;&lt;wsp:rsid wsp:val=&quot;006E4DD4&quot;/&gt;&lt;wsp:rsid wsp:val=&quot;006E51DF&quot;/&gt;&lt;wsp:rsid wsp:val=&quot;006E539E&quot;/&gt;&lt;wsp:rsid wsp:val=&quot;006E563B&quot;/&gt;&lt;wsp:rsid wsp:val=&quot;006E56A5&quot;/&gt;&lt;wsp:rsid wsp:val=&quot;006E5861&quot;/&gt;&lt;wsp:rsid wsp:val=&quot;006E60F5&quot;/&gt;&lt;wsp:rsid wsp:val=&quot;006E6347&quot;/&gt;&lt;wsp:rsid wsp:val=&quot;006E6453&quot;/&gt;&lt;wsp:rsid wsp:val=&quot;006E65C7&quot;/&gt;&lt;wsp:rsid wsp:val=&quot;006E6628&quot;/&gt;&lt;wsp:rsid wsp:val=&quot;006E67C2&quot;/&gt;&lt;wsp:rsid wsp:val=&quot;006E69C1&quot;/&gt;&lt;wsp:rsid wsp:val=&quot;006E716C&quot;/&gt;&lt;wsp:rsid wsp:val=&quot;006E75AB&quot;/&gt;&lt;wsp:rsid wsp:val=&quot;006E7838&quot;/&gt;&lt;wsp:rsid wsp:val=&quot;006E7B96&quot;/&gt;&lt;wsp:rsid wsp:val=&quot;006F02C7&quot;/&gt;&lt;wsp:rsid wsp:val=&quot;006F047D&quot;/&gt;&lt;wsp:rsid wsp:val=&quot;006F0A5D&quot;/&gt;&lt;wsp:rsid wsp:val=&quot;006F11AA&quot;/&gt;&lt;wsp:rsid wsp:val=&quot;006F1350&quot;/&gt;&lt;wsp:rsid wsp:val=&quot;006F14A7&quot;/&gt;&lt;wsp:rsid wsp:val=&quot;006F1592&quot;/&gt;&lt;wsp:rsid wsp:val=&quot;006F165C&quot;/&gt;&lt;wsp:rsid wsp:val=&quot;006F1830&quot;/&gt;&lt;wsp:rsid wsp:val=&quot;006F1D0E&quot;/&gt;&lt;wsp:rsid wsp:val=&quot;006F1EE7&quot;/&gt;&lt;wsp:rsid wsp:val=&quot;006F24E7&quot;/&gt;&lt;wsp:rsid wsp:val=&quot;006F2BB7&quot;/&gt;&lt;wsp:rsid wsp:val=&quot;006F2C67&quot;/&gt;&lt;wsp:rsid wsp:val=&quot;006F3122&quot;/&gt;&lt;wsp:rsid wsp:val=&quot;006F3128&quot;/&gt;&lt;wsp:rsid wsp:val=&quot;006F3255&quot;/&gt;&lt;wsp:rsid wsp:val=&quot;006F4B5B&quot;/&gt;&lt;wsp:rsid wsp:val=&quot;006F4D5B&quot;/&gt;&lt;wsp:rsid wsp:val=&quot;006F4EB6&quot;/&gt;&lt;wsp:rsid wsp:val=&quot;006F5065&quot;/&gt;&lt;wsp:rsid wsp:val=&quot;006F5485&quot;/&gt;&lt;wsp:rsid wsp:val=&quot;006F5619&quot;/&gt;&lt;wsp:rsid wsp:val=&quot;006F5FAE&quot;/&gt;&lt;wsp:rsid wsp:val=&quot;006F5FFF&quot;/&gt;&lt;wsp:rsid wsp:val=&quot;006F6396&quot;/&gt;&lt;wsp:rsid wsp:val=&quot;006F6813&quot;/&gt;&lt;wsp:rsid wsp:val=&quot;006F6C0B&quot;/&gt;&lt;wsp:rsid wsp:val=&quot;006F6F54&quot;/&gt;&lt;wsp:rsid wsp:val=&quot;006F7048&quot;/&gt;&lt;wsp:rsid wsp:val=&quot;006F79D8&quot;/&gt;&lt;wsp:rsid wsp:val=&quot;006F7C83&quot;/&gt;&lt;wsp:rsid wsp:val=&quot;006F7EDE&quot;/&gt;&lt;wsp:rsid wsp:val=&quot;00700899&quot;/&gt;&lt;wsp:rsid wsp:val=&quot;00701614&quot;/&gt;&lt;wsp:rsid wsp:val=&quot;00701BA7&quot;/&gt;&lt;wsp:rsid wsp:val=&quot;00702082&quot;/&gt;&lt;wsp:rsid wsp:val=&quot;00702ACD&quot;/&gt;&lt;wsp:rsid wsp:val=&quot;00702ADE&quot;/&gt;&lt;wsp:rsid wsp:val=&quot;00702C22&quot;/&gt;&lt;wsp:rsid wsp:val=&quot;00703085&quot;/&gt;&lt;wsp:rsid wsp:val=&quot;007032D1&quot;/&gt;&lt;wsp:rsid wsp:val=&quot;00703904&quot;/&gt;&lt;wsp:rsid wsp:val=&quot;007042C2&quot;/&gt;&lt;wsp:rsid wsp:val=&quot;00704751&quot;/&gt;&lt;wsp:rsid wsp:val=&quot;00704978&quot;/&gt;&lt;wsp:rsid wsp:val=&quot;00704A66&quot;/&gt;&lt;wsp:rsid wsp:val=&quot;00704DB6&quot;/&gt;&lt;wsp:rsid wsp:val=&quot;00704FEE&quot;/&gt;&lt;wsp:rsid wsp:val=&quot;0070512A&quot;/&gt;&lt;wsp:rsid wsp:val=&quot;00705193&quot;/&gt;&lt;wsp:rsid wsp:val=&quot;007057CC&quot;/&gt;&lt;wsp:rsid wsp:val=&quot;007058BD&quot;/&gt;&lt;wsp:rsid wsp:val=&quot;00705B06&quot;/&gt;&lt;wsp:rsid wsp:val=&quot;00706277&quot;/&gt;&lt;wsp:rsid wsp:val=&quot;007065FE&quot;/&gt;&lt;wsp:rsid wsp:val=&quot;00706605&quot;/&gt;&lt;wsp:rsid wsp:val=&quot;00706905&quot;/&gt;&lt;wsp:rsid wsp:val=&quot;007079CE&quot;/&gt;&lt;wsp:rsid wsp:val=&quot;00707EA4&quot;/&gt;&lt;wsp:rsid wsp:val=&quot;00710349&quot;/&gt;&lt;wsp:rsid wsp:val=&quot;00710957&quot;/&gt;&lt;wsp:rsid wsp:val=&quot;00710A69&quot;/&gt;&lt;wsp:rsid wsp:val=&quot;00710D4D&quot;/&gt;&lt;wsp:rsid wsp:val=&quot;00711128&quot;/&gt;&lt;wsp:rsid wsp:val=&quot;0071122F&quot;/&gt;&lt;wsp:rsid wsp:val=&quot;007114F1&quot;/&gt;&lt;wsp:rsid wsp:val=&quot;0071168E&quot;/&gt;&lt;wsp:rsid wsp:val=&quot;007118FA&quot;/&gt;&lt;wsp:rsid wsp:val=&quot;00711BA3&quot;/&gt;&lt;wsp:rsid wsp:val=&quot;007120E1&quot;/&gt;&lt;wsp:rsid wsp:val=&quot;00712536&quot;/&gt;&lt;wsp:rsid wsp:val=&quot;0071255A&quot;/&gt;&lt;wsp:rsid wsp:val=&quot;007134FD&quot;/&gt;&lt;wsp:rsid wsp:val=&quot;00713C32&quot;/&gt;&lt;wsp:rsid wsp:val=&quot;00713F3C&quot;/&gt;&lt;wsp:rsid wsp:val=&quot;0071415C&quot;/&gt;&lt;wsp:rsid wsp:val=&quot;007148B8&quot;/&gt;&lt;wsp:rsid wsp:val=&quot;00714A19&quot;/&gt;&lt;wsp:rsid wsp:val=&quot;00714F50&quot;/&gt;&lt;wsp:rsid wsp:val=&quot;00715B6A&quot;/&gt;&lt;wsp:rsid wsp:val=&quot;00715D57&quot;/&gt;&lt;wsp:rsid wsp:val=&quot;007160AA&quot;/&gt;&lt;wsp:rsid wsp:val=&quot;00716130&quot;/&gt;&lt;wsp:rsid wsp:val=&quot;00716143&quot;/&gt;&lt;wsp:rsid wsp:val=&quot;0071617C&quot;/&gt;&lt;wsp:rsid wsp:val=&quot;007162D2&quot;/&gt;&lt;wsp:rsid wsp:val=&quot;007167C9&quot;/&gt;&lt;wsp:rsid wsp:val=&quot;00716A54&quot;/&gt;&lt;wsp:rsid wsp:val=&quot;00716AE6&quot;/&gt;&lt;wsp:rsid wsp:val=&quot;00716EFB&quot;/&gt;&lt;wsp:rsid wsp:val=&quot;00717835&quot;/&gt;&lt;wsp:rsid wsp:val=&quot;007178FB&quot;/&gt;&lt;wsp:rsid wsp:val=&quot;00717D3B&quot;/&gt;&lt;wsp:rsid wsp:val=&quot;00717DAA&quot;/&gt;&lt;wsp:rsid wsp:val=&quot;007201A6&quot;/&gt;&lt;wsp:rsid wsp:val=&quot;007203B7&quot;/&gt;&lt;wsp:rsid wsp:val=&quot;00720B84&quot;/&gt;&lt;wsp:rsid wsp:val=&quot;00720D2D&quot;/&gt;&lt;wsp:rsid wsp:val=&quot;00720F34&quot;/&gt;&lt;wsp:rsid wsp:val=&quot;007219C1&quot;/&gt;&lt;wsp:rsid wsp:val=&quot;00722757&quot;/&gt;&lt;wsp:rsid wsp:val=&quot;00722ADB&quot;/&gt;&lt;wsp:rsid wsp:val=&quot;00722C07&quot;/&gt;&lt;wsp:rsid wsp:val=&quot;0072345D&quot;/&gt;&lt;wsp:rsid wsp:val=&quot;0072391B&quot;/&gt;&lt;wsp:rsid wsp:val=&quot;00723E10&quot;/&gt;&lt;wsp:rsid wsp:val=&quot;00724006&quot;/&gt;&lt;wsp:rsid wsp:val=&quot;00724034&quot;/&gt;&lt;wsp:rsid wsp:val=&quot;00724233&quot;/&gt;&lt;wsp:rsid wsp:val=&quot;00724531&quot;/&gt;&lt;wsp:rsid wsp:val=&quot;00724BA4&quot;/&gt;&lt;wsp:rsid wsp:val=&quot;00724F24&quot;/&gt;&lt;wsp:rsid wsp:val=&quot;007254D1&quot;/&gt;&lt;wsp:rsid wsp:val=&quot;00725B2C&quot;/&gt;&lt;wsp:rsid wsp:val=&quot;0072629D&quot;/&gt;&lt;wsp:rsid wsp:val=&quot;0072650C&quot;/&gt;&lt;wsp:rsid wsp:val=&quot;007310E7&quot;/&gt;&lt;wsp:rsid wsp:val=&quot;007311CD&quot;/&gt;&lt;wsp:rsid wsp:val=&quot;00731404&quot;/&gt;&lt;wsp:rsid wsp:val=&quot;007318B0&quot;/&gt;&lt;wsp:rsid wsp:val=&quot;007322C4&quot;/&gt;&lt;wsp:rsid wsp:val=&quot;00732773&quot;/&gt;&lt;wsp:rsid wsp:val=&quot;0073282A&quot;/&gt;&lt;wsp:rsid wsp:val=&quot;00733989&quot;/&gt;&lt;wsp:rsid wsp:val=&quot;00733D15&quot;/&gt;&lt;wsp:rsid wsp:val=&quot;007342D0&quot;/&gt;&lt;wsp:rsid wsp:val=&quot;0073467E&quot;/&gt;&lt;wsp:rsid wsp:val=&quot;00734D96&quot;/&gt;&lt;wsp:rsid wsp:val=&quot;007352CF&quot;/&gt;&lt;wsp:rsid wsp:val=&quot;00735415&quot;/&gt;&lt;wsp:rsid wsp:val=&quot;007364AD&quot;/&gt;&lt;wsp:rsid wsp:val=&quot;0073714B&quot;/&gt;&lt;wsp:rsid wsp:val=&quot;00737753&quot;/&gt;&lt;wsp:rsid wsp:val=&quot;00737B48&quot;/&gt;&lt;wsp:rsid wsp:val=&quot;007405EC&quot;/&gt;&lt;wsp:rsid wsp:val=&quot;00740DF6&quot;/&gt;&lt;wsp:rsid wsp:val=&quot;00740F41&quot;/&gt;&lt;wsp:rsid wsp:val=&quot;007418B7&quot;/&gt;&lt;wsp:rsid wsp:val=&quot;00741A70&quot;/&gt;&lt;wsp:rsid wsp:val=&quot;00741CCC&quot;/&gt;&lt;wsp:rsid wsp:val=&quot;0074294A&quot;/&gt;&lt;wsp:rsid wsp:val=&quot;00742C51&quot;/&gt;&lt;wsp:rsid wsp:val=&quot;00742D41&quot;/&gt;&lt;wsp:rsid wsp:val=&quot;00742D4D&quot;/&gt;&lt;wsp:rsid wsp:val=&quot;0074301D&quot;/&gt;&lt;wsp:rsid wsp:val=&quot;00743230&quot;/&gt;&lt;wsp:rsid wsp:val=&quot;007432BC&quot;/&gt;&lt;wsp:rsid wsp:val=&quot;00743858&quot;/&gt;&lt;wsp:rsid wsp:val=&quot;007441C7&quot;/&gt;&lt;wsp:rsid wsp:val=&quot;007445F7&quot;/&gt;&lt;wsp:rsid wsp:val=&quot;00744901&quot;/&gt;&lt;wsp:rsid wsp:val=&quot;00745790&quot;/&gt;&lt;wsp:rsid wsp:val=&quot;00745AD6&quot;/&gt;&lt;wsp:rsid wsp:val=&quot;00745B68&quot;/&gt;&lt;wsp:rsid wsp:val=&quot;00745BC8&quot;/&gt;&lt;wsp:rsid wsp:val=&quot;00745ECD&quot;/&gt;&lt;wsp:rsid wsp:val=&quot;00746B1C&quot;/&gt;&lt;wsp:rsid wsp:val=&quot;007470AF&quot;/&gt;&lt;wsp:rsid wsp:val=&quot;0074726A&quot;/&gt;&lt;wsp:rsid wsp:val=&quot;00747548&quot;/&gt;&lt;wsp:rsid wsp:val=&quot;007503D8&quot;/&gt;&lt;wsp:rsid wsp:val=&quot;0075082F&quot;/&gt;&lt;wsp:rsid wsp:val=&quot;00750DD0&quot;/&gt;&lt;wsp:rsid wsp:val=&quot;00750E4E&quot;/&gt;&lt;wsp:rsid wsp:val=&quot;00751875&quot;/&gt;&lt;wsp:rsid wsp:val=&quot;00751942&quot;/&gt;&lt;wsp:rsid wsp:val=&quot;00751E87&quot;/&gt;&lt;wsp:rsid wsp:val=&quot;0075219F&quot;/&gt;&lt;wsp:rsid wsp:val=&quot;00752908&quot;/&gt;&lt;wsp:rsid wsp:val=&quot;00752D80&quot;/&gt;&lt;wsp:rsid wsp:val=&quot;0075370C&quot;/&gt;&lt;wsp:rsid wsp:val=&quot;007537D4&quot;/&gt;&lt;wsp:rsid wsp:val=&quot;00753891&quot;/&gt;&lt;wsp:rsid wsp:val=&quot;0075396F&quot;/&gt;&lt;wsp:rsid wsp:val=&quot;00753E0D&quot;/&gt;&lt;wsp:rsid wsp:val=&quot;007544B6&quot;/&gt;&lt;wsp:rsid wsp:val=&quot;00754E20&quot;/&gt;&lt;wsp:rsid wsp:val=&quot;007550A9&quot;/&gt;&lt;wsp:rsid wsp:val=&quot;007558A0&quot;/&gt;&lt;wsp:rsid wsp:val=&quot;00755C23&quot;/&gt;&lt;wsp:rsid wsp:val=&quot;0075612A&quot;/&gt;&lt;wsp:rsid wsp:val=&quot;0075677E&quot;/&gt;&lt;wsp:rsid wsp:val=&quot;00756F2D&quot;/&gt;&lt;wsp:rsid wsp:val=&quot;00760586&quot;/&gt;&lt;wsp:rsid wsp:val=&quot;007605D3&quot;/&gt;&lt;wsp:rsid wsp:val=&quot;0076064D&quot;/&gt;&lt;wsp:rsid wsp:val=&quot;007606A6&quot;/&gt;&lt;wsp:rsid wsp:val=&quot;00760D6C&quot;/&gt;&lt;wsp:rsid wsp:val=&quot;00760E5B&quot;/&gt;&lt;wsp:rsid wsp:val=&quot;0076172A&quot;/&gt;&lt;wsp:rsid wsp:val=&quot;007617D8&quot;/&gt;&lt;wsp:rsid wsp:val=&quot;007621FA&quot;/&gt;&lt;wsp:rsid wsp:val=&quot;00762C5C&quot;/&gt;&lt;wsp:rsid wsp:val=&quot;00762E39&quot;/&gt;&lt;wsp:rsid wsp:val=&quot;00762F5D&quot;/&gt;&lt;wsp:rsid wsp:val=&quot;007633B7&quot;/&gt;&lt;wsp:rsid wsp:val=&quot;00763B0C&quot;/&gt;&lt;wsp:rsid wsp:val=&quot;00764174&quot;/&gt;&lt;wsp:rsid wsp:val=&quot;007648BA&quot;/&gt;&lt;wsp:rsid wsp:val=&quot;00764A97&quot;/&gt;&lt;wsp:rsid wsp:val=&quot;0076507A&quot;/&gt;&lt;wsp:rsid wsp:val=&quot;007652B6&quot;/&gt;&lt;wsp:rsid wsp:val=&quot;007656A2&quot;/&gt;&lt;wsp:rsid wsp:val=&quot;00765918&quot;/&gt;&lt;wsp:rsid wsp:val=&quot;00765EB7&quot;/&gt;&lt;wsp:rsid wsp:val=&quot;0076675D&quot;/&gt;&lt;wsp:rsid wsp:val=&quot;00766886&quot;/&gt;&lt;wsp:rsid wsp:val=&quot;00766DBE&quot;/&gt;&lt;wsp:rsid wsp:val=&quot;00766E72&quot;/&gt;&lt;wsp:rsid wsp:val=&quot;0076726B&quot;/&gt;&lt;wsp:rsid wsp:val=&quot;0076765A&quot;/&gt;&lt;wsp:rsid wsp:val=&quot;00767780&quot;/&gt;&lt;wsp:rsid wsp:val=&quot;00767AA0&quot;/&gt;&lt;wsp:rsid wsp:val=&quot;00767B6D&quot;/&gt;&lt;wsp:rsid wsp:val=&quot;007704C5&quot;/&gt;&lt;wsp:rsid wsp:val=&quot;00770803&quot;/&gt;&lt;wsp:rsid wsp:val=&quot;00770B68&quot;/&gt;&lt;wsp:rsid wsp:val=&quot;00770CBC&quot;/&gt;&lt;wsp:rsid wsp:val=&quot;00770E36&quot;/&gt;&lt;wsp:rsid wsp:val=&quot;00771061&quot;/&gt;&lt;wsp:rsid wsp:val=&quot;00771183&quot;/&gt;&lt;wsp:rsid wsp:val=&quot;00771860&quot;/&gt;&lt;wsp:rsid wsp:val=&quot;00772144&quot;/&gt;&lt;wsp:rsid wsp:val=&quot;00772A87&quot;/&gt;&lt;wsp:rsid wsp:val=&quot;007731DA&quot;/&gt;&lt;wsp:rsid wsp:val=&quot;00773849&quot;/&gt;&lt;wsp:rsid wsp:val=&quot;00774044&quot;/&gt;&lt;wsp:rsid wsp:val=&quot;007743B8&quot;/&gt;&lt;wsp:rsid wsp:val=&quot;007750F5&quot;/&gt;&lt;wsp:rsid wsp:val=&quot;007759D0&quot;/&gt;&lt;wsp:rsid wsp:val=&quot;00775BF9&quot;/&gt;&lt;wsp:rsid wsp:val=&quot;00775C07&quot;/&gt;&lt;wsp:rsid wsp:val=&quot;00775C7E&quot;/&gt;&lt;wsp:rsid wsp:val=&quot;00775CFF&quot;/&gt;&lt;wsp:rsid wsp:val=&quot;00775D2B&quot;/&gt;&lt;wsp:rsid wsp:val=&quot;00776089&quot;/&gt;&lt;wsp:rsid wsp:val=&quot;00776733&quot;/&gt;&lt;wsp:rsid wsp:val=&quot;007773DF&quot;/&gt;&lt;wsp:rsid wsp:val=&quot;00777868&quot;/&gt;&lt;wsp:rsid wsp:val=&quot;0077792E&quot;/&gt;&lt;wsp:rsid wsp:val=&quot;00777B8D&quot;/&gt;&lt;wsp:rsid wsp:val=&quot;00780169&quot;/&gt;&lt;wsp:rsid wsp:val=&quot;0078038A&quot;/&gt;&lt;wsp:rsid wsp:val=&quot;007805A0&quot;/&gt;&lt;wsp:rsid wsp:val=&quot;00780685&quot;/&gt;&lt;wsp:rsid wsp:val=&quot;007809AE&quot;/&gt;&lt;wsp:rsid wsp:val=&quot;00780B0A&quot;/&gt;&lt;wsp:rsid wsp:val=&quot;00780B3F&quot;/&gt;&lt;wsp:rsid wsp:val=&quot;00780B7D&quot;/&gt;&lt;wsp:rsid wsp:val=&quot;00781438&quot;/&gt;&lt;wsp:rsid wsp:val=&quot;007820FA&quot;/&gt;&lt;wsp:rsid wsp:val=&quot;0078308D&quot;/&gt;&lt;wsp:rsid wsp:val=&quot;007837D4&quot;/&gt;&lt;wsp:rsid wsp:val=&quot;007841D5&quot;/&gt;&lt;wsp:rsid wsp:val=&quot;00784252&quot;/&gt;&lt;wsp:rsid wsp:val=&quot;00784323&quot;/&gt;&lt;wsp:rsid wsp:val=&quot;00784A05&quot;/&gt;&lt;wsp:rsid wsp:val=&quot;007858D5&quot;/&gt;&lt;wsp:rsid wsp:val=&quot;0078650D&quot;/&gt;&lt;wsp:rsid wsp:val=&quot;00786610&quot;/&gt;&lt;wsp:rsid wsp:val=&quot;00786972&quot;/&gt;&lt;wsp:rsid wsp:val=&quot;00786AA7&quot;/&gt;&lt;wsp:rsid wsp:val=&quot;00786D7A&quot;/&gt;&lt;wsp:rsid wsp:val=&quot;00786FDA&quot;/&gt;&lt;wsp:rsid wsp:val=&quot;00787029&quot;/&gt;&lt;wsp:rsid wsp:val=&quot;00787EA6&quot;/&gt;&lt;wsp:rsid wsp:val=&quot;00790042&quot;/&gt;&lt;wsp:rsid wsp:val=&quot;00790051&quot;/&gt;&lt;wsp:rsid wsp:val=&quot;00790368&quot;/&gt;&lt;wsp:rsid wsp:val=&quot;00790ABE&quot;/&gt;&lt;wsp:rsid wsp:val=&quot;00790E0B&quot;/&gt;&lt;wsp:rsid wsp:val=&quot;00790EB4&quot;/&gt;&lt;wsp:rsid wsp:val=&quot;00791195&quot;/&gt;&lt;wsp:rsid wsp:val=&quot;00791B53&quot;/&gt;&lt;wsp:rsid wsp:val=&quot;00792126&quot;/&gt;&lt;wsp:rsid wsp:val=&quot;00792A65&quot;/&gt;&lt;wsp:rsid wsp:val=&quot;00792E62&quot;/&gt;&lt;wsp:rsid wsp:val=&quot;00792EC0&quot;/&gt;&lt;wsp:rsid wsp:val=&quot;007930F6&quot;/&gt;&lt;wsp:rsid wsp:val=&quot;00793132&quot;/&gt;&lt;wsp:rsid wsp:val=&quot;00793B7F&quot;/&gt;&lt;wsp:rsid wsp:val=&quot;00793D30&quot;/&gt;&lt;wsp:rsid wsp:val=&quot;00793E21&quot;/&gt;&lt;wsp:rsid wsp:val=&quot;00793E94&quot;/&gt;&lt;wsp:rsid wsp:val=&quot;00794912&quot;/&gt;&lt;wsp:rsid wsp:val=&quot;00794A71&quot;/&gt;&lt;wsp:rsid wsp:val=&quot;00794B62&quot;/&gt;&lt;wsp:rsid wsp:val=&quot;00794EAF&quot;/&gt;&lt;wsp:rsid wsp:val=&quot;00794F4D&quot;/&gt;&lt;wsp:rsid wsp:val=&quot;00794F51&quot;/&gt;&lt;wsp:rsid wsp:val=&quot;00795065&quot;/&gt;&lt;wsp:rsid wsp:val=&quot;007953A1&quot;/&gt;&lt;wsp:rsid wsp:val=&quot;0079572A&quot;/&gt;&lt;wsp:rsid wsp:val=&quot;00795BB6&quot;/&gt;&lt;wsp:rsid wsp:val=&quot;00795CA4&quot;/&gt;&lt;wsp:rsid wsp:val=&quot;00796175&quot;/&gt;&lt;wsp:rsid wsp:val=&quot;007962D9&quot;/&gt;&lt;wsp:rsid wsp:val=&quot;007967F9&quot;/&gt;&lt;wsp:rsid wsp:val=&quot;00796AB4&quot;/&gt;&lt;wsp:rsid wsp:val=&quot;00796ACD&quot;/&gt;&lt;wsp:rsid wsp:val=&quot;00796C88&quot;/&gt;&lt;wsp:rsid wsp:val=&quot;00796F3A&quot;/&gt;&lt;wsp:rsid wsp:val=&quot;007975BF&quot;/&gt;&lt;wsp:rsid wsp:val=&quot;007A04BD&quot;/&gt;&lt;wsp:rsid wsp:val=&quot;007A0AF9&quot;/&gt;&lt;wsp:rsid wsp:val=&quot;007A0D90&quot;/&gt;&lt;wsp:rsid wsp:val=&quot;007A1218&quot;/&gt;&lt;wsp:rsid wsp:val=&quot;007A1792&quot;/&gt;&lt;wsp:rsid wsp:val=&quot;007A17FF&quot;/&gt;&lt;wsp:rsid wsp:val=&quot;007A18DF&quot;/&gt;&lt;wsp:rsid wsp:val=&quot;007A2325&quot;/&gt;&lt;wsp:rsid wsp:val=&quot;007A26E8&quot;/&gt;&lt;wsp:rsid wsp:val=&quot;007A2B41&quot;/&gt;&lt;wsp:rsid wsp:val=&quot;007A390B&quot;/&gt;&lt;wsp:rsid wsp:val=&quot;007A3A41&quot;/&gt;&lt;wsp:rsid wsp:val=&quot;007A4155&quot;/&gt;&lt;wsp:rsid wsp:val=&quot;007A4805&quot;/&gt;&lt;wsp:rsid wsp:val=&quot;007A51E7&quot;/&gt;&lt;wsp:rsid wsp:val=&quot;007A55D7&quot;/&gt;&lt;wsp:rsid wsp:val=&quot;007A5689&quot;/&gt;&lt;wsp:rsid wsp:val=&quot;007A5B30&quot;/&gt;&lt;wsp:rsid wsp:val=&quot;007A62EB&quot;/&gt;&lt;wsp:rsid wsp:val=&quot;007A657A&quot;/&gt;&lt;wsp:rsid wsp:val=&quot;007A6637&quot;/&gt;&lt;wsp:rsid wsp:val=&quot;007A6711&quot;/&gt;&lt;wsp:rsid wsp:val=&quot;007A6985&quot;/&gt;&lt;wsp:rsid wsp:val=&quot;007A7161&quot;/&gt;&lt;wsp:rsid wsp:val=&quot;007A71D7&quot;/&gt;&lt;wsp:rsid wsp:val=&quot;007A738A&quot;/&gt;&lt;wsp:rsid wsp:val=&quot;007A7395&quot;/&gt;&lt;wsp:rsid wsp:val=&quot;007A78ED&quot;/&gt;&lt;wsp:rsid wsp:val=&quot;007B012C&quot;/&gt;&lt;wsp:rsid wsp:val=&quot;007B01DE&quot;/&gt;&lt;wsp:rsid wsp:val=&quot;007B0298&quot;/&gt;&lt;wsp:rsid wsp:val=&quot;007B0351&quot;/&gt;&lt;wsp:rsid wsp:val=&quot;007B0430&quot;/&gt;&lt;wsp:rsid wsp:val=&quot;007B0CBF&quot;/&gt;&lt;wsp:rsid wsp:val=&quot;007B1B94&quot;/&gt;&lt;wsp:rsid wsp:val=&quot;007B1E57&quot;/&gt;&lt;wsp:rsid wsp:val=&quot;007B1EF7&quot;/&gt;&lt;wsp:rsid wsp:val=&quot;007B21CF&quot;/&gt;&lt;wsp:rsid wsp:val=&quot;007B2246&quot;/&gt;&lt;wsp:rsid wsp:val=&quot;007B24D2&quot;/&gt;&lt;wsp:rsid wsp:val=&quot;007B3258&quot;/&gt;&lt;wsp:rsid wsp:val=&quot;007B3968&quot;/&gt;&lt;wsp:rsid wsp:val=&quot;007B4772&quot;/&gt;&lt;wsp:rsid wsp:val=&quot;007B4C04&quot;/&gt;&lt;wsp:rsid wsp:val=&quot;007B5050&quot;/&gt;&lt;wsp:rsid wsp:val=&quot;007B5280&quot;/&gt;&lt;wsp:rsid wsp:val=&quot;007B536E&quot;/&gt;&lt;wsp:rsid wsp:val=&quot;007B54C5&quot;/&gt;&lt;wsp:rsid wsp:val=&quot;007B59D3&quot;/&gt;&lt;wsp:rsid wsp:val=&quot;007B6073&quot;/&gt;&lt;wsp:rsid wsp:val=&quot;007B6A9A&quot;/&gt;&lt;wsp:rsid wsp:val=&quot;007B6B68&quot;/&gt;&lt;wsp:rsid wsp:val=&quot;007B6D63&quot;/&gt;&lt;wsp:rsid wsp:val=&quot;007B6DB2&quot;/&gt;&lt;wsp:rsid wsp:val=&quot;007B6DB3&quot;/&gt;&lt;wsp:rsid wsp:val=&quot;007B6FC0&quot;/&gt;&lt;wsp:rsid wsp:val=&quot;007B789B&quot;/&gt;&lt;wsp:rsid wsp:val=&quot;007B7D40&quot;/&gt;&lt;wsp:rsid wsp:val=&quot;007B7D9A&quot;/&gt;&lt;wsp:rsid wsp:val=&quot;007C00E6&quot;/&gt;&lt;wsp:rsid wsp:val=&quot;007C08AF&quot;/&gt;&lt;wsp:rsid wsp:val=&quot;007C095B&quot;/&gt;&lt;wsp:rsid wsp:val=&quot;007C1047&quot;/&gt;&lt;wsp:rsid wsp:val=&quot;007C122D&quot;/&gt;&lt;wsp:rsid wsp:val=&quot;007C166E&quot;/&gt;&lt;wsp:rsid wsp:val=&quot;007C1A0B&quot;/&gt;&lt;wsp:rsid wsp:val=&quot;007C1B44&quot;/&gt;&lt;wsp:rsid wsp:val=&quot;007C1FAA&quot;/&gt;&lt;wsp:rsid wsp:val=&quot;007C21A5&quot;/&gt;&lt;wsp:rsid wsp:val=&quot;007C310A&quot;/&gt;&lt;wsp:rsid wsp:val=&quot;007C310D&quot;/&gt;&lt;wsp:rsid wsp:val=&quot;007C33A8&quot;/&gt;&lt;wsp:rsid wsp:val=&quot;007C3580&quot;/&gt;&lt;wsp:rsid wsp:val=&quot;007C364F&quot;/&gt;&lt;wsp:rsid wsp:val=&quot;007C36E2&quot;/&gt;&lt;wsp:rsid wsp:val=&quot;007C3870&quot;/&gt;&lt;wsp:rsid wsp:val=&quot;007C3BD0&quot;/&gt;&lt;wsp:rsid wsp:val=&quot;007C3F12&quot;/&gt;&lt;wsp:rsid wsp:val=&quot;007C45D8&quot;/&gt;&lt;wsp:rsid wsp:val=&quot;007C4650&quot;/&gt;&lt;wsp:rsid wsp:val=&quot;007C4A14&quot;/&gt;&lt;wsp:rsid wsp:val=&quot;007C5366&quot;/&gt;&lt;wsp:rsid wsp:val=&quot;007C536F&quot;/&gt;&lt;wsp:rsid wsp:val=&quot;007C5773&quot;/&gt;&lt;wsp:rsid wsp:val=&quot;007C5E01&quot;/&gt;&lt;wsp:rsid wsp:val=&quot;007C5E73&quot;/&gt;&lt;wsp:rsid wsp:val=&quot;007C5F11&quot;/&gt;&lt;wsp:rsid wsp:val=&quot;007C6731&quot;/&gt;&lt;wsp:rsid wsp:val=&quot;007C7905&quot;/&gt;&lt;wsp:rsid wsp:val=&quot;007C7C3D&quot;/&gt;&lt;wsp:rsid wsp:val=&quot;007D0240&quot;/&gt;&lt;wsp:rsid wsp:val=&quot;007D0F6B&quot;/&gt;&lt;wsp:rsid wsp:val=&quot;007D1153&quot;/&gt;&lt;wsp:rsid wsp:val=&quot;007D1527&quot;/&gt;&lt;wsp:rsid wsp:val=&quot;007D19A5&quot;/&gt;&lt;wsp:rsid wsp:val=&quot;007D1A88&quot;/&gt;&lt;wsp:rsid wsp:val=&quot;007D1B9A&quot;/&gt;&lt;wsp:rsid wsp:val=&quot;007D1BDD&quot;/&gt;&lt;wsp:rsid wsp:val=&quot;007D1D07&quot;/&gt;&lt;wsp:rsid wsp:val=&quot;007D2466&quot;/&gt;&lt;wsp:rsid wsp:val=&quot;007D2846&quot;/&gt;&lt;wsp:rsid wsp:val=&quot;007D2A76&quot;/&gt;&lt;wsp:rsid wsp:val=&quot;007D4DC1&quot;/&gt;&lt;wsp:rsid wsp:val=&quot;007D4E55&quot;/&gt;&lt;wsp:rsid wsp:val=&quot;007D632D&quot;/&gt;&lt;wsp:rsid wsp:val=&quot;007D64E2&quot;/&gt;&lt;wsp:rsid wsp:val=&quot;007D697B&quot;/&gt;&lt;wsp:rsid wsp:val=&quot;007D701D&quot;/&gt;&lt;wsp:rsid wsp:val=&quot;007D7344&quot;/&gt;&lt;wsp:rsid wsp:val=&quot;007D7891&quot;/&gt;&lt;wsp:rsid wsp:val=&quot;007D7ED7&quot;/&gt;&lt;wsp:rsid wsp:val=&quot;007E0672&quot;/&gt;&lt;wsp:rsid wsp:val=&quot;007E0B20&quot;/&gt;&lt;wsp:rsid wsp:val=&quot;007E0BB8&quot;/&gt;&lt;wsp:rsid wsp:val=&quot;007E14F1&quot;/&gt;&lt;wsp:rsid wsp:val=&quot;007E1A79&quot;/&gt;&lt;wsp:rsid wsp:val=&quot;007E1C5E&quot;/&gt;&lt;wsp:rsid wsp:val=&quot;007E2528&quot;/&gt;&lt;wsp:rsid wsp:val=&quot;007E277A&quot;/&gt;&lt;wsp:rsid wsp:val=&quot;007E29D8&quot;/&gt;&lt;wsp:rsid wsp:val=&quot;007E3B3A&quot;/&gt;&lt;wsp:rsid wsp:val=&quot;007E3C4A&quot;/&gt;&lt;wsp:rsid wsp:val=&quot;007E4C58&quot;/&gt;&lt;wsp:rsid wsp:val=&quot;007E547F&quot;/&gt;&lt;wsp:rsid wsp:val=&quot;007E5AFB&quot;/&gt;&lt;wsp:rsid wsp:val=&quot;007E5DC1&quot;/&gt;&lt;wsp:rsid wsp:val=&quot;007E6322&quot;/&gt;&lt;wsp:rsid wsp:val=&quot;007E64BD&quot;/&gt;&lt;wsp:rsid wsp:val=&quot;007E6B1B&quot;/&gt;&lt;wsp:rsid wsp:val=&quot;007E7513&quot;/&gt;&lt;wsp:rsid wsp:val=&quot;007E7723&quot;/&gt;&lt;wsp:rsid wsp:val=&quot;007E7A06&quot;/&gt;&lt;wsp:rsid wsp:val=&quot;007E7B19&quot;/&gt;&lt;wsp:rsid wsp:val=&quot;007E7C45&quot;/&gt;&lt;wsp:rsid wsp:val=&quot;007E7F7E&quot;/&gt;&lt;wsp:rsid wsp:val=&quot;007F02B4&quot;/&gt;&lt;wsp:rsid wsp:val=&quot;007F03A8&quot;/&gt;&lt;wsp:rsid wsp:val=&quot;007F03C3&quot;/&gt;&lt;wsp:rsid wsp:val=&quot;007F04F6&quot;/&gt;&lt;wsp:rsid wsp:val=&quot;007F07DD&quot;/&gt;&lt;wsp:rsid wsp:val=&quot;007F0DDD&quot;/&gt;&lt;wsp:rsid wsp:val=&quot;007F10E3&quot;/&gt;&lt;wsp:rsid wsp:val=&quot;007F144A&quot;/&gt;&lt;wsp:rsid wsp:val=&quot;007F1A0A&quot;/&gt;&lt;wsp:rsid wsp:val=&quot;007F206A&quot;/&gt;&lt;wsp:rsid wsp:val=&quot;007F280E&quot;/&gt;&lt;wsp:rsid wsp:val=&quot;007F36AC&quot;/&gt;&lt;wsp:rsid wsp:val=&quot;007F4159&quot;/&gt;&lt;wsp:rsid wsp:val=&quot;007F4629&quot;/&gt;&lt;wsp:rsid wsp:val=&quot;007F4AEC&quot;/&gt;&lt;wsp:rsid wsp:val=&quot;007F5208&quot;/&gt;&lt;wsp:rsid wsp:val=&quot;007F566D&quot;/&gt;&lt;wsp:rsid wsp:val=&quot;007F6141&quot;/&gt;&lt;wsp:rsid wsp:val=&quot;007F632C&quot;/&gt;&lt;wsp:rsid wsp:val=&quot;007F7879&quot;/&gt;&lt;wsp:rsid wsp:val=&quot;008000E8&quot;/&gt;&lt;wsp:rsid wsp:val=&quot;008004B8&quot;/&gt;&lt;wsp:rsid wsp:val=&quot;00800C18&quot;/&gt;&lt;wsp:rsid wsp:val=&quot;0080162C&quot;/&gt;&lt;wsp:rsid wsp:val=&quot;008019C1&quot;/&gt;&lt;wsp:rsid wsp:val=&quot;00801D23&quot;/&gt;&lt;wsp:rsid wsp:val=&quot;008021AF&quot;/&gt;&lt;wsp:rsid wsp:val=&quot;00802B9B&quot;/&gt;&lt;wsp:rsid wsp:val=&quot;00802CBE&quot;/&gt;&lt;wsp:rsid wsp:val=&quot;00803368&quot;/&gt;&lt;wsp:rsid wsp:val=&quot;008035D4&quot;/&gt;&lt;wsp:rsid wsp:val=&quot;0080413D&quot;/&gt;&lt;wsp:rsid wsp:val=&quot;008046F4&quot;/&gt;&lt;wsp:rsid wsp:val=&quot;00804B04&quot;/&gt;&lt;wsp:rsid wsp:val=&quot;00804BF0&quot;/&gt;&lt;wsp:rsid wsp:val=&quot;00804C36&quot;/&gt;&lt;wsp:rsid wsp:val=&quot;00804DFE&quot;/&gt;&lt;wsp:rsid wsp:val=&quot;00804F34&quot;/&gt;&lt;wsp:rsid wsp:val=&quot;00804FA6&quot;/&gt;&lt;wsp:rsid wsp:val=&quot;008052DD&quot;/&gt;&lt;wsp:rsid wsp:val=&quot;00805554&quot;/&gt;&lt;wsp:rsid wsp:val=&quot;00805F3A&quot;/&gt;&lt;wsp:rsid wsp:val=&quot;008068F6&quot;/&gt;&lt;wsp:rsid wsp:val=&quot;00806F08&quot;/&gt;&lt;wsp:rsid wsp:val=&quot;00807A31&quot;/&gt;&lt;wsp:rsid wsp:val=&quot;00807C4A&quot;/&gt;&lt;wsp:rsid wsp:val=&quot;00807D31&quot;/&gt;&lt;wsp:rsid wsp:val=&quot;00807DE8&quot;/&gt;&lt;wsp:rsid wsp:val=&quot;00810838&quot;/&gt;&lt;wsp:rsid wsp:val=&quot;008112C5&quot;/&gt;&lt;wsp:rsid wsp:val=&quot;008114C0&quot;/&gt;&lt;wsp:rsid wsp:val=&quot;0081155C&quot;/&gt;&lt;wsp:rsid wsp:val=&quot;00811701&quot;/&gt;&lt;wsp:rsid wsp:val=&quot;00811911&quot;/&gt;&lt;wsp:rsid wsp:val=&quot;00812DDE&quot;/&gt;&lt;wsp:rsid wsp:val=&quot;00813267&quot;/&gt;&lt;wsp:rsid wsp:val=&quot;00813339&quot;/&gt;&lt;wsp:rsid wsp:val=&quot;00813932&quot;/&gt;&lt;wsp:rsid wsp:val=&quot;00813CB2&quot;/&gt;&lt;wsp:rsid wsp:val=&quot;00814232&quot;/&gt;&lt;wsp:rsid wsp:val=&quot;00814971&quot;/&gt;&lt;wsp:rsid wsp:val=&quot;00814D86&quot;/&gt;&lt;wsp:rsid wsp:val=&quot;00814ECF&quot;/&gt;&lt;wsp:rsid wsp:val=&quot;00815760&quot;/&gt;&lt;wsp:rsid wsp:val=&quot;00815814&quot;/&gt;&lt;wsp:rsid wsp:val=&quot;00815C78&quot;/&gt;&lt;wsp:rsid wsp:val=&quot;00815D92&quot;/&gt;&lt;wsp:rsid wsp:val=&quot;00815E98&quot;/&gt;&lt;wsp:rsid wsp:val=&quot;0081618A&quot;/&gt;&lt;wsp:rsid wsp:val=&quot;00816B32&quot;/&gt;&lt;wsp:rsid wsp:val=&quot;00817BFD&quot;/&gt;&lt;wsp:rsid wsp:val=&quot;00820B84&quot;/&gt;&lt;wsp:rsid wsp:val=&quot;00820E6C&quot;/&gt;&lt;wsp:rsid wsp:val=&quot;00820FD3&quot;/&gt;&lt;wsp:rsid wsp:val=&quot;0082194A&quot;/&gt;&lt;wsp:rsid wsp:val=&quot;00821BCB&quot;/&gt;&lt;wsp:rsid wsp:val=&quot;00821CF7&quot;/&gt;&lt;wsp:rsid wsp:val=&quot;00821E08&quot;/&gt;&lt;wsp:rsid wsp:val=&quot;00822441&quot;/&gt;&lt;wsp:rsid wsp:val=&quot;0082299D&quot;/&gt;&lt;wsp:rsid wsp:val=&quot;0082350F&quot;/&gt;&lt;wsp:rsid wsp:val=&quot;0082358A&quot;/&gt;&lt;wsp:rsid wsp:val=&quot;0082364C&quot;/&gt;&lt;wsp:rsid wsp:val=&quot;00823F04&quot;/&gt;&lt;wsp:rsid wsp:val=&quot;008245CA&quot;/&gt;&lt;wsp:rsid wsp:val=&quot;00825364&quot;/&gt;&lt;wsp:rsid wsp:val=&quot;008254B0&quot;/&gt;&lt;wsp:rsid wsp:val=&quot;00825B24&quot;/&gt;&lt;wsp:rsid wsp:val=&quot;0082637B&quot;/&gt;&lt;wsp:rsid wsp:val=&quot;008264BD&quot;/&gt;&lt;wsp:rsid wsp:val=&quot;00826911&quot;/&gt;&lt;wsp:rsid wsp:val=&quot;00827508&quot;/&gt;&lt;wsp:rsid wsp:val=&quot;008276FC&quot;/&gt;&lt;wsp:rsid wsp:val=&quot;0082783D&quot;/&gt;&lt;wsp:rsid wsp:val=&quot;008278A1&quot;/&gt;&lt;wsp:rsid wsp:val=&quot;0083062D&quot;/&gt;&lt;wsp:rsid wsp:val=&quot;00830923&quot;/&gt;&lt;wsp:rsid wsp:val=&quot;00830A39&quot;/&gt;&lt;wsp:rsid wsp:val=&quot;00830C1D&quot;/&gt;&lt;wsp:rsid wsp:val=&quot;00830C94&quot;/&gt;&lt;wsp:rsid wsp:val=&quot;00830F07&quot;/&gt;&lt;wsp:rsid wsp:val=&quot;00830FC4&quot;/&gt;&lt;wsp:rsid wsp:val=&quot;008312DD&quot;/&gt;&lt;wsp:rsid wsp:val=&quot;008315B8&quot;/&gt;&lt;wsp:rsid wsp:val=&quot;0083172C&quot;/&gt;&lt;wsp:rsid wsp:val=&quot;00831771&quot;/&gt;&lt;wsp:rsid wsp:val=&quot;00831E17&quot;/&gt;&lt;wsp:rsid wsp:val=&quot;008325C6&quot;/&gt;&lt;wsp:rsid wsp:val=&quot;00832B90&quot;/&gt;&lt;wsp:rsid wsp:val=&quot;00832EAF&quot;/&gt;&lt;wsp:rsid wsp:val=&quot;00834246&quot;/&gt;&lt;wsp:rsid wsp:val=&quot;00834752&quot;/&gt;&lt;wsp:rsid wsp:val=&quot;00834E61&quot;/&gt;&lt;wsp:rsid wsp:val=&quot;008356F1&quot;/&gt;&lt;wsp:rsid wsp:val=&quot;00835D2C&quot;/&gt;&lt;wsp:rsid wsp:val=&quot;008362A2&quot;/&gt;&lt;wsp:rsid wsp:val=&quot;00836E45&quot;/&gt;&lt;wsp:rsid wsp:val=&quot;008374D7&quot;/&gt;&lt;wsp:rsid wsp:val=&quot;00837C11&quot;/&gt;&lt;wsp:rsid wsp:val=&quot;00840340&quot;/&gt;&lt;wsp:rsid wsp:val=&quot;00840A72&quot;/&gt;&lt;wsp:rsid wsp:val=&quot;00840FC9&quot;/&gt;&lt;wsp:rsid wsp:val=&quot;008411C0&quot;/&gt;&lt;wsp:rsid wsp:val=&quot;00841230&quot;/&gt;&lt;wsp:rsid wsp:val=&quot;008420A8&quot;/&gt;&lt;wsp:rsid wsp:val=&quot;00842966&quot;/&gt;&lt;wsp:rsid wsp:val=&quot;00842DBF&quot;/&gt;&lt;wsp:rsid wsp:val=&quot;00843721&quot;/&gt;&lt;wsp:rsid wsp:val=&quot;00843A77&quot;/&gt;&lt;wsp:rsid wsp:val=&quot;00843A92&quot;/&gt;&lt;wsp:rsid wsp:val=&quot;00843E08&quot;/&gt;&lt;wsp:rsid wsp:val=&quot;008448CC&quot;/&gt;&lt;wsp:rsid wsp:val=&quot;00845182&quot;/&gt;&lt;wsp:rsid wsp:val=&quot;0084585A&quot;/&gt;&lt;wsp:rsid wsp:val=&quot;00845B02&quot;/&gt;&lt;wsp:rsid wsp:val=&quot;008460B6&quot;/&gt;&lt;wsp:rsid wsp:val=&quot;008460CA&quot;/&gt;&lt;wsp:rsid wsp:val=&quot;0084680B&quot;/&gt;&lt;wsp:rsid wsp:val=&quot;00847156&quot;/&gt;&lt;wsp:rsid wsp:val=&quot;00847A0C&quot;/&gt;&lt;wsp:rsid wsp:val=&quot;00847C53&quot;/&gt;&lt;wsp:rsid wsp:val=&quot;008517E3&quot;/&gt;&lt;wsp:rsid wsp:val=&quot;00851D85&quot;/&gt;&lt;wsp:rsid wsp:val=&quot;00852140&quot;/&gt;&lt;wsp:rsid wsp:val=&quot;0085286E&quot;/&gt;&lt;wsp:rsid wsp:val=&quot;008528B9&quot;/&gt;&lt;wsp:rsid wsp:val=&quot;00852981&quot;/&gt;&lt;wsp:rsid wsp:val=&quot;00852C37&quot;/&gt;&lt;wsp:rsid wsp:val=&quot;00853065&quot;/&gt;&lt;wsp:rsid wsp:val=&quot;00853397&quot;/&gt;&lt;wsp:rsid wsp:val=&quot;00854202&quot;/&gt;&lt;wsp:rsid wsp:val=&quot;008543D6&quot;/&gt;&lt;wsp:rsid wsp:val=&quot;00854484&quot;/&gt;&lt;wsp:rsid wsp:val=&quot;00854D42&quot;/&gt;&lt;wsp:rsid wsp:val=&quot;00855BF0&quot;/&gt;&lt;wsp:rsid wsp:val=&quot;00855F1F&quot;/&gt;&lt;wsp:rsid wsp:val=&quot;00855F8B&quot;/&gt;&lt;wsp:rsid wsp:val=&quot;008562A6&quot;/&gt;&lt;wsp:rsid wsp:val=&quot;008571C8&quot;/&gt;&lt;wsp:rsid wsp:val=&quot;00857A3F&quot;/&gt;&lt;wsp:rsid wsp:val=&quot;0086027B&quot;/&gt;&lt;wsp:rsid wsp:val=&quot;00860CB7&quot;/&gt;&lt;wsp:rsid wsp:val=&quot;00860F4E&quot;/&gt;&lt;wsp:rsid wsp:val=&quot;008621FA&quot;/&gt;&lt;wsp:rsid wsp:val=&quot;008632E0&quot;/&gt;&lt;wsp:rsid wsp:val=&quot;008634D9&quot;/&gt;&lt;wsp:rsid wsp:val=&quot;00863F4D&quot;/&gt;&lt;wsp:rsid wsp:val=&quot;00864435&quot;/&gt;&lt;wsp:rsid wsp:val=&quot;008644B2&quot;/&gt;&lt;wsp:rsid wsp:val=&quot;00864803&quot;/&gt;&lt;wsp:rsid wsp:val=&quot;00866796&quot;/&gt;&lt;wsp:rsid wsp:val=&quot;00867123&quot;/&gt;&lt;wsp:rsid wsp:val=&quot;00867354&quot;/&gt;&lt;wsp:rsid wsp:val=&quot;008673FF&quot;/&gt;&lt;wsp:rsid wsp:val=&quot;008701CD&quot;/&gt;&lt;wsp:rsid wsp:val=&quot;008708D7&quot;/&gt;&lt;wsp:rsid wsp:val=&quot;00870AF0&quot;/&gt;&lt;wsp:rsid wsp:val=&quot;00870D86&quot;/&gt;&lt;wsp:rsid wsp:val=&quot;00870E99&quot;/&gt;&lt;wsp:rsid wsp:val=&quot;008715F8&quot;/&gt;&lt;wsp:rsid wsp:val=&quot;0087173E&quot;/&gt;&lt;wsp:rsid wsp:val=&quot;0087186A&quot;/&gt;&lt;wsp:rsid wsp:val=&quot;00872583&quot;/&gt;&lt;wsp:rsid wsp:val=&quot;008732AF&quot;/&gt;&lt;wsp:rsid wsp:val=&quot;00873406&quot;/&gt;&lt;wsp:rsid wsp:val=&quot;00873E4F&quot;/&gt;&lt;wsp:rsid wsp:val=&quot;00874167&quot;/&gt;&lt;wsp:rsid wsp:val=&quot;00874209&quot;/&gt;&lt;wsp:rsid wsp:val=&quot;008742AF&quot;/&gt;&lt;wsp:rsid wsp:val=&quot;008745F2&quot;/&gt;&lt;wsp:rsid wsp:val=&quot;00874B67&quot;/&gt;&lt;wsp:rsid wsp:val=&quot;00874BF7&quot;/&gt;&lt;wsp:rsid wsp:val=&quot;00875538&quot;/&gt;&lt;wsp:rsid wsp:val=&quot;00875CF2&quot;/&gt;&lt;wsp:rsid wsp:val=&quot;0087622E&quot;/&gt;&lt;wsp:rsid wsp:val=&quot;0087635F&quot;/&gt;&lt;wsp:rsid wsp:val=&quot;00876995&quot;/&gt;&lt;wsp:rsid wsp:val=&quot;00876C7C&quot;/&gt;&lt;wsp:rsid wsp:val=&quot;00877B15&quot;/&gt;&lt;wsp:rsid wsp:val=&quot;00877B8A&quot;/&gt;&lt;wsp:rsid wsp:val=&quot;00877FC8&quot;/&gt;&lt;wsp:rsid wsp:val=&quot;00880102&quot;/&gt;&lt;wsp:rsid wsp:val=&quot;008809B3&quot;/&gt;&lt;wsp:rsid wsp:val=&quot;008809E0&quot;/&gt;&lt;wsp:rsid wsp:val=&quot;00880DA8&quot;/&gt;&lt;wsp:rsid wsp:val=&quot;00880DE6&quot;/&gt;&lt;wsp:rsid wsp:val=&quot;00880DE8&quot;/&gt;&lt;wsp:rsid wsp:val=&quot;00880F70&quot;/&gt;&lt;wsp:rsid wsp:val=&quot;00881313&quot;/&gt;&lt;wsp:rsid wsp:val=&quot;00881AAB&quot;/&gt;&lt;wsp:rsid wsp:val=&quot;00881B90&quot;/&gt;&lt;wsp:rsid wsp:val=&quot;00881CFA&quot;/&gt;&lt;wsp:rsid wsp:val=&quot;00882414&quot;/&gt;&lt;wsp:rsid wsp:val=&quot;008825B6&quot;/&gt;&lt;wsp:rsid wsp:val=&quot;0088270C&quot;/&gt;&lt;wsp:rsid wsp:val=&quot;0088270E&quot;/&gt;&lt;wsp:rsid wsp:val=&quot;00882BEE&quot;/&gt;&lt;wsp:rsid wsp:val=&quot;00882C94&quot;/&gt;&lt;wsp:rsid wsp:val=&quot;00882DAC&quot;/&gt;&lt;wsp:rsid wsp:val=&quot;00883B02&quot;/&gt;&lt;wsp:rsid wsp:val=&quot;00883E4E&quot;/&gt;&lt;wsp:rsid wsp:val=&quot;0088442C&quot;/&gt;&lt;wsp:rsid wsp:val=&quot;008845AB&quot;/&gt;&lt;wsp:rsid wsp:val=&quot;008848D9&quot;/&gt;&lt;wsp:rsid wsp:val=&quot;00884EF2&quot;/&gt;&lt;wsp:rsid wsp:val=&quot;00885328&quot;/&gt;&lt;wsp:rsid wsp:val=&quot;0088583D&quot;/&gt;&lt;wsp:rsid wsp:val=&quot;00885AE9&quot;/&gt;&lt;wsp:rsid wsp:val=&quot;008869C0&quot;/&gt;&lt;wsp:rsid wsp:val=&quot;00886DC8&quot;/&gt;&lt;wsp:rsid wsp:val=&quot;00886EB5&quot;/&gt;&lt;wsp:rsid wsp:val=&quot;00886F2E&quot;/&gt;&lt;wsp:rsid wsp:val=&quot;0088783D&quot;/&gt;&lt;wsp:rsid wsp:val=&quot;00887E3A&quot;/&gt;&lt;wsp:rsid wsp:val=&quot;00887FE5&quot;/&gt;&lt;wsp:rsid wsp:val=&quot;00890442&quot;/&gt;&lt;wsp:rsid wsp:val=&quot;0089049E&quot;/&gt;&lt;wsp:rsid wsp:val=&quot;00890733&quot;/&gt;&lt;wsp:rsid wsp:val=&quot;00890CDA&quot;/&gt;&lt;wsp:rsid wsp:val=&quot;00890D53&quot;/&gt;&lt;wsp:rsid wsp:val=&quot;00891412&quot;/&gt;&lt;wsp:rsid wsp:val=&quot;00891753&quot;/&gt;&lt;wsp:rsid wsp:val=&quot;00891C8E&quot;/&gt;&lt;wsp:rsid wsp:val=&quot;00891ED3&quot;/&gt;&lt;wsp:rsid wsp:val=&quot;00892339&quot;/&gt;&lt;wsp:rsid wsp:val=&quot;00892899&quot;/&gt;&lt;wsp:rsid wsp:val=&quot;0089309F&quot;/&gt;&lt;wsp:rsid wsp:val=&quot;008930EA&quot;/&gt;&lt;wsp:rsid wsp:val=&quot;00893968&quot;/&gt;&lt;wsp:rsid wsp:val=&quot;00893992&quot;/&gt;&lt;wsp:rsid wsp:val=&quot;00893EF5&quot;/&gt;&lt;wsp:rsid wsp:val=&quot;00894318&quot;/&gt;&lt;wsp:rsid wsp:val=&quot;008948BE&quot;/&gt;&lt;wsp:rsid wsp:val=&quot;00894916&quot;/&gt;&lt;wsp:rsid wsp:val=&quot;00894ED4&quot;/&gt;&lt;wsp:rsid wsp:val=&quot;00894F79&quot;/&gt;&lt;wsp:rsid wsp:val=&quot;00895E44&quot;/&gt;&lt;wsp:rsid wsp:val=&quot;008962AA&quot;/&gt;&lt;wsp:rsid wsp:val=&quot;008963E0&quot;/&gt;&lt;wsp:rsid wsp:val=&quot;0089745A&quot;/&gt;&lt;wsp:rsid wsp:val=&quot;008979E5&quot;/&gt;&lt;wsp:rsid wsp:val=&quot;008A0672&quot;/&gt;&lt;wsp:rsid wsp:val=&quot;008A0B83&quot;/&gt;&lt;wsp:rsid wsp:val=&quot;008A1491&quot;/&gt;&lt;wsp:rsid wsp:val=&quot;008A1D61&quot;/&gt;&lt;wsp:rsid wsp:val=&quot;008A2D9A&quot;/&gt;&lt;wsp:rsid wsp:val=&quot;008A3271&quot;/&gt;&lt;wsp:rsid wsp:val=&quot;008A36F9&quot;/&gt;&lt;wsp:rsid wsp:val=&quot;008A3734&quot;/&gt;&lt;wsp:rsid wsp:val=&quot;008A3782&quot;/&gt;&lt;wsp:rsid wsp:val=&quot;008A40A7&quot;/&gt;&lt;wsp:rsid wsp:val=&quot;008A40B1&quot;/&gt;&lt;wsp:rsid wsp:val=&quot;008A41B2&quot;/&gt;&lt;wsp:rsid wsp:val=&quot;008A4C9B&quot;/&gt;&lt;wsp:rsid wsp:val=&quot;008A56C7&quot;/&gt;&lt;wsp:rsid wsp:val=&quot;008A5E43&quot;/&gt;&lt;wsp:rsid wsp:val=&quot;008A67A7&quot;/&gt;&lt;wsp:rsid wsp:val=&quot;008A71F5&quot;/&gt;&lt;wsp:rsid wsp:val=&quot;008A778B&quot;/&gt;&lt;wsp:rsid wsp:val=&quot;008B0000&quot;/&gt;&lt;wsp:rsid wsp:val=&quot;008B02F8&quot;/&gt;&lt;wsp:rsid wsp:val=&quot;008B0F38&quot;/&gt;&lt;wsp:rsid wsp:val=&quot;008B0F78&quot;/&gt;&lt;wsp:rsid wsp:val=&quot;008B11D8&quot;/&gt;&lt;wsp:rsid wsp:val=&quot;008B1B48&quot;/&gt;&lt;wsp:rsid wsp:val=&quot;008B1C3E&quot;/&gt;&lt;wsp:rsid wsp:val=&quot;008B1CF7&quot;/&gt;&lt;wsp:rsid wsp:val=&quot;008B1D69&quot;/&gt;&lt;wsp:rsid wsp:val=&quot;008B2252&quot;/&gt;&lt;wsp:rsid wsp:val=&quot;008B254E&quot;/&gt;&lt;wsp:rsid wsp:val=&quot;008B2C6A&quot;/&gt;&lt;wsp:rsid wsp:val=&quot;008B2FF0&quot;/&gt;&lt;wsp:rsid wsp:val=&quot;008B36A1&quot;/&gt;&lt;wsp:rsid wsp:val=&quot;008B39C1&quot;/&gt;&lt;wsp:rsid wsp:val=&quot;008B3D45&quot;/&gt;&lt;wsp:rsid wsp:val=&quot;008B3F2C&quot;/&gt;&lt;wsp:rsid wsp:val=&quot;008B403D&quot;/&gt;&lt;wsp:rsid wsp:val=&quot;008B5120&quot;/&gt;&lt;wsp:rsid wsp:val=&quot;008B57A5&quot;/&gt;&lt;wsp:rsid wsp:val=&quot;008B59B6&quot;/&gt;&lt;wsp:rsid wsp:val=&quot;008B62FC&quot;/&gt;&lt;wsp:rsid wsp:val=&quot;008B6598&quot;/&gt;&lt;wsp:rsid wsp:val=&quot;008B68D0&quot;/&gt;&lt;wsp:rsid wsp:val=&quot;008B7D02&quot;/&gt;&lt;wsp:rsid wsp:val=&quot;008B7E53&quot;/&gt;&lt;wsp:rsid wsp:val=&quot;008B7F8E&quot;/&gt;&lt;wsp:rsid wsp:val=&quot;008C02CC&quot;/&gt;&lt;wsp:rsid wsp:val=&quot;008C02EC&quot;/&gt;&lt;wsp:rsid wsp:val=&quot;008C04D7&quot;/&gt;&lt;wsp:rsid wsp:val=&quot;008C063A&quot;/&gt;&lt;wsp:rsid wsp:val=&quot;008C0764&quot;/&gt;&lt;wsp:rsid wsp:val=&quot;008C0B94&quot;/&gt;&lt;wsp:rsid wsp:val=&quot;008C0E09&quot;/&gt;&lt;wsp:rsid wsp:val=&quot;008C0F9F&quot;/&gt;&lt;wsp:rsid wsp:val=&quot;008C1721&quot;/&gt;&lt;wsp:rsid wsp:val=&quot;008C243C&quot;/&gt;&lt;wsp:rsid wsp:val=&quot;008C2509&quot;/&gt;&lt;wsp:rsid wsp:val=&quot;008C2A00&quot;/&gt;&lt;wsp:rsid wsp:val=&quot;008C2ACA&quot;/&gt;&lt;wsp:rsid wsp:val=&quot;008C2F85&quot;/&gt;&lt;wsp:rsid wsp:val=&quot;008C412D&quot;/&gt;&lt;wsp:rsid wsp:val=&quot;008C454B&quot;/&gt;&lt;wsp:rsid wsp:val=&quot;008C4836&quot;/&gt;&lt;wsp:rsid wsp:val=&quot;008C4A38&quot;/&gt;&lt;wsp:rsid wsp:val=&quot;008C4A73&quot;/&gt;&lt;wsp:rsid wsp:val=&quot;008C4B87&quot;/&gt;&lt;wsp:rsid wsp:val=&quot;008C4CA6&quot;/&gt;&lt;wsp:rsid wsp:val=&quot;008C5B6F&quot;/&gt;&lt;wsp:rsid wsp:val=&quot;008C6985&quot;/&gt;&lt;wsp:rsid wsp:val=&quot;008C699F&quot;/&gt;&lt;wsp:rsid wsp:val=&quot;008C6C74&quot;/&gt;&lt;wsp:rsid wsp:val=&quot;008C6D7B&quot;/&gt;&lt;wsp:rsid wsp:val=&quot;008C7723&quot;/&gt;&lt;wsp:rsid wsp:val=&quot;008C78FB&quot;/&gt;&lt;wsp:rsid wsp:val=&quot;008C7B57&quot;/&gt;&lt;wsp:rsid wsp:val=&quot;008C7F70&quot;/&gt;&lt;wsp:rsid wsp:val=&quot;008D094A&quot;/&gt;&lt;wsp:rsid wsp:val=&quot;008D0977&quot;/&gt;&lt;wsp:rsid wsp:val=&quot;008D0AA8&quot;/&gt;&lt;wsp:rsid wsp:val=&quot;008D0FC7&quot;/&gt;&lt;wsp:rsid wsp:val=&quot;008D107D&quot;/&gt;&lt;wsp:rsid wsp:val=&quot;008D1139&quot;/&gt;&lt;wsp:rsid wsp:val=&quot;008D117B&quot;/&gt;&lt;wsp:rsid wsp:val=&quot;008D1D1C&quot;/&gt;&lt;wsp:rsid wsp:val=&quot;008D23FE&quot;/&gt;&lt;wsp:rsid wsp:val=&quot;008D27A1&quot;/&gt;&lt;wsp:rsid wsp:val=&quot;008D2931&quot;/&gt;&lt;wsp:rsid wsp:val=&quot;008D2CA1&quot;/&gt;&lt;wsp:rsid wsp:val=&quot;008D363D&quot;/&gt;&lt;wsp:rsid wsp:val=&quot;008D41E9&quot;/&gt;&lt;wsp:rsid wsp:val=&quot;008D43F2&quot;/&gt;&lt;wsp:rsid wsp:val=&quot;008D4DE8&quot;/&gt;&lt;wsp:rsid wsp:val=&quot;008D4E63&quot;/&gt;&lt;wsp:rsid wsp:val=&quot;008D4E7F&quot;/&gt;&lt;wsp:rsid wsp:val=&quot;008D55A1&quot;/&gt;&lt;wsp:rsid wsp:val=&quot;008D5733&quot;/&gt;&lt;wsp:rsid wsp:val=&quot;008D5CEB&quot;/&gt;&lt;wsp:rsid wsp:val=&quot;008D5EA6&quot;/&gt;&lt;wsp:rsid wsp:val=&quot;008D6362&quot;/&gt;&lt;wsp:rsid wsp:val=&quot;008D64FA&quot;/&gt;&lt;wsp:rsid wsp:val=&quot;008D687C&quot;/&gt;&lt;wsp:rsid wsp:val=&quot;008D6914&quot;/&gt;&lt;wsp:rsid wsp:val=&quot;008D7AB7&quot;/&gt;&lt;wsp:rsid wsp:val=&quot;008E004C&quot;/&gt;&lt;wsp:rsid wsp:val=&quot;008E023C&quot;/&gt;&lt;wsp:rsid wsp:val=&quot;008E0283&quot;/&gt;&lt;wsp:rsid wsp:val=&quot;008E0492&quot;/&gt;&lt;wsp:rsid wsp:val=&quot;008E076C&quot;/&gt;&lt;wsp:rsid wsp:val=&quot;008E08D1&quot;/&gt;&lt;wsp:rsid wsp:val=&quot;008E0B81&quot;/&gt;&lt;wsp:rsid wsp:val=&quot;008E1070&quot;/&gt;&lt;wsp:rsid wsp:val=&quot;008E148D&quot;/&gt;&lt;wsp:rsid wsp:val=&quot;008E14D7&quot;/&gt;&lt;wsp:rsid wsp:val=&quot;008E1565&quot;/&gt;&lt;wsp:rsid wsp:val=&quot;008E15A2&quot;/&gt;&lt;wsp:rsid wsp:val=&quot;008E16CB&quot;/&gt;&lt;wsp:rsid wsp:val=&quot;008E1CB0&quot;/&gt;&lt;wsp:rsid wsp:val=&quot;008E1DDA&quot;/&gt;&lt;wsp:rsid wsp:val=&quot;008E25FB&quot;/&gt;&lt;wsp:rsid wsp:val=&quot;008E2931&quot;/&gt;&lt;wsp:rsid wsp:val=&quot;008E2AB1&quot;/&gt;&lt;wsp:rsid wsp:val=&quot;008E2EC9&quot;/&gt;&lt;wsp:rsid wsp:val=&quot;008E37F1&quot;/&gt;&lt;wsp:rsid wsp:val=&quot;008E3BCC&quot;/&gt;&lt;wsp:rsid wsp:val=&quot;008E43D4&quot;/&gt;&lt;wsp:rsid wsp:val=&quot;008E44A5&quot;/&gt;&lt;wsp:rsid wsp:val=&quot;008E45E8&quot;/&gt;&lt;wsp:rsid wsp:val=&quot;008E462F&quot;/&gt;&lt;wsp:rsid wsp:val=&quot;008E4897&quot;/&gt;&lt;wsp:rsid wsp:val=&quot;008E4F6D&quot;/&gt;&lt;wsp:rsid wsp:val=&quot;008E539C&quot;/&gt;&lt;wsp:rsid wsp:val=&quot;008E5438&quot;/&gt;&lt;wsp:rsid wsp:val=&quot;008E5484&quot;/&gt;&lt;wsp:rsid wsp:val=&quot;008E559C&quot;/&gt;&lt;wsp:rsid wsp:val=&quot;008E56FE&quot;/&gt;&lt;wsp:rsid wsp:val=&quot;008E5DC9&quot;/&gt;&lt;wsp:rsid wsp:val=&quot;008E6317&quot;/&gt;&lt;wsp:rsid wsp:val=&quot;008E66D3&quot;/&gt;&lt;wsp:rsid wsp:val=&quot;008E6D2B&quot;/&gt;&lt;wsp:rsid wsp:val=&quot;008E706F&quot;/&gt;&lt;wsp:rsid wsp:val=&quot;008E70B7&quot;/&gt;&lt;wsp:rsid wsp:val=&quot;008E7690&quot;/&gt;&lt;wsp:rsid wsp:val=&quot;008E76BE&quot;/&gt;&lt;wsp:rsid wsp:val=&quot;008F02F9&quot;/&gt;&lt;wsp:rsid wsp:val=&quot;008F13D6&quot;/&gt;&lt;wsp:rsid wsp:val=&quot;008F13F5&quot;/&gt;&lt;wsp:rsid wsp:val=&quot;008F1754&quot;/&gt;&lt;wsp:rsid wsp:val=&quot;008F1908&quot;/&gt;&lt;wsp:rsid wsp:val=&quot;008F1ACB&quot;/&gt;&lt;wsp:rsid wsp:val=&quot;008F1E16&quot;/&gt;&lt;wsp:rsid wsp:val=&quot;008F20FE&quot;/&gt;&lt;wsp:rsid wsp:val=&quot;008F240F&quot;/&gt;&lt;wsp:rsid wsp:val=&quot;008F2875&quot;/&gt;&lt;wsp:rsid wsp:val=&quot;008F299C&quot;/&gt;&lt;wsp:rsid wsp:val=&quot;008F365D&quot;/&gt;&lt;wsp:rsid wsp:val=&quot;008F3859&quot;/&gt;&lt;wsp:rsid wsp:val=&quot;008F48B9&quot;/&gt;&lt;wsp:rsid wsp:val=&quot;008F4D11&quot;/&gt;&lt;wsp:rsid wsp:val=&quot;008F50BE&quot;/&gt;&lt;wsp:rsid wsp:val=&quot;008F5C34&quot;/&gt;&lt;wsp:rsid wsp:val=&quot;008F5E26&quot;/&gt;&lt;wsp:rsid wsp:val=&quot;008F5F89&quot;/&gt;&lt;wsp:rsid wsp:val=&quot;008F65E1&quot;/&gt;&lt;wsp:rsid wsp:val=&quot;008F6B28&quot;/&gt;&lt;wsp:rsid wsp:val=&quot;008F6FBE&quot;/&gt;&lt;wsp:rsid wsp:val=&quot;008F75BD&quot;/&gt;&lt;wsp:rsid wsp:val=&quot;0090007B&quot;/&gt;&lt;wsp:rsid wsp:val=&quot;009001C5&quot;/&gt;&lt;wsp:rsid wsp:val=&quot;009008CB&quot;/&gt;&lt;wsp:rsid wsp:val=&quot;00900A75&quot;/&gt;&lt;wsp:rsid wsp:val=&quot;0090137F&quot;/&gt;&lt;wsp:rsid wsp:val=&quot;00902622&quot;/&gt;&lt;wsp:rsid wsp:val=&quot;00902783&quot;/&gt;&lt;wsp:rsid wsp:val=&quot;00903750&quot;/&gt;&lt;wsp:rsid wsp:val=&quot;009042FA&quot;/&gt;&lt;wsp:rsid wsp:val=&quot;009045B3&quot;/&gt;&lt;wsp:rsid wsp:val=&quot;00904619&quot;/&gt;&lt;wsp:rsid wsp:val=&quot;00904826&quot;/&gt;&lt;wsp:rsid wsp:val=&quot;00904BD3&quot;/&gt;&lt;wsp:rsid wsp:val=&quot;00905644&quot;/&gt;&lt;wsp:rsid wsp:val=&quot;00905890&quot;/&gt;&lt;wsp:rsid wsp:val=&quot;00905B42&quot;/&gt;&lt;wsp:rsid wsp:val=&quot;00905CE1&quot;/&gt;&lt;wsp:rsid wsp:val=&quot;00906082&quot;/&gt;&lt;wsp:rsid wsp:val=&quot;009060AA&quot;/&gt;&lt;wsp:rsid wsp:val=&quot;0090620D&quot;/&gt;&lt;wsp:rsid wsp:val=&quot;009069CE&quot;/&gt;&lt;wsp:rsid wsp:val=&quot;00906C59&quot;/&gt;&lt;wsp:rsid wsp:val=&quot;00906ECB&quot;/&gt;&lt;wsp:rsid wsp:val=&quot;009070B5&quot;/&gt;&lt;wsp:rsid wsp:val=&quot;009072A1&quot;/&gt;&lt;wsp:rsid wsp:val=&quot;0090789C&quot;/&gt;&lt;wsp:rsid wsp:val=&quot;00907BF3&quot;/&gt;&lt;wsp:rsid wsp:val=&quot;00910175&quot;/&gt;&lt;wsp:rsid wsp:val=&quot;0091031A&quot;/&gt;&lt;wsp:rsid wsp:val=&quot;00910A31&quot;/&gt;&lt;wsp:rsid wsp:val=&quot;00910B69&quot;/&gt;&lt;wsp:rsid wsp:val=&quot;009112FF&quot;/&gt;&lt;wsp:rsid wsp:val=&quot;00911C0C&quot;/&gt;&lt;wsp:rsid wsp:val=&quot;00911E9D&quot;/&gt;&lt;wsp:rsid wsp:val=&quot;0091230D&quot;/&gt;&lt;wsp:rsid wsp:val=&quot;00912410&quot;/&gt;&lt;wsp:rsid wsp:val=&quot;00912645&quot;/&gt;&lt;wsp:rsid wsp:val=&quot;0091297E&quot;/&gt;&lt;wsp:rsid wsp:val=&quot;00912C16&quot;/&gt;&lt;wsp:rsid wsp:val=&quot;00912EC9&quot;/&gt;&lt;wsp:rsid wsp:val=&quot;00913318&quot;/&gt;&lt;wsp:rsid wsp:val=&quot;009133EC&quot;/&gt;&lt;wsp:rsid wsp:val=&quot;009139F4&quot;/&gt;&lt;wsp:rsid wsp:val=&quot;00913B8C&quot;/&gt;&lt;wsp:rsid wsp:val=&quot;0091486F&quot;/&gt;&lt;wsp:rsid wsp:val=&quot;00914896&quot;/&gt;&lt;wsp:rsid wsp:val=&quot;00914986&quot;/&gt;&lt;wsp:rsid wsp:val=&quot;00914B6D&quot;/&gt;&lt;wsp:rsid wsp:val=&quot;00914FA9&quot;/&gt;&lt;wsp:rsid wsp:val=&quot;00915A0C&quot;/&gt;&lt;wsp:rsid wsp:val=&quot;00916EC3&quot;/&gt;&lt;wsp:rsid wsp:val=&quot;009170A1&quot;/&gt;&lt;wsp:rsid wsp:val=&quot;0091735F&quot;/&gt;&lt;wsp:rsid wsp:val=&quot;009174D1&quot;/&gt;&lt;wsp:rsid wsp:val=&quot;00917DAD&quot;/&gt;&lt;wsp:rsid wsp:val=&quot;00921686&quot;/&gt;&lt;wsp:rsid wsp:val=&quot;0092194C&quot;/&gt;&lt;wsp:rsid wsp:val=&quot;00921BCF&quot;/&gt;&lt;wsp:rsid wsp:val=&quot;00921FA1&quot;/&gt;&lt;wsp:rsid wsp:val=&quot;009220BC&quot;/&gt;&lt;wsp:rsid wsp:val=&quot;00922438&quot;/&gt;&lt;wsp:rsid wsp:val=&quot;00922CAD&quot;/&gt;&lt;wsp:rsid wsp:val=&quot;00923BC7&quot;/&gt;&lt;wsp:rsid wsp:val=&quot;00923DC1&quot;/&gt;&lt;wsp:rsid wsp:val=&quot;00923E9C&quot;/&gt;&lt;wsp:rsid wsp:val=&quot;00925EA7&quot;/&gt;&lt;wsp:rsid wsp:val=&quot;0092624E&quot;/&gt;&lt;wsp:rsid wsp:val=&quot;009262C5&quot;/&gt;&lt;wsp:rsid wsp:val=&quot;0092630D&quot;/&gt;&lt;wsp:rsid wsp:val=&quot;00926556&quot;/&gt;&lt;wsp:rsid wsp:val=&quot;00926AD7&quot;/&gt;&lt;wsp:rsid wsp:val=&quot;00926B18&quot;/&gt;&lt;wsp:rsid wsp:val=&quot;00927891&quot;/&gt;&lt;wsp:rsid wsp:val=&quot;00927CD0&quot;/&gt;&lt;wsp:rsid wsp:val=&quot;00930D54&quot;/&gt;&lt;wsp:rsid wsp:val=&quot;00930E55&quot;/&gt;&lt;wsp:rsid wsp:val=&quot;009310DC&quot;/&gt;&lt;wsp:rsid wsp:val=&quot;00931117&quot;/&gt;&lt;wsp:rsid wsp:val=&quot;00932260&quot;/&gt;&lt;wsp:rsid wsp:val=&quot;00932519&quot;/&gt;&lt;wsp:rsid wsp:val=&quot;009330BF&quot;/&gt;&lt;wsp:rsid wsp:val=&quot;0093313B&quot;/&gt;&lt;wsp:rsid wsp:val=&quot;00933213&quot;/&gt;&lt;wsp:rsid wsp:val=&quot;00933464&quot;/&gt;&lt;wsp:rsid wsp:val=&quot;0093378D&quot;/&gt;&lt;wsp:rsid wsp:val=&quot;00933C61&quot;/&gt;&lt;wsp:rsid wsp:val=&quot;00933DC1&quot;/&gt;&lt;wsp:rsid wsp:val=&quot;00933FA3&quot;/&gt;&lt;wsp:rsid wsp:val=&quot;0093429A&quot;/&gt;&lt;wsp:rsid wsp:val=&quot;009347C2&quot;/&gt;&lt;wsp:rsid wsp:val=&quot;00934D85&quot;/&gt;&lt;wsp:rsid wsp:val=&quot;00935756&quot;/&gt;&lt;wsp:rsid wsp:val=&quot;00935AE6&quot;/&gt;&lt;wsp:rsid wsp:val=&quot;00935E1F&quot;/&gt;&lt;wsp:rsid wsp:val=&quot;00936183&quot;/&gt;&lt;wsp:rsid wsp:val=&quot;00936493&quot;/&gt;&lt;wsp:rsid wsp:val=&quot;0093706E&quot;/&gt;&lt;wsp:rsid wsp:val=&quot;00937A15&quot;/&gt;&lt;wsp:rsid wsp:val=&quot;00940264&quot;/&gt;&lt;wsp:rsid wsp:val=&quot;00940A9E&quot;/&gt;&lt;wsp:rsid wsp:val=&quot;00940FCA&quot;/&gt;&lt;wsp:rsid wsp:val=&quot;0094123C&quot;/&gt;&lt;wsp:rsid wsp:val=&quot;00941AE0&quot;/&gt;&lt;wsp:rsid wsp:val=&quot;00941E9F&quot;/&gt;&lt;wsp:rsid wsp:val=&quot;00941F51&quot;/&gt;&lt;wsp:rsid wsp:val=&quot;009423D2&quot;/&gt;&lt;wsp:rsid wsp:val=&quot;009425D4&quot;/&gt;&lt;wsp:rsid wsp:val=&quot;00942F04&quot;/&gt;&lt;wsp:rsid wsp:val=&quot;00943D42&quot;/&gt;&lt;wsp:rsid wsp:val=&quot;00944061&quot;/&gt;&lt;wsp:rsid wsp:val=&quot;0094435D&quot;/&gt;&lt;wsp:rsid wsp:val=&quot;00944554&quot;/&gt;&lt;wsp:rsid wsp:val=&quot;00944698&quot;/&gt;&lt;wsp:rsid wsp:val=&quot;009462C7&quot;/&gt;&lt;wsp:rsid wsp:val=&quot;00946617&quot;/&gt;&lt;wsp:rsid wsp:val=&quot;009468F8&quot;/&gt;&lt;wsp:rsid wsp:val=&quot;00946A1D&quot;/&gt;&lt;wsp:rsid wsp:val=&quot;00946A5C&quot;/&gt;&lt;wsp:rsid wsp:val=&quot;00946DB6&quot;/&gt;&lt;wsp:rsid wsp:val=&quot;00946E1D&quot;/&gt;&lt;wsp:rsid wsp:val=&quot;00946E24&quot;/&gt;&lt;wsp:rsid wsp:val=&quot;009474AD&quot;/&gt;&lt;wsp:rsid wsp:val=&quot;0094795D&quot;/&gt;&lt;wsp:rsid wsp:val=&quot;00947B35&quot;/&gt;&lt;wsp:rsid wsp:val=&quot;00947B43&quot;/&gt;&lt;wsp:rsid wsp:val=&quot;009500A0&quot;/&gt;&lt;wsp:rsid wsp:val=&quot;00950728&quot;/&gt;&lt;wsp:rsid wsp:val=&quot;00950FF5&quot;/&gt;&lt;wsp:rsid wsp:val=&quot;00951158&quot;/&gt;&lt;wsp:rsid wsp:val=&quot;0095115E&quot;/&gt;&lt;wsp:rsid wsp:val=&quot;009520EC&quot;/&gt;&lt;wsp:rsid wsp:val=&quot;009533C2&quot;/&gt;&lt;wsp:rsid wsp:val=&quot;00953671&quot;/&gt;&lt;wsp:rsid wsp:val=&quot;009541CB&quot;/&gt;&lt;wsp:rsid wsp:val=&quot;00954BD3&quot;/&gt;&lt;wsp:rsid wsp:val=&quot;00954CA1&quot;/&gt;&lt;wsp:rsid wsp:val=&quot;00954CB6&quot;/&gt;&lt;wsp:rsid wsp:val=&quot;00954EF8&quot;/&gt;&lt;wsp:rsid wsp:val=&quot;00955155&quot;/&gt;&lt;wsp:rsid wsp:val=&quot;00955531&quot;/&gt;&lt;wsp:rsid wsp:val=&quot;009558E1&quot;/&gt;&lt;wsp:rsid wsp:val=&quot;00955A2C&quot;/&gt;&lt;wsp:rsid wsp:val=&quot;00955A53&quot;/&gt;&lt;wsp:rsid wsp:val=&quot;00955A8C&quot;/&gt;&lt;wsp:rsid wsp:val=&quot;0095611A&quot;/&gt;&lt;wsp:rsid wsp:val=&quot;009564DC&quot;/&gt;&lt;wsp:rsid wsp:val=&quot;00956609&quot;/&gt;&lt;wsp:rsid wsp:val=&quot;00956705&quot;/&gt;&lt;wsp:rsid wsp:val=&quot;0095686C&quot;/&gt;&lt;wsp:rsid wsp:val=&quot;009568C4&quot;/&gt;&lt;wsp:rsid wsp:val=&quot;00956EB5&quot;/&gt;&lt;wsp:rsid wsp:val=&quot;00957428&quot;/&gt;&lt;wsp:rsid wsp:val=&quot;00957586&quot;/&gt;&lt;wsp:rsid wsp:val=&quot;009577FC&quot;/&gt;&lt;wsp:rsid wsp:val=&quot;00960332&quot;/&gt;&lt;wsp:rsid wsp:val=&quot;00960621&quot;/&gt;&lt;wsp:rsid wsp:val=&quot;00960B02&quot;/&gt;&lt;wsp:rsid wsp:val=&quot;009611CD&quot;/&gt;&lt;wsp:rsid wsp:val=&quot;0096135A&quot;/&gt;&lt;wsp:rsid wsp:val=&quot;009619ED&quot;/&gt;&lt;wsp:rsid wsp:val=&quot;009621AA&quot;/&gt;&lt;wsp:rsid wsp:val=&quot;00962233&quot;/&gt;&lt;wsp:rsid wsp:val=&quot;00962D8F&quot;/&gt;&lt;wsp:rsid wsp:val=&quot;00962F3D&quot;/&gt;&lt;wsp:rsid wsp:val=&quot;0096304A&quot;/&gt;&lt;wsp:rsid wsp:val=&quot;00963B75&quot;/&gt;&lt;wsp:rsid wsp:val=&quot;00963C32&quot;/&gt;&lt;wsp:rsid wsp:val=&quot;00963F59&quot;/&gt;&lt;wsp:rsid wsp:val=&quot;00964707&quot;/&gt;&lt;wsp:rsid wsp:val=&quot;009649F6&quot;/&gt;&lt;wsp:rsid wsp:val=&quot;00964E04&quot;/&gt;&lt;wsp:rsid wsp:val=&quot;009653D3&quot;/&gt;&lt;wsp:rsid wsp:val=&quot;00965507&quot;/&gt;&lt;wsp:rsid wsp:val=&quot;00965638&quot;/&gt;&lt;wsp:rsid wsp:val=&quot;00965CD7&quot;/&gt;&lt;wsp:rsid wsp:val=&quot;00965E02&quot;/&gt;&lt;wsp:rsid wsp:val=&quot;0096654C&quot;/&gt;&lt;wsp:rsid wsp:val=&quot;00966769&quot;/&gt;&lt;wsp:rsid wsp:val=&quot;009670A8&quot;/&gt;&lt;wsp:rsid wsp:val=&quot;0096721D&quot;/&gt;&lt;wsp:rsid wsp:val=&quot;009672F2&quot;/&gt;&lt;wsp:rsid wsp:val=&quot;0096754C&quot;/&gt;&lt;wsp:rsid wsp:val=&quot;00967DB8&quot;/&gt;&lt;wsp:rsid wsp:val=&quot;00967E23&quot;/&gt;&lt;wsp:rsid wsp:val=&quot;00967F52&quot;/&gt;&lt;wsp:rsid wsp:val=&quot;00970F27&quot;/&gt;&lt;wsp:rsid wsp:val=&quot;0097104C&quot;/&gt;&lt;wsp:rsid wsp:val=&quot;00971052&quot;/&gt;&lt;wsp:rsid wsp:val=&quot;00971E97&quot;/&gt;&lt;wsp:rsid wsp:val=&quot;009721C8&quot;/&gt;&lt;wsp:rsid wsp:val=&quot;0097251A&quot;/&gt;&lt;wsp:rsid wsp:val=&quot;00972E01&quot;/&gt;&lt;wsp:rsid wsp:val=&quot;00973272&quot;/&gt;&lt;wsp:rsid wsp:val=&quot;009732ED&quot;/&gt;&lt;wsp:rsid wsp:val=&quot;009734CE&quot;/&gt;&lt;wsp:rsid wsp:val=&quot;009737AB&quot;/&gt;&lt;wsp:rsid wsp:val=&quot;00973837&quot;/&gt;&lt;wsp:rsid wsp:val=&quot;00973D2C&quot;/&gt;&lt;wsp:rsid wsp:val=&quot;00974065&quot;/&gt;&lt;wsp:rsid wsp:val=&quot;00974138&quot;/&gt;&lt;wsp:rsid wsp:val=&quot;0097423A&quot;/&gt;&lt;wsp:rsid wsp:val=&quot;009749F0&quot;/&gt;&lt;wsp:rsid wsp:val=&quot;00974A2B&quot;/&gt;&lt;wsp:rsid wsp:val=&quot;00974C4A&quot;/&gt;&lt;wsp:rsid wsp:val=&quot;00974C99&quot;/&gt;&lt;wsp:rsid wsp:val=&quot;00975148&quot;/&gt;&lt;wsp:rsid wsp:val=&quot;009756E8&quot;/&gt;&lt;wsp:rsid wsp:val=&quot;00975B75&quot;/&gt;&lt;wsp:rsid wsp:val=&quot;00975BD3&quot;/&gt;&lt;wsp:rsid wsp:val=&quot;00975DA8&quot;/&gt;&lt;wsp:rsid wsp:val=&quot;00976547&quot;/&gt;&lt;wsp:rsid wsp:val=&quot;00976748&quot;/&gt;&lt;wsp:rsid wsp:val=&quot;009773C5&quot;/&gt;&lt;wsp:rsid wsp:val=&quot;009777AE&quot;/&gt;&lt;wsp:rsid wsp:val=&quot;00977A08&quot;/&gt;&lt;wsp:rsid wsp:val=&quot;00977E27&quot;/&gt;&lt;wsp:rsid wsp:val=&quot;00977EA1&quot;/&gt;&lt;wsp:rsid wsp:val=&quot;0098000D&quot;/&gt;&lt;wsp:rsid wsp:val=&quot;00980237&quot;/&gt;&lt;wsp:rsid wsp:val=&quot;009807DA&quot;/&gt;&lt;wsp:rsid wsp:val=&quot;00980E66&quot;/&gt;&lt;wsp:rsid wsp:val=&quot;009822C0&quot;/&gt;&lt;wsp:rsid wsp:val=&quot;009823A0&quot;/&gt;&lt;wsp:rsid wsp:val=&quot;009826BC&quot;/&gt;&lt;wsp:rsid wsp:val=&quot;009827E7&quot;/&gt;&lt;wsp:rsid wsp:val=&quot;00982967&quot;/&gt;&lt;wsp:rsid wsp:val=&quot;00982A35&quot;/&gt;&lt;wsp:rsid wsp:val=&quot;00982C9B&quot;/&gt;&lt;wsp:rsid wsp:val=&quot;00982EA1&quot;/&gt;&lt;wsp:rsid wsp:val=&quot;009838A8&quot;/&gt;&lt;wsp:rsid wsp:val=&quot;00983D2F&quot;/&gt;&lt;wsp:rsid wsp:val=&quot;009853C5&quot;/&gt;&lt;wsp:rsid wsp:val=&quot;00985573&quot;/&gt;&lt;wsp:rsid wsp:val=&quot;0098587A&quot;/&gt;&lt;wsp:rsid wsp:val=&quot;00986C0C&quot;/&gt;&lt;wsp:rsid wsp:val=&quot;009872A0&quot;/&gt;&lt;wsp:rsid wsp:val=&quot;00987526&quot;/&gt;&lt;wsp:rsid wsp:val=&quot;0098798E&quot;/&gt;&lt;wsp:rsid wsp:val=&quot;00987B02&quot;/&gt;&lt;wsp:rsid wsp:val=&quot;00990E17&quot;/&gt;&lt;wsp:rsid wsp:val=&quot;00991554&quot;/&gt;&lt;wsp:rsid wsp:val=&quot;009917E8&quot;/&gt;&lt;wsp:rsid wsp:val=&quot;009927DD&quot;/&gt;&lt;wsp:rsid wsp:val=&quot;00992898&quot;/&gt;&lt;wsp:rsid wsp:val=&quot;00992DE6&quot;/&gt;&lt;wsp:rsid wsp:val=&quot;00992EDB&quot;/&gt;&lt;wsp:rsid wsp:val=&quot;00993A22&quot;/&gt;&lt;wsp:rsid wsp:val=&quot;00993A9C&quot;/&gt;&lt;wsp:rsid wsp:val=&quot;00994079&quot;/&gt;&lt;wsp:rsid wsp:val=&quot;0099409A&quot;/&gt;&lt;wsp:rsid wsp:val=&quot;009949F8&quot;/&gt;&lt;wsp:rsid wsp:val=&quot;00994FFE&quot;/&gt;&lt;wsp:rsid wsp:val=&quot;0099539A&quot;/&gt;&lt;wsp:rsid wsp:val=&quot;00996206&quot;/&gt;&lt;wsp:rsid wsp:val=&quot;00996776&quot;/&gt;&lt;wsp:rsid wsp:val=&quot;0099694C&quot;/&gt;&lt;wsp:rsid wsp:val=&quot;00996DAF&quot;/&gt;&lt;wsp:rsid wsp:val=&quot;00996F2A&quot;/&gt;&lt;wsp:rsid wsp:val=&quot;009977A3&quot;/&gt;&lt;wsp:rsid wsp:val=&quot;009977FF&quot;/&gt;&lt;wsp:rsid wsp:val=&quot;00997A7C&quot;/&gt;&lt;wsp:rsid wsp:val=&quot;00997B95&quot;/&gt;&lt;wsp:rsid wsp:val=&quot;00997EF0&quot;/&gt;&lt;wsp:rsid wsp:val=&quot;009A0392&quot;/&gt;&lt;wsp:rsid wsp:val=&quot;009A05F9&quot;/&gt;&lt;wsp:rsid wsp:val=&quot;009A0744&quot;/&gt;&lt;wsp:rsid wsp:val=&quot;009A085C&quot;/&gt;&lt;wsp:rsid wsp:val=&quot;009A0DFD&quot;/&gt;&lt;wsp:rsid wsp:val=&quot;009A1527&quot;/&gt;&lt;wsp:rsid wsp:val=&quot;009A15B4&quot;/&gt;&lt;wsp:rsid wsp:val=&quot;009A1FA7&quot;/&gt;&lt;wsp:rsid wsp:val=&quot;009A3B38&quot;/&gt;&lt;wsp:rsid wsp:val=&quot;009A3D3E&quot;/&gt;&lt;wsp:rsid wsp:val=&quot;009A415E&quot;/&gt;&lt;wsp:rsid wsp:val=&quot;009A4F9E&quot;/&gt;&lt;wsp:rsid wsp:val=&quot;009A600D&quot;/&gt;&lt;wsp:rsid wsp:val=&quot;009A6DBD&quot;/&gt;&lt;wsp:rsid wsp:val=&quot;009A70B0&quot;/&gt;&lt;wsp:rsid wsp:val=&quot;009A7253&quot;/&gt;&lt;wsp:rsid wsp:val=&quot;009A75D5&quot;/&gt;&lt;wsp:rsid wsp:val=&quot;009B0148&quot;/&gt;&lt;wsp:rsid wsp:val=&quot;009B0256&quot;/&gt;&lt;wsp:rsid wsp:val=&quot;009B0B53&quot;/&gt;&lt;wsp:rsid wsp:val=&quot;009B1D72&quot;/&gt;&lt;wsp:rsid wsp:val=&quot;009B219A&quot;/&gt;&lt;wsp:rsid wsp:val=&quot;009B23D1&quot;/&gt;&lt;wsp:rsid wsp:val=&quot;009B25BA&quot;/&gt;&lt;wsp:rsid wsp:val=&quot;009B2CBC&quot;/&gt;&lt;wsp:rsid wsp:val=&quot;009B34F3&quot;/&gt;&lt;wsp:rsid wsp:val=&quot;009B3586&quot;/&gt;&lt;wsp:rsid wsp:val=&quot;009B36C1&quot;/&gt;&lt;wsp:rsid wsp:val=&quot;009B3A6B&quot;/&gt;&lt;wsp:rsid wsp:val=&quot;009B3B04&quot;/&gt;&lt;wsp:rsid wsp:val=&quot;009B4058&quot;/&gt;&lt;wsp:rsid wsp:val=&quot;009B4151&quot;/&gt;&lt;wsp:rsid wsp:val=&quot;009B486D&quot;/&gt;&lt;wsp:rsid wsp:val=&quot;009B5419&quot;/&gt;&lt;wsp:rsid wsp:val=&quot;009B5A45&quot;/&gt;&lt;wsp:rsid wsp:val=&quot;009B5CEC&quot;/&gt;&lt;wsp:rsid wsp:val=&quot;009B5E7B&quot;/&gt;&lt;wsp:rsid wsp:val=&quot;009B6284&quot;/&gt;&lt;wsp:rsid wsp:val=&quot;009B62F1&quot;/&gt;&lt;wsp:rsid wsp:val=&quot;009B635B&quot;/&gt;&lt;wsp:rsid wsp:val=&quot;009B6736&quot;/&gt;&lt;wsp:rsid wsp:val=&quot;009B72C6&quot;/&gt;&lt;wsp:rsid wsp:val=&quot;009B77F9&quot;/&gt;&lt;wsp:rsid wsp:val=&quot;009C0001&quot;/&gt;&lt;wsp:rsid wsp:val=&quot;009C05D9&quot;/&gt;&lt;wsp:rsid wsp:val=&quot;009C0908&quot;/&gt;&lt;wsp:rsid wsp:val=&quot;009C2034&quot;/&gt;&lt;wsp:rsid wsp:val=&quot;009C223C&quot;/&gt;&lt;wsp:rsid wsp:val=&quot;009C2535&quot;/&gt;&lt;wsp:rsid wsp:val=&quot;009C25E1&quot;/&gt;&lt;wsp:rsid wsp:val=&quot;009C3171&quot;/&gt;&lt;wsp:rsid wsp:val=&quot;009C352A&quot;/&gt;&lt;wsp:rsid wsp:val=&quot;009C37A2&quot;/&gt;&lt;wsp:rsid wsp:val=&quot;009C38BB&quot;/&gt;&lt;wsp:rsid wsp:val=&quot;009C40D5&quot;/&gt;&lt;wsp:rsid wsp:val=&quot;009C44D1&quot;/&gt;&lt;wsp:rsid wsp:val=&quot;009C46B5&quot;/&gt;&lt;wsp:rsid wsp:val=&quot;009C49B3&quot;/&gt;&lt;wsp:rsid wsp:val=&quot;009C4E01&quot;/&gt;&lt;wsp:rsid wsp:val=&quot;009C5B7D&quot;/&gt;&lt;wsp:rsid wsp:val=&quot;009C5CD8&quot;/&gt;&lt;wsp:rsid wsp:val=&quot;009C5F1A&quot;/&gt;&lt;wsp:rsid wsp:val=&quot;009C5FFE&quot;/&gt;&lt;wsp:rsid wsp:val=&quot;009C6859&quot;/&gt;&lt;wsp:rsid wsp:val=&quot;009C6865&quot;/&gt;&lt;wsp:rsid wsp:val=&quot;009C6B03&quot;/&gt;&lt;wsp:rsid wsp:val=&quot;009C6BC8&quot;/&gt;&lt;wsp:rsid wsp:val=&quot;009C71F3&quot;/&gt;&lt;wsp:rsid wsp:val=&quot;009C74E2&quot;/&gt;&lt;wsp:rsid wsp:val=&quot;009C7E5E&quot;/&gt;&lt;wsp:rsid wsp:val=&quot;009D0152&quot;/&gt;&lt;wsp:rsid wsp:val=&quot;009D02BF&quot;/&gt;&lt;wsp:rsid wsp:val=&quot;009D0881&quot;/&gt;&lt;wsp:rsid wsp:val=&quot;009D09B7&quot;/&gt;&lt;wsp:rsid wsp:val=&quot;009D1C54&quot;/&gt;&lt;wsp:rsid wsp:val=&quot;009D1DE4&quot;/&gt;&lt;wsp:rsid wsp:val=&quot;009D206F&quot;/&gt;&lt;wsp:rsid wsp:val=&quot;009D2143&quot;/&gt;&lt;wsp:rsid wsp:val=&quot;009D234F&quot;/&gt;&lt;wsp:rsid wsp:val=&quot;009D2CB8&quot;/&gt;&lt;wsp:rsid wsp:val=&quot;009D2F3D&quot;/&gt;&lt;wsp:rsid wsp:val=&quot;009D3910&quot;/&gt;&lt;wsp:rsid wsp:val=&quot;009D3C8E&quot;/&gt;&lt;wsp:rsid wsp:val=&quot;009D454E&quot;/&gt;&lt;wsp:rsid wsp:val=&quot;009D4965&quot;/&gt;&lt;wsp:rsid wsp:val=&quot;009D534B&quot;/&gt;&lt;wsp:rsid wsp:val=&quot;009D5742&quot;/&gt;&lt;wsp:rsid wsp:val=&quot;009D57AF&quot;/&gt;&lt;wsp:rsid wsp:val=&quot;009D60D8&quot;/&gt;&lt;wsp:rsid wsp:val=&quot;009D6331&quot;/&gt;&lt;wsp:rsid wsp:val=&quot;009D6F36&quot;/&gt;&lt;wsp:rsid wsp:val=&quot;009D721D&quot;/&gt;&lt;wsp:rsid wsp:val=&quot;009D7872&quot;/&gt;&lt;wsp:rsid wsp:val=&quot;009D79DA&quot;/&gt;&lt;wsp:rsid wsp:val=&quot;009D7CCB&quot;/&gt;&lt;wsp:rsid wsp:val=&quot;009D7DE1&quot;/&gt;&lt;wsp:rsid wsp:val=&quot;009E0875&quot;/&gt;&lt;wsp:rsid wsp:val=&quot;009E0E91&quot;/&gt;&lt;wsp:rsid wsp:val=&quot;009E0F14&quot;/&gt;&lt;wsp:rsid wsp:val=&quot;009E14F4&quot;/&gt;&lt;wsp:rsid wsp:val=&quot;009E1841&quot;/&gt;&lt;wsp:rsid wsp:val=&quot;009E1A0F&quot;/&gt;&lt;wsp:rsid wsp:val=&quot;009E1B42&quot;/&gt;&lt;wsp:rsid wsp:val=&quot;009E2171&quot;/&gt;&lt;wsp:rsid wsp:val=&quot;009E27C3&quot;/&gt;&lt;wsp:rsid wsp:val=&quot;009E29E7&quot;/&gt;&lt;wsp:rsid wsp:val=&quot;009E2B12&quot;/&gt;&lt;wsp:rsid wsp:val=&quot;009E2E70&quot;/&gt;&lt;wsp:rsid wsp:val=&quot;009E2F62&quot;/&gt;&lt;wsp:rsid wsp:val=&quot;009E3164&quot;/&gt;&lt;wsp:rsid wsp:val=&quot;009E3281&quot;/&gt;&lt;wsp:rsid wsp:val=&quot;009E4C05&quot;/&gt;&lt;wsp:rsid wsp:val=&quot;009E5AF3&quot;/&gt;&lt;wsp:rsid wsp:val=&quot;009E5BA6&quot;/&gt;&lt;wsp:rsid wsp:val=&quot;009E5F4E&quot;/&gt;&lt;wsp:rsid wsp:val=&quot;009E60A9&quot;/&gt;&lt;wsp:rsid wsp:val=&quot;009E63F6&quot;/&gt;&lt;wsp:rsid wsp:val=&quot;009E68A2&quot;/&gt;&lt;wsp:rsid wsp:val=&quot;009E6D12&quot;/&gt;&lt;wsp:rsid wsp:val=&quot;009E74FE&quot;/&gt;&lt;wsp:rsid wsp:val=&quot;009E7BCB&quot;/&gt;&lt;wsp:rsid wsp:val=&quot;009E7CB7&quot;/&gt;&lt;wsp:rsid wsp:val=&quot;009E7FEF&quot;/&gt;&lt;wsp:rsid wsp:val=&quot;009F01A1&quot;/&gt;&lt;wsp:rsid wsp:val=&quot;009F09C1&quot;/&gt;&lt;wsp:rsid wsp:val=&quot;009F13AD&quot;/&gt;&lt;wsp:rsid wsp:val=&quot;009F1440&quot;/&gt;&lt;wsp:rsid wsp:val=&quot;009F1690&quot;/&gt;&lt;wsp:rsid wsp:val=&quot;009F1E01&quot;/&gt;&lt;wsp:rsid wsp:val=&quot;009F1E29&quot;/&gt;&lt;wsp:rsid wsp:val=&quot;009F2045&quot;/&gt;&lt;wsp:rsid wsp:val=&quot;009F2640&quot;/&gt;&lt;wsp:rsid wsp:val=&quot;009F2A13&quot;/&gt;&lt;wsp:rsid wsp:val=&quot;009F3152&quot;/&gt;&lt;wsp:rsid wsp:val=&quot;009F32C9&quot;/&gt;&lt;wsp:rsid wsp:val=&quot;009F37F9&quot;/&gt;&lt;wsp:rsid wsp:val=&quot;009F48EF&quot;/&gt;&lt;wsp:rsid wsp:val=&quot;009F50CB&quot;/&gt;&lt;wsp:rsid wsp:val=&quot;009F5B5A&quot;/&gt;&lt;wsp:rsid wsp:val=&quot;009F5EA9&quot;/&gt;&lt;wsp:rsid wsp:val=&quot;009F5FEC&quot;/&gt;&lt;wsp:rsid wsp:val=&quot;009F6E5C&quot;/&gt;&lt;wsp:rsid wsp:val=&quot;00A00280&quot;/&gt;&lt;wsp:rsid wsp:val=&quot;00A006D2&quot;/&gt;&lt;wsp:rsid wsp:val=&quot;00A00AC6&quot;/&gt;&lt;wsp:rsid wsp:val=&quot;00A00B1F&quot;/&gt;&lt;wsp:rsid wsp:val=&quot;00A0106C&quot;/&gt;&lt;wsp:rsid wsp:val=&quot;00A01089&quot;/&gt;&lt;wsp:rsid wsp:val=&quot;00A0171A&quot;/&gt;&lt;wsp:rsid wsp:val=&quot;00A017AD&quot;/&gt;&lt;wsp:rsid wsp:val=&quot;00A0191A&quot;/&gt;&lt;wsp:rsid wsp:val=&quot;00A01BA2&quot;/&gt;&lt;wsp:rsid wsp:val=&quot;00A01C8A&quot;/&gt;&lt;wsp:rsid wsp:val=&quot;00A01E5D&quot;/&gt;&lt;wsp:rsid wsp:val=&quot;00A0266C&quot;/&gt;&lt;wsp:rsid wsp:val=&quot;00A02737&quot;/&gt;&lt;wsp:rsid wsp:val=&quot;00A02FB6&quot;/&gt;&lt;wsp:rsid wsp:val=&quot;00A031E4&quot;/&gt;&lt;wsp:rsid wsp:val=&quot;00A0328F&quot;/&gt;&lt;wsp:rsid wsp:val=&quot;00A03EC1&quot;/&gt;&lt;wsp:rsid wsp:val=&quot;00A04221&quot;/&gt;&lt;wsp:rsid wsp:val=&quot;00A054A5&quot;/&gt;&lt;wsp:rsid wsp:val=&quot;00A05A39&quot;/&gt;&lt;wsp:rsid wsp:val=&quot;00A05C5A&quot;/&gt;&lt;wsp:rsid wsp:val=&quot;00A05EB5&quot;/&gt;&lt;wsp:rsid wsp:val=&quot;00A05FE9&quot;/&gt;&lt;wsp:rsid wsp:val=&quot;00A06D09&quot;/&gt;&lt;wsp:rsid wsp:val=&quot;00A06F66&quot;/&gt;&lt;wsp:rsid wsp:val=&quot;00A07310&quot;/&gt;&lt;wsp:rsid wsp:val=&quot;00A07C6A&quot;/&gt;&lt;wsp:rsid wsp:val=&quot;00A10992&quot;/&gt;&lt;wsp:rsid wsp:val=&quot;00A10E3A&quot;/&gt;&lt;wsp:rsid wsp:val=&quot;00A11129&quot;/&gt;&lt;wsp:rsid wsp:val=&quot;00A11516&quot;/&gt;&lt;wsp:rsid wsp:val=&quot;00A120D8&quot;/&gt;&lt;wsp:rsid wsp:val=&quot;00A12128&quot;/&gt;&lt;wsp:rsid wsp:val=&quot;00A1292B&quot;/&gt;&lt;wsp:rsid wsp:val=&quot;00A12A2F&quot;/&gt;&lt;wsp:rsid wsp:val=&quot;00A12BA9&quot;/&gt;&lt;wsp:rsid wsp:val=&quot;00A12E62&quot;/&gt;&lt;wsp:rsid wsp:val=&quot;00A13863&quot;/&gt;&lt;wsp:rsid wsp:val=&quot;00A13A1A&quot;/&gt;&lt;wsp:rsid wsp:val=&quot;00A13CC2&quot;/&gt;&lt;wsp:rsid wsp:val=&quot;00A1460C&quot;/&gt;&lt;wsp:rsid wsp:val=&quot;00A1461C&quot;/&gt;&lt;wsp:rsid wsp:val=&quot;00A14B43&quot;/&gt;&lt;wsp:rsid wsp:val=&quot;00A15083&quot;/&gt;&lt;wsp:rsid wsp:val=&quot;00A156EA&quot;/&gt;&lt;wsp:rsid wsp:val=&quot;00A157DC&quot;/&gt;&lt;wsp:rsid wsp:val=&quot;00A1607D&quot;/&gt;&lt;wsp:rsid wsp:val=&quot;00A161CD&quot;/&gt;&lt;wsp:rsid wsp:val=&quot;00A1684D&quot;/&gt;&lt;wsp:rsid wsp:val=&quot;00A16D9B&quot;/&gt;&lt;wsp:rsid wsp:val=&quot;00A175A1&quot;/&gt;&lt;wsp:rsid wsp:val=&quot;00A2171E&quot;/&gt;&lt;wsp:rsid wsp:val=&quot;00A21BFA&quot;/&gt;&lt;wsp:rsid wsp:val=&quot;00A21D21&quot;/&gt;&lt;wsp:rsid wsp:val=&quot;00A22618&quot;/&gt;&lt;wsp:rsid wsp:val=&quot;00A23157&quot;/&gt;&lt;wsp:rsid wsp:val=&quot;00A232E9&quot;/&gt;&lt;wsp:rsid wsp:val=&quot;00A23632&quot;/&gt;&lt;wsp:rsid wsp:val=&quot;00A23702&quot;/&gt;&lt;wsp:rsid wsp:val=&quot;00A238E4&quot;/&gt;&lt;wsp:rsid wsp:val=&quot;00A23F79&quot;/&gt;&lt;wsp:rsid wsp:val=&quot;00A2413B&quot;/&gt;&lt;wsp:rsid wsp:val=&quot;00A24844&quot;/&gt;&lt;wsp:rsid wsp:val=&quot;00A24A14&quot;/&gt;&lt;wsp:rsid wsp:val=&quot;00A24B41&quot;/&gt;&lt;wsp:rsid wsp:val=&quot;00A25121&quot;/&gt;&lt;wsp:rsid wsp:val=&quot;00A252F6&quot;/&gt;&lt;wsp:rsid wsp:val=&quot;00A25312&quot;/&gt;&lt;wsp:rsid wsp:val=&quot;00A25D3F&quot;/&gt;&lt;wsp:rsid wsp:val=&quot;00A2626F&quot;/&gt;&lt;wsp:rsid wsp:val=&quot;00A26B6F&quot;/&gt;&lt;wsp:rsid wsp:val=&quot;00A26ED2&quot;/&gt;&lt;wsp:rsid wsp:val=&quot;00A27220&quot;/&gt;&lt;wsp:rsid wsp:val=&quot;00A27791&quot;/&gt;&lt;wsp:rsid wsp:val=&quot;00A27B5D&quot;/&gt;&lt;wsp:rsid wsp:val=&quot;00A30058&quot;/&gt;&lt;wsp:rsid wsp:val=&quot;00A3027B&quot;/&gt;&lt;wsp:rsid wsp:val=&quot;00A3074F&quot;/&gt;&lt;wsp:rsid wsp:val=&quot;00A3096E&quot;/&gt;&lt;wsp:rsid wsp:val=&quot;00A30D07&quot;/&gt;&lt;wsp:rsid wsp:val=&quot;00A31023&quot;/&gt;&lt;wsp:rsid wsp:val=&quot;00A32944&quot;/&gt;&lt;wsp:rsid wsp:val=&quot;00A33138&quot;/&gt;&lt;wsp:rsid wsp:val=&quot;00A33890&quot;/&gt;&lt;wsp:rsid wsp:val=&quot;00A338AF&quot;/&gt;&lt;wsp:rsid wsp:val=&quot;00A3438F&quot;/&gt;&lt;wsp:rsid wsp:val=&quot;00A346B9&quot;/&gt;&lt;wsp:rsid wsp:val=&quot;00A34858&quot;/&gt;&lt;wsp:rsid wsp:val=&quot;00A34B03&quot;/&gt;&lt;wsp:rsid wsp:val=&quot;00A34BF9&quot;/&gt;&lt;wsp:rsid wsp:val=&quot;00A3521F&quot;/&gt;&lt;wsp:rsid wsp:val=&quot;00A352B3&quot;/&gt;&lt;wsp:rsid wsp:val=&quot;00A3544B&quot;/&gt;&lt;wsp:rsid wsp:val=&quot;00A35719&quot;/&gt;&lt;wsp:rsid wsp:val=&quot;00A370D5&quot;/&gt;&lt;wsp:rsid wsp:val=&quot;00A37A13&quot;/&gt;&lt;wsp:rsid wsp:val=&quot;00A40530&quot;/&gt;&lt;wsp:rsid wsp:val=&quot;00A40599&quot;/&gt;&lt;wsp:rsid wsp:val=&quot;00A410B9&quot;/&gt;&lt;wsp:rsid wsp:val=&quot;00A41506&quot;/&gt;&lt;wsp:rsid wsp:val=&quot;00A42015&quot;/&gt;&lt;wsp:rsid wsp:val=&quot;00A42236&quot;/&gt;&lt;wsp:rsid wsp:val=&quot;00A427EC&quot;/&gt;&lt;wsp:rsid wsp:val=&quot;00A436CC&quot;/&gt;&lt;wsp:rsid wsp:val=&quot;00A43937&quot;/&gt;&lt;wsp:rsid wsp:val=&quot;00A43A9E&quot;/&gt;&lt;wsp:rsid wsp:val=&quot;00A442BB&quot;/&gt;&lt;wsp:rsid wsp:val=&quot;00A44564&quot;/&gt;&lt;wsp:rsid wsp:val=&quot;00A44A63&quot;/&gt;&lt;wsp:rsid wsp:val=&quot;00A45363&quot;/&gt;&lt;wsp:rsid wsp:val=&quot;00A45E40&quot;/&gt;&lt;wsp:rsid wsp:val=&quot;00A45EF2&quot;/&gt;&lt;wsp:rsid wsp:val=&quot;00A45FB4&quot;/&gt;&lt;wsp:rsid wsp:val=&quot;00A464DC&quot;/&gt;&lt;wsp:rsid wsp:val=&quot;00A465F5&quot;/&gt;&lt;wsp:rsid wsp:val=&quot;00A46913&quot;/&gt;&lt;wsp:rsid wsp:val=&quot;00A46F22&quot;/&gt;&lt;wsp:rsid wsp:val=&quot;00A47ED7&quot;/&gt;&lt;wsp:rsid wsp:val=&quot;00A50086&quot;/&gt;&lt;wsp:rsid wsp:val=&quot;00A50090&quot;/&gt;&lt;wsp:rsid wsp:val=&quot;00A50132&quot;/&gt;&lt;wsp:rsid wsp:val=&quot;00A50523&quot;/&gt;&lt;wsp:rsid wsp:val=&quot;00A505C7&quot;/&gt;&lt;wsp:rsid wsp:val=&quot;00A50B37&quot;/&gt;&lt;wsp:rsid wsp:val=&quot;00A51217&quot;/&gt;&lt;wsp:rsid wsp:val=&quot;00A516C9&quot;/&gt;&lt;wsp:rsid wsp:val=&quot;00A51844&quot;/&gt;&lt;wsp:rsid wsp:val=&quot;00A5184B&quot;/&gt;&lt;wsp:rsid wsp:val=&quot;00A51AC8&quot;/&gt;&lt;wsp:rsid wsp:val=&quot;00A52880&quot;/&gt;&lt;wsp:rsid wsp:val=&quot;00A53296&quot;/&gt;&lt;wsp:rsid wsp:val=&quot;00A53477&quot;/&gt;&lt;wsp:rsid wsp:val=&quot;00A53714&quot;/&gt;&lt;wsp:rsid wsp:val=&quot;00A5410D&quot;/&gt;&lt;wsp:rsid wsp:val=&quot;00A546A5&quot;/&gt;&lt;wsp:rsid wsp:val=&quot;00A54A61&quot;/&gt;&lt;wsp:rsid wsp:val=&quot;00A54B64&quot;/&gt;&lt;wsp:rsid wsp:val=&quot;00A54D1C&quot;/&gt;&lt;wsp:rsid wsp:val=&quot;00A54F06&quot;/&gt;&lt;wsp:rsid wsp:val=&quot;00A55A11&quot;/&gt;&lt;wsp:rsid wsp:val=&quot;00A55F64&quot;/&gt;&lt;wsp:rsid wsp:val=&quot;00A573CF&quot;/&gt;&lt;wsp:rsid wsp:val=&quot;00A60C05&quot;/&gt;&lt;wsp:rsid wsp:val=&quot;00A60CF0&quot;/&gt;&lt;wsp:rsid wsp:val=&quot;00A610E3&quot;/&gt;&lt;wsp:rsid wsp:val=&quot;00A614CA&quot;/&gt;&lt;wsp:rsid wsp:val=&quot;00A617DF&quot;/&gt;&lt;wsp:rsid wsp:val=&quot;00A61821&quot;/&gt;&lt;wsp:rsid wsp:val=&quot;00A61B3C&quot;/&gt;&lt;wsp:rsid wsp:val=&quot;00A61E74&quot;/&gt;&lt;wsp:rsid wsp:val=&quot;00A62438&quot;/&gt;&lt;wsp:rsid wsp:val=&quot;00A6274B&quot;/&gt;&lt;wsp:rsid wsp:val=&quot;00A62925&quot;/&gt;&lt;wsp:rsid wsp:val=&quot;00A62BED&quot;/&gt;&lt;wsp:rsid wsp:val=&quot;00A6304B&quot;/&gt;&lt;wsp:rsid wsp:val=&quot;00A6343B&quot;/&gt;&lt;wsp:rsid wsp:val=&quot;00A640E9&quot;/&gt;&lt;wsp:rsid wsp:val=&quot;00A641F7&quot;/&gt;&lt;wsp:rsid wsp:val=&quot;00A64C69&quot;/&gt;&lt;wsp:rsid wsp:val=&quot;00A64F96&quot;/&gt;&lt;wsp:rsid wsp:val=&quot;00A65404&quot;/&gt;&lt;wsp:rsid wsp:val=&quot;00A6576E&quot;/&gt;&lt;wsp:rsid wsp:val=&quot;00A65EAD&quot;/&gt;&lt;wsp:rsid wsp:val=&quot;00A669FE&quot;/&gt;&lt;wsp:rsid wsp:val=&quot;00A670E8&quot;/&gt;&lt;wsp:rsid wsp:val=&quot;00A672B9&quot;/&gt;&lt;wsp:rsid wsp:val=&quot;00A709AA&quot;/&gt;&lt;wsp:rsid wsp:val=&quot;00A70AD5&quot;/&gt;&lt;wsp:rsid wsp:val=&quot;00A71E06&quot;/&gt;&lt;wsp:rsid wsp:val=&quot;00A71F91&quot;/&gt;&lt;wsp:rsid wsp:val=&quot;00A7273F&quot;/&gt;&lt;wsp:rsid wsp:val=&quot;00A72962&quot;/&gt;&lt;wsp:rsid wsp:val=&quot;00A72A20&quot;/&gt;&lt;wsp:rsid wsp:val=&quot;00A72AD5&quot;/&gt;&lt;wsp:rsid wsp:val=&quot;00A72E76&quot;/&gt;&lt;wsp:rsid wsp:val=&quot;00A72F35&quot;/&gt;&lt;wsp:rsid wsp:val=&quot;00A73127&quot;/&gt;&lt;wsp:rsid wsp:val=&quot;00A73DAE&quot;/&gt;&lt;wsp:rsid wsp:val=&quot;00A73EDB&quot;/&gt;&lt;wsp:rsid wsp:val=&quot;00A745AE&quot;/&gt;&lt;wsp:rsid wsp:val=&quot;00A7485E&quot;/&gt;&lt;wsp:rsid wsp:val=&quot;00A74B7B&quot;/&gt;&lt;wsp:rsid wsp:val=&quot;00A75925&quot;/&gt;&lt;wsp:rsid wsp:val=&quot;00A75FB1&quot;/&gt;&lt;wsp:rsid wsp:val=&quot;00A76686&quot;/&gt;&lt;wsp:rsid wsp:val=&quot;00A767F9&quot;/&gt;&lt;wsp:rsid wsp:val=&quot;00A76B01&quot;/&gt;&lt;wsp:rsid wsp:val=&quot;00A76F52&quot;/&gt;&lt;wsp:rsid wsp:val=&quot;00A77338&quot;/&gt;&lt;wsp:rsid wsp:val=&quot;00A80615&quot;/&gt;&lt;wsp:rsid wsp:val=&quot;00A81067&quot;/&gt;&lt;wsp:rsid wsp:val=&quot;00A8110B&quot;/&gt;&lt;wsp:rsid wsp:val=&quot;00A81173&quot;/&gt;&lt;wsp:rsid wsp:val=&quot;00A819CD&quot;/&gt;&lt;wsp:rsid wsp:val=&quot;00A81E7F&quot;/&gt;&lt;wsp:rsid wsp:val=&quot;00A83966&quot;/&gt;&lt;wsp:rsid wsp:val=&quot;00A84A6E&quot;/&gt;&lt;wsp:rsid wsp:val=&quot;00A8569D&quot;/&gt;&lt;wsp:rsid wsp:val=&quot;00A85926&quot;/&gt;&lt;wsp:rsid wsp:val=&quot;00A86D92&quot;/&gt;&lt;wsp:rsid wsp:val=&quot;00A86E09&quot;/&gt;&lt;wsp:rsid wsp:val=&quot;00A87868&quot;/&gt;&lt;wsp:rsid wsp:val=&quot;00A900E5&quot;/&gt;&lt;wsp:rsid wsp:val=&quot;00A909CA&quot;/&gt;&lt;wsp:rsid wsp:val=&quot;00A90BEC&quot;/&gt;&lt;wsp:rsid wsp:val=&quot;00A915C9&quot;/&gt;&lt;wsp:rsid wsp:val=&quot;00A91CE2&quot;/&gt;&lt;wsp:rsid wsp:val=&quot;00A9224F&quot;/&gt;&lt;wsp:rsid wsp:val=&quot;00A92446&quot;/&gt;&lt;wsp:rsid wsp:val=&quot;00A92B89&quot;/&gt;&lt;wsp:rsid wsp:val=&quot;00A92C8E&quot;/&gt;&lt;wsp:rsid wsp:val=&quot;00A938DE&quot;/&gt;&lt;wsp:rsid wsp:val=&quot;00A9426F&quot;/&gt;&lt;wsp:rsid wsp:val=&quot;00A94954&quot;/&gt;&lt;wsp:rsid wsp:val=&quot;00A94A39&quot;/&gt;&lt;wsp:rsid wsp:val=&quot;00A94AB4&quot;/&gt;&lt;wsp:rsid wsp:val=&quot;00A952BA&quot;/&gt;&lt;wsp:rsid wsp:val=&quot;00A955FF&quot;/&gt;&lt;wsp:rsid wsp:val=&quot;00A95692&quot;/&gt;&lt;wsp:rsid wsp:val=&quot;00A956B6&quot;/&gt;&lt;wsp:rsid wsp:val=&quot;00A9684A&quot;/&gt;&lt;wsp:rsid wsp:val=&quot;00A96920&quot;/&gt;&lt;wsp:rsid wsp:val=&quot;00A96C70&quot;/&gt;&lt;wsp:rsid wsp:val=&quot;00A97AA9&quot;/&gt;&lt;wsp:rsid wsp:val=&quot;00A97C80&quot;/&gt;&lt;wsp:rsid wsp:val=&quot;00A97D03&quot;/&gt;&lt;wsp:rsid wsp:val=&quot;00AA0089&quot;/&gt;&lt;wsp:rsid wsp:val=&quot;00AA08DE&quot;/&gt;&lt;wsp:rsid wsp:val=&quot;00AA0C1A&quot;/&gt;&lt;wsp:rsid wsp:val=&quot;00AA0EF6&quot;/&gt;&lt;wsp:rsid wsp:val=&quot;00AA15A6&quot;/&gt;&lt;wsp:rsid wsp:val=&quot;00AA17C1&quot;/&gt;&lt;wsp:rsid wsp:val=&quot;00AA1BC5&quot;/&gt;&lt;wsp:rsid wsp:val=&quot;00AA2C9F&quot;/&gt;&lt;wsp:rsid wsp:val=&quot;00AA2F57&quot;/&gt;&lt;wsp:rsid wsp:val=&quot;00AA2F77&quot;/&gt;&lt;wsp:rsid wsp:val=&quot;00AA36A7&quot;/&gt;&lt;wsp:rsid wsp:val=&quot;00AA38D9&quot;/&gt;&lt;wsp:rsid wsp:val=&quot;00AA3905&quot;/&gt;&lt;wsp:rsid wsp:val=&quot;00AA39AA&quot;/&gt;&lt;wsp:rsid wsp:val=&quot;00AA3D0B&quot;/&gt;&lt;wsp:rsid wsp:val=&quot;00AA40FD&quot;/&gt;&lt;wsp:rsid wsp:val=&quot;00AA45F5&quot;/&gt;&lt;wsp:rsid wsp:val=&quot;00AA48F3&quot;/&gt;&lt;wsp:rsid wsp:val=&quot;00AA4DE8&quot;/&gt;&lt;wsp:rsid wsp:val=&quot;00AA53F2&quot;/&gt;&lt;wsp:rsid wsp:val=&quot;00AA565B&quot;/&gt;&lt;wsp:rsid wsp:val=&quot;00AA56AA&quot;/&gt;&lt;wsp:rsid wsp:val=&quot;00AA5A12&quot;/&gt;&lt;wsp:rsid wsp:val=&quot;00AA5DFC&quot;/&gt;&lt;wsp:rsid wsp:val=&quot;00AA73A9&quot;/&gt;&lt;wsp:rsid wsp:val=&quot;00AA775E&quot;/&gt;&lt;wsp:rsid wsp:val=&quot;00AA7871&quot;/&gt;&lt;wsp:rsid wsp:val=&quot;00AA78EC&quot;/&gt;&lt;wsp:rsid wsp:val=&quot;00AA7C8A&quot;/&gt;&lt;wsp:rsid wsp:val=&quot;00AA7F5A&quot;/&gt;&lt;wsp:rsid wsp:val=&quot;00AB01E2&quot;/&gt;&lt;wsp:rsid wsp:val=&quot;00AB10FD&quot;/&gt;&lt;wsp:rsid wsp:val=&quot;00AB1562&quot;/&gt;&lt;wsp:rsid wsp:val=&quot;00AB16D1&quot;/&gt;&lt;wsp:rsid wsp:val=&quot;00AB16D8&quot;/&gt;&lt;wsp:rsid wsp:val=&quot;00AB1E50&quot;/&gt;&lt;wsp:rsid wsp:val=&quot;00AB2350&quot;/&gt;&lt;wsp:rsid wsp:val=&quot;00AB2650&quot;/&gt;&lt;wsp:rsid wsp:val=&quot;00AB2A2F&quot;/&gt;&lt;wsp:rsid wsp:val=&quot;00AB39A0&quot;/&gt;&lt;wsp:rsid wsp:val=&quot;00AB3AC8&quot;/&gt;&lt;wsp:rsid wsp:val=&quot;00AB422B&quot;/&gt;&lt;wsp:rsid wsp:val=&quot;00AB4E25&quot;/&gt;&lt;wsp:rsid wsp:val=&quot;00AB56B9&quot;/&gt;&lt;wsp:rsid wsp:val=&quot;00AB58D8&quot;/&gt;&lt;wsp:rsid wsp:val=&quot;00AB592F&quot;/&gt;&lt;wsp:rsid wsp:val=&quot;00AB5B7B&quot;/&gt;&lt;wsp:rsid wsp:val=&quot;00AB6060&quot;/&gt;&lt;wsp:rsid wsp:val=&quot;00AB61B5&quot;/&gt;&lt;wsp:rsid wsp:val=&quot;00AB6433&quot;/&gt;&lt;wsp:rsid wsp:val=&quot;00AB64B1&quot;/&gt;&lt;wsp:rsid wsp:val=&quot;00AB66BD&quot;/&gt;&lt;wsp:rsid wsp:val=&quot;00AB7254&quot;/&gt;&lt;wsp:rsid wsp:val=&quot;00AB72E4&quot;/&gt;&lt;wsp:rsid wsp:val=&quot;00AB7327&quot;/&gt;&lt;wsp:rsid wsp:val=&quot;00AB75F1&quot;/&gt;&lt;wsp:rsid wsp:val=&quot;00AB78E8&quot;/&gt;&lt;wsp:rsid wsp:val=&quot;00AC0240&quot;/&gt;&lt;wsp:rsid wsp:val=&quot;00AC0731&quot;/&gt;&lt;wsp:rsid wsp:val=&quot;00AC096E&quot;/&gt;&lt;wsp:rsid wsp:val=&quot;00AC097D&quot;/&gt;&lt;wsp:rsid wsp:val=&quot;00AC0B1E&quot;/&gt;&lt;wsp:rsid wsp:val=&quot;00AC1938&quot;/&gt;&lt;wsp:rsid wsp:val=&quot;00AC194B&quot;/&gt;&lt;wsp:rsid wsp:val=&quot;00AC220C&quot;/&gt;&lt;wsp:rsid wsp:val=&quot;00AC2978&quot;/&gt;&lt;wsp:rsid wsp:val=&quot;00AC2EA8&quot;/&gt;&lt;wsp:rsid wsp:val=&quot;00AC2F87&quot;/&gt;&lt;wsp:rsid wsp:val=&quot;00AC3142&quot;/&gt;&lt;wsp:rsid wsp:val=&quot;00AC37DD&quot;/&gt;&lt;wsp:rsid wsp:val=&quot;00AC39E9&quot;/&gt;&lt;wsp:rsid wsp:val=&quot;00AC4072&quot;/&gt;&lt;wsp:rsid wsp:val=&quot;00AC44A3&quot;/&gt;&lt;wsp:rsid wsp:val=&quot;00AC4CD8&quot;/&gt;&lt;wsp:rsid wsp:val=&quot;00AC5586&quot;/&gt;&lt;wsp:rsid wsp:val=&quot;00AC55C7&quot;/&gt;&lt;wsp:rsid wsp:val=&quot;00AC5668&quot;/&gt;&lt;wsp:rsid wsp:val=&quot;00AC5767&quot;/&gt;&lt;wsp:rsid wsp:val=&quot;00AC5A87&quot;/&gt;&lt;wsp:rsid wsp:val=&quot;00AC60B3&quot;/&gt;&lt;wsp:rsid wsp:val=&quot;00AC6390&quot;/&gt;&lt;wsp:rsid wsp:val=&quot;00AC6405&quot;/&gt;&lt;wsp:rsid wsp:val=&quot;00AC6CB1&quot;/&gt;&lt;wsp:rsid wsp:val=&quot;00AC6DE4&quot;/&gt;&lt;wsp:rsid wsp:val=&quot;00AC7054&quot;/&gt;&lt;wsp:rsid wsp:val=&quot;00AC7611&quot;/&gt;&lt;wsp:rsid wsp:val=&quot;00AC7DB1&quot;/&gt;&lt;wsp:rsid wsp:val=&quot;00AD0B02&quot;/&gt;&lt;wsp:rsid wsp:val=&quot;00AD0B8D&quot;/&gt;&lt;wsp:rsid wsp:val=&quot;00AD12A2&quot;/&gt;&lt;wsp:rsid wsp:val=&quot;00AD1ABE&quot;/&gt;&lt;wsp:rsid wsp:val=&quot;00AD1E0A&quot;/&gt;&lt;wsp:rsid wsp:val=&quot;00AD2157&quot;/&gt;&lt;wsp:rsid wsp:val=&quot;00AD266A&quot;/&gt;&lt;wsp:rsid wsp:val=&quot;00AD39EF&quot;/&gt;&lt;wsp:rsid wsp:val=&quot;00AD415C&quot;/&gt;&lt;wsp:rsid wsp:val=&quot;00AD53AB&quot;/&gt;&lt;wsp:rsid wsp:val=&quot;00AD5641&quot;/&gt;&lt;wsp:rsid wsp:val=&quot;00AD5669&quot;/&gt;&lt;wsp:rsid wsp:val=&quot;00AD5FBA&quot;/&gt;&lt;wsp:rsid wsp:val=&quot;00AD62C6&quot;/&gt;&lt;wsp:rsid wsp:val=&quot;00AD6599&quot;/&gt;&lt;wsp:rsid wsp:val=&quot;00AD6A38&quot;/&gt;&lt;wsp:rsid wsp:val=&quot;00AD6ECC&quot;/&gt;&lt;wsp:rsid wsp:val=&quot;00AD7767&quot;/&gt;&lt;wsp:rsid wsp:val=&quot;00AD7895&quot;/&gt;&lt;wsp:rsid wsp:val=&quot;00AD7926&quot;/&gt;&lt;wsp:rsid wsp:val=&quot;00AD7FD2&quot;/&gt;&lt;wsp:rsid wsp:val=&quot;00AE0DEC&quot;/&gt;&lt;wsp:rsid wsp:val=&quot;00AE0F18&quot;/&gt;&lt;wsp:rsid wsp:val=&quot;00AE1612&quot;/&gt;&lt;wsp:rsid wsp:val=&quot;00AE19DA&quot;/&gt;&lt;wsp:rsid wsp:val=&quot;00AE1CB6&quot;/&gt;&lt;wsp:rsid wsp:val=&quot;00AE2640&quot;/&gt;&lt;wsp:rsid wsp:val=&quot;00AE2B5B&quot;/&gt;&lt;wsp:rsid wsp:val=&quot;00AE3B00&quot;/&gt;&lt;wsp:rsid wsp:val=&quot;00AE460C&quot;/&gt;&lt;wsp:rsid wsp:val=&quot;00AE493A&quot;/&gt;&lt;wsp:rsid wsp:val=&quot;00AE4D8A&quot;/&gt;&lt;wsp:rsid wsp:val=&quot;00AE511E&quot;/&gt;&lt;wsp:rsid wsp:val=&quot;00AE5761&quot;/&gt;&lt;wsp:rsid wsp:val=&quot;00AE5B60&quot;/&gt;&lt;wsp:rsid wsp:val=&quot;00AE61B5&quot;/&gt;&lt;wsp:rsid wsp:val=&quot;00AE70C5&quot;/&gt;&lt;wsp:rsid wsp:val=&quot;00AE77A5&quot;/&gt;&lt;wsp:rsid wsp:val=&quot;00AE7BBA&quot;/&gt;&lt;wsp:rsid wsp:val=&quot;00AE7C6A&quot;/&gt;&lt;wsp:rsid wsp:val=&quot;00AE7E5C&quot;/&gt;&lt;wsp:rsid wsp:val=&quot;00AF03A1&quot;/&gt;&lt;wsp:rsid wsp:val=&quot;00AF0935&quot;/&gt;&lt;wsp:rsid wsp:val=&quot;00AF11FE&quot;/&gt;&lt;wsp:rsid wsp:val=&quot;00AF1414&quot;/&gt;&lt;wsp:rsid wsp:val=&quot;00AF24B6&quot;/&gt;&lt;wsp:rsid wsp:val=&quot;00AF29C6&quot;/&gt;&lt;wsp:rsid wsp:val=&quot;00AF2ED5&quot;/&gt;&lt;wsp:rsid wsp:val=&quot;00AF3006&quot;/&gt;&lt;wsp:rsid wsp:val=&quot;00AF36D6&quot;/&gt;&lt;wsp:rsid wsp:val=&quot;00AF3729&quot;/&gt;&lt;wsp:rsid wsp:val=&quot;00AF3822&quot;/&gt;&lt;wsp:rsid wsp:val=&quot;00AF3CCC&quot;/&gt;&lt;wsp:rsid wsp:val=&quot;00AF5046&quot;/&gt;&lt;wsp:rsid wsp:val=&quot;00AF53ED&quot;/&gt;&lt;wsp:rsid wsp:val=&quot;00AF5570&quot;/&gt;&lt;wsp:rsid wsp:val=&quot;00AF5940&quot;/&gt;&lt;wsp:rsid wsp:val=&quot;00AF5D73&quot;/&gt;&lt;wsp:rsid wsp:val=&quot;00AF659B&quot;/&gt;&lt;wsp:rsid wsp:val=&quot;00AF6751&quot;/&gt;&lt;wsp:rsid wsp:val=&quot;00AF6A94&quot;/&gt;&lt;wsp:rsid wsp:val=&quot;00AF6C3E&quot;/&gt;&lt;wsp:rsid wsp:val=&quot;00AF719F&quot;/&gt;&lt;wsp:rsid wsp:val=&quot;00AF7969&quot;/&gt;&lt;wsp:rsid wsp:val=&quot;00AF7A9A&quot;/&gt;&lt;wsp:rsid wsp:val=&quot;00B0008F&quot;/&gt;&lt;wsp:rsid wsp:val=&quot;00B00B69&quot;/&gt;&lt;wsp:rsid wsp:val=&quot;00B00DD2&quot;/&gt;&lt;wsp:rsid wsp:val=&quot;00B011FE&quot;/&gt;&lt;wsp:rsid wsp:val=&quot;00B012DF&quot;/&gt;&lt;wsp:rsid wsp:val=&quot;00B01DD9&quot;/&gt;&lt;wsp:rsid wsp:val=&quot;00B0263B&quot;/&gt;&lt;wsp:rsid wsp:val=&quot;00B02836&quot;/&gt;&lt;wsp:rsid wsp:val=&quot;00B02FB7&quot;/&gt;&lt;wsp:rsid wsp:val=&quot;00B0329A&quot;/&gt;&lt;wsp:rsid wsp:val=&quot;00B032BD&quot;/&gt;&lt;wsp:rsid wsp:val=&quot;00B03769&quot;/&gt;&lt;wsp:rsid wsp:val=&quot;00B038A7&quot;/&gt;&lt;wsp:rsid wsp:val=&quot;00B03F72&quot;/&gt;&lt;wsp:rsid wsp:val=&quot;00B048B4&quot;/&gt;&lt;wsp:rsid wsp:val=&quot;00B04C9B&quot;/&gt;&lt;wsp:rsid wsp:val=&quot;00B05224&quot;/&gt;&lt;wsp:rsid wsp:val=&quot;00B053C7&quot;/&gt;&lt;wsp:rsid wsp:val=&quot;00B05CBB&quot;/&gt;&lt;wsp:rsid wsp:val=&quot;00B05CCA&quot;/&gt;&lt;wsp:rsid wsp:val=&quot;00B05EC4&quot;/&gt;&lt;wsp:rsid wsp:val=&quot;00B064FE&quot;/&gt;&lt;wsp:rsid wsp:val=&quot;00B06A27&quot;/&gt;&lt;wsp:rsid wsp:val=&quot;00B06F18&quot;/&gt;&lt;wsp:rsid wsp:val=&quot;00B0722F&quot;/&gt;&lt;wsp:rsid wsp:val=&quot;00B101A9&quot;/&gt;&lt;wsp:rsid wsp:val=&quot;00B101E2&quot;/&gt;&lt;wsp:rsid wsp:val=&quot;00B10636&quot;/&gt;&lt;wsp:rsid wsp:val=&quot;00B10884&quot;/&gt;&lt;wsp:rsid wsp:val=&quot;00B10AFA&quot;/&gt;&lt;wsp:rsid wsp:val=&quot;00B10B47&quot;/&gt;&lt;wsp:rsid wsp:val=&quot;00B10D74&quot;/&gt;&lt;wsp:rsid wsp:val=&quot;00B10DC1&quot;/&gt;&lt;wsp:rsid wsp:val=&quot;00B10E72&quot;/&gt;&lt;wsp:rsid wsp:val=&quot;00B1165D&quot;/&gt;&lt;wsp:rsid wsp:val=&quot;00B12B98&quot;/&gt;&lt;wsp:rsid wsp:val=&quot;00B12E26&quot;/&gt;&lt;wsp:rsid wsp:val=&quot;00B13EA3&quot;/&gt;&lt;wsp:rsid wsp:val=&quot;00B141D5&quot;/&gt;&lt;wsp:rsid wsp:val=&quot;00B14CAB&quot;/&gt;&lt;wsp:rsid wsp:val=&quot;00B14DAF&quot;/&gt;&lt;wsp:rsid wsp:val=&quot;00B1587D&quot;/&gt;&lt;wsp:rsid wsp:val=&quot;00B15C56&quot;/&gt;&lt;wsp:rsid wsp:val=&quot;00B15EDC&quot;/&gt;&lt;wsp:rsid wsp:val=&quot;00B1631B&quot;/&gt;&lt;wsp:rsid wsp:val=&quot;00B16462&quot;/&gt;&lt;wsp:rsid wsp:val=&quot;00B16955&quot;/&gt;&lt;wsp:rsid wsp:val=&quot;00B1755E&quot;/&gt;&lt;wsp:rsid wsp:val=&quot;00B1788A&quot;/&gt;&lt;wsp:rsid wsp:val=&quot;00B17D8D&quot;/&gt;&lt;wsp:rsid wsp:val=&quot;00B17E14&quot;/&gt;&lt;wsp:rsid wsp:val=&quot;00B20351&quot;/&gt;&lt;wsp:rsid wsp:val=&quot;00B20414&quot;/&gt;&lt;wsp:rsid wsp:val=&quot;00B207AF&quot;/&gt;&lt;wsp:rsid wsp:val=&quot;00B213CA&quot;/&gt;&lt;wsp:rsid wsp:val=&quot;00B222C6&quot;/&gt;&lt;wsp:rsid wsp:val=&quot;00B22773&quot;/&gt;&lt;wsp:rsid wsp:val=&quot;00B227FA&quot;/&gt;&lt;wsp:rsid wsp:val=&quot;00B2289D&quot;/&gt;&lt;wsp:rsid wsp:val=&quot;00B22A7E&quot;/&gt;&lt;wsp:rsid wsp:val=&quot;00B23922&quot;/&gt;&lt;wsp:rsid wsp:val=&quot;00B23B49&quot;/&gt;&lt;wsp:rsid wsp:val=&quot;00B23F08&quot;/&gt;&lt;wsp:rsid wsp:val=&quot;00B23FB5&quot;/&gt;&lt;wsp:rsid wsp:val=&quot;00B242DD&quot;/&gt;&lt;wsp:rsid wsp:val=&quot;00B245D2&quot;/&gt;&lt;wsp:rsid wsp:val=&quot;00B2487A&quot;/&gt;&lt;wsp:rsid wsp:val=&quot;00B24ACA&quot;/&gt;&lt;wsp:rsid wsp:val=&quot;00B24D4B&quot;/&gt;&lt;wsp:rsid wsp:val=&quot;00B2550E&quot;/&gt;&lt;wsp:rsid wsp:val=&quot;00B25784&quot;/&gt;&lt;wsp:rsid wsp:val=&quot;00B25E6D&quot;/&gt;&lt;wsp:rsid wsp:val=&quot;00B2615A&quot;/&gt;&lt;wsp:rsid wsp:val=&quot;00B261D8&quot;/&gt;&lt;wsp:rsid wsp:val=&quot;00B27132&quot;/&gt;&lt;wsp:rsid wsp:val=&quot;00B2778F&quot;/&gt;&lt;wsp:rsid wsp:val=&quot;00B30104&quot;/&gt;&lt;wsp:rsid wsp:val=&quot;00B30AFD&quot;/&gt;&lt;wsp:rsid wsp:val=&quot;00B30F98&quot;/&gt;&lt;wsp:rsid wsp:val=&quot;00B31085&quot;/&gt;&lt;wsp:rsid wsp:val=&quot;00B3125C&quot;/&gt;&lt;wsp:rsid wsp:val=&quot;00B31560&quot;/&gt;&lt;wsp:rsid wsp:val=&quot;00B32007&quot;/&gt;&lt;wsp:rsid wsp:val=&quot;00B321AC&quot;/&gt;&lt;wsp:rsid wsp:val=&quot;00B32781&quot;/&gt;&lt;wsp:rsid wsp:val=&quot;00B327D0&quot;/&gt;&lt;wsp:rsid wsp:val=&quot;00B33C07&quot;/&gt;&lt;wsp:rsid wsp:val=&quot;00B33FE0&quot;/&gt;&lt;wsp:rsid wsp:val=&quot;00B34EBC&quot;/&gt;&lt;wsp:rsid wsp:val=&quot;00B34EF5&quot;/&gt;&lt;wsp:rsid wsp:val=&quot;00B35042&quot;/&gt;&lt;wsp:rsid wsp:val=&quot;00B3519F&quot;/&gt;&lt;wsp:rsid wsp:val=&quot;00B3522B&quot;/&gt;&lt;wsp:rsid wsp:val=&quot;00B35C40&quot;/&gt;&lt;wsp:rsid wsp:val=&quot;00B35C50&quot;/&gt;&lt;wsp:rsid wsp:val=&quot;00B36147&quot;/&gt;&lt;wsp:rsid wsp:val=&quot;00B3621D&quot;/&gt;&lt;wsp:rsid wsp:val=&quot;00B36D34&quot;/&gt;&lt;wsp:rsid wsp:val=&quot;00B374CC&quot;/&gt;&lt;wsp:rsid wsp:val=&quot;00B37F7C&quot;/&gt;&lt;wsp:rsid wsp:val=&quot;00B40058&quot;/&gt;&lt;wsp:rsid wsp:val=&quot;00B40139&quot;/&gt;&lt;wsp:rsid wsp:val=&quot;00B40451&quot;/&gt;&lt;wsp:rsid wsp:val=&quot;00B40EAC&quot;/&gt;&lt;wsp:rsid wsp:val=&quot;00B40F7D&quot;/&gt;&lt;wsp:rsid wsp:val=&quot;00B40FEA&quot;/&gt;&lt;wsp:rsid wsp:val=&quot;00B41442&quot;/&gt;&lt;wsp:rsid wsp:val=&quot;00B4156D&quot;/&gt;&lt;wsp:rsid wsp:val=&quot;00B41752&quot;/&gt;&lt;wsp:rsid wsp:val=&quot;00B41BFC&quot;/&gt;&lt;wsp:rsid wsp:val=&quot;00B41D1B&quot;/&gt;&lt;wsp:rsid wsp:val=&quot;00B41D3F&quot;/&gt;&lt;wsp:rsid wsp:val=&quot;00B41EDE&quot;/&gt;&lt;wsp:rsid wsp:val=&quot;00B41FAA&quot;/&gt;&lt;wsp:rsid wsp:val=&quot;00B429D0&quot;/&gt;&lt;wsp:rsid wsp:val=&quot;00B42EE1&quot;/&gt;&lt;wsp:rsid wsp:val=&quot;00B432E4&quot;/&gt;&lt;wsp:rsid wsp:val=&quot;00B4397E&quot;/&gt;&lt;wsp:rsid wsp:val=&quot;00B43C48&quot;/&gt;&lt;wsp:rsid wsp:val=&quot;00B4438C&quot;/&gt;&lt;wsp:rsid wsp:val=&quot;00B44824&quot;/&gt;&lt;wsp:rsid wsp:val=&quot;00B449BB&quot;/&gt;&lt;wsp:rsid wsp:val=&quot;00B4610B&quot;/&gt;&lt;wsp:rsid wsp:val=&quot;00B465F5&quot;/&gt;&lt;wsp:rsid wsp:val=&quot;00B467E1&quot;/&gt;&lt;wsp:rsid wsp:val=&quot;00B46A29&quot;/&gt;&lt;wsp:rsid wsp:val=&quot;00B46B89&quot;/&gt;&lt;wsp:rsid wsp:val=&quot;00B46CFD&quot;/&gt;&lt;wsp:rsid wsp:val=&quot;00B46DB9&quot;/&gt;&lt;wsp:rsid wsp:val=&quot;00B46ECC&quot;/&gt;&lt;wsp:rsid wsp:val=&quot;00B46FAC&quot;/&gt;&lt;wsp:rsid wsp:val=&quot;00B470A4&quot;/&gt;&lt;wsp:rsid wsp:val=&quot;00B47CEE&quot;/&gt;&lt;wsp:rsid wsp:val=&quot;00B47CF4&quot;/&gt;&lt;wsp:rsid wsp:val=&quot;00B47F84&quot;/&gt;&lt;wsp:rsid wsp:val=&quot;00B501DB&quot;/&gt;&lt;wsp:rsid wsp:val=&quot;00B5047D&quot;/&gt;&lt;wsp:rsid wsp:val=&quot;00B504C3&quot;/&gt;&lt;wsp:rsid wsp:val=&quot;00B50991&quot;/&gt;&lt;wsp:rsid wsp:val=&quot;00B50D15&quot;/&gt;&lt;wsp:rsid wsp:val=&quot;00B50F24&quot;/&gt;&lt;wsp:rsid wsp:val=&quot;00B51198&quot;/&gt;&lt;wsp:rsid wsp:val=&quot;00B51239&quot;/&gt;&lt;wsp:rsid wsp:val=&quot;00B5128B&quot;/&gt;&lt;wsp:rsid wsp:val=&quot;00B513D7&quot;/&gt;&lt;wsp:rsid wsp:val=&quot;00B51928&quot;/&gt;&lt;wsp:rsid wsp:val=&quot;00B52FB7&quot;/&gt;&lt;wsp:rsid wsp:val=&quot;00B53084&quot;/&gt;&lt;wsp:rsid wsp:val=&quot;00B53D8E&quot;/&gt;&lt;wsp:rsid wsp:val=&quot;00B54A20&quot;/&gt;&lt;wsp:rsid wsp:val=&quot;00B54B19&quot;/&gt;&lt;wsp:rsid wsp:val=&quot;00B55669&quot;/&gt;&lt;wsp:rsid wsp:val=&quot;00B556CA&quot;/&gt;&lt;wsp:rsid wsp:val=&quot;00B558A3&quot;/&gt;&lt;wsp:rsid wsp:val=&quot;00B558BC&quot;/&gt;&lt;wsp:rsid wsp:val=&quot;00B55A7F&quot;/&gt;&lt;wsp:rsid wsp:val=&quot;00B55D7F&quot;/&gt;&lt;wsp:rsid wsp:val=&quot;00B55E88&quot;/&gt;&lt;wsp:rsid wsp:val=&quot;00B55E91&quot;/&gt;&lt;wsp:rsid wsp:val=&quot;00B56300&quot;/&gt;&lt;wsp:rsid wsp:val=&quot;00B568D1&quot;/&gt;&lt;wsp:rsid wsp:val=&quot;00B56A73&quot;/&gt;&lt;wsp:rsid wsp:val=&quot;00B56C40&quot;/&gt;&lt;wsp:rsid wsp:val=&quot;00B56D2B&quot;/&gt;&lt;wsp:rsid wsp:val=&quot;00B56F82&quot;/&gt;&lt;wsp:rsid wsp:val=&quot;00B57300&quot;/&gt;&lt;wsp:rsid wsp:val=&quot;00B57DF7&quot;/&gt;&lt;wsp:rsid wsp:val=&quot;00B6020F&quot;/&gt;&lt;wsp:rsid wsp:val=&quot;00B60265&quot;/&gt;&lt;wsp:rsid wsp:val=&quot;00B60ED3&quot;/&gt;&lt;wsp:rsid wsp:val=&quot;00B60FA4&quot;/&gt;&lt;wsp:rsid wsp:val=&quot;00B61380&quot;/&gt;&lt;wsp:rsid wsp:val=&quot;00B62310&quot;/&gt;&lt;wsp:rsid wsp:val=&quot;00B62722&quot;/&gt;&lt;wsp:rsid wsp:val=&quot;00B62723&quot;/&gt;&lt;wsp:rsid wsp:val=&quot;00B62FEA&quot;/&gt;&lt;wsp:rsid wsp:val=&quot;00B634E0&quot;/&gt;&lt;wsp:rsid wsp:val=&quot;00B63A00&quot;/&gt;&lt;wsp:rsid wsp:val=&quot;00B63F5C&quot;/&gt;&lt;wsp:rsid wsp:val=&quot;00B64319&quot;/&gt;&lt;wsp:rsid wsp:val=&quot;00B644A9&quot;/&gt;&lt;wsp:rsid wsp:val=&quot;00B64BAF&quot;/&gt;&lt;wsp:rsid wsp:val=&quot;00B65897&quot;/&gt;&lt;wsp:rsid wsp:val=&quot;00B659AF&quot;/&gt;&lt;wsp:rsid wsp:val=&quot;00B65E69&quot;/&gt;&lt;wsp:rsid wsp:val=&quot;00B65E8D&quot;/&gt;&lt;wsp:rsid wsp:val=&quot;00B664EB&quot;/&gt;&lt;wsp:rsid wsp:val=&quot;00B6690A&quot;/&gt;&lt;wsp:rsid wsp:val=&quot;00B66A4F&quot;/&gt;&lt;wsp:rsid wsp:val=&quot;00B66F5E&quot;/&gt;&lt;wsp:rsid wsp:val=&quot;00B67405&quot;/&gt;&lt;wsp:rsid wsp:val=&quot;00B67536&quot;/&gt;&lt;wsp:rsid wsp:val=&quot;00B679AA&quot;/&gt;&lt;wsp:rsid wsp:val=&quot;00B67F1E&quot;/&gt;&lt;wsp:rsid wsp:val=&quot;00B70475&quot;/&gt;&lt;wsp:rsid wsp:val=&quot;00B70EAB&quot;/&gt;&lt;wsp:rsid wsp:val=&quot;00B70EC7&quot;/&gt;&lt;wsp:rsid wsp:val=&quot;00B7145F&quot;/&gt;&lt;wsp:rsid wsp:val=&quot;00B71898&quot;/&gt;&lt;wsp:rsid wsp:val=&quot;00B72293&quot;/&gt;&lt;wsp:rsid wsp:val=&quot;00B72539&quot;/&gt;&lt;wsp:rsid wsp:val=&quot;00B740AD&quot;/&gt;&lt;wsp:rsid wsp:val=&quot;00B74696&quot;/&gt;&lt;wsp:rsid wsp:val=&quot;00B74937&quot;/&gt;&lt;wsp:rsid wsp:val=&quot;00B74A87&quot;/&gt;&lt;wsp:rsid wsp:val=&quot;00B74BBA&quot;/&gt;&lt;wsp:rsid wsp:val=&quot;00B74C50&quot;/&gt;&lt;wsp:rsid wsp:val=&quot;00B74CF6&quot;/&gt;&lt;wsp:rsid wsp:val=&quot;00B74F36&quot;/&gt;&lt;wsp:rsid wsp:val=&quot;00B7508C&quot;/&gt;&lt;wsp:rsid wsp:val=&quot;00B750CA&quot;/&gt;&lt;wsp:rsid wsp:val=&quot;00B75141&quot;/&gt;&lt;wsp:rsid wsp:val=&quot;00B7540B&quot;/&gt;&lt;wsp:rsid wsp:val=&quot;00B755B9&quot;/&gt;&lt;wsp:rsid wsp:val=&quot;00B75FF2&quot;/&gt;&lt;wsp:rsid wsp:val=&quot;00B76496&quot;/&gt;&lt;wsp:rsid wsp:val=&quot;00B766C6&quot;/&gt;&lt;wsp:rsid wsp:val=&quot;00B76718&quot;/&gt;&lt;wsp:rsid wsp:val=&quot;00B76F93&quot;/&gt;&lt;wsp:rsid wsp:val=&quot;00B770C0&quot;/&gt;&lt;wsp:rsid wsp:val=&quot;00B77911&quot;/&gt;&lt;wsp:rsid wsp:val=&quot;00B77B41&quot;/&gt;&lt;wsp:rsid wsp:val=&quot;00B77C10&quot;/&gt;&lt;wsp:rsid wsp:val=&quot;00B77CB6&quot;/&gt;&lt;wsp:rsid wsp:val=&quot;00B8014F&quot;/&gt;&lt;wsp:rsid wsp:val=&quot;00B80404&quot;/&gt;&lt;wsp:rsid wsp:val=&quot;00B80691&quot;/&gt;&lt;wsp:rsid wsp:val=&quot;00B80870&quot;/&gt;&lt;wsp:rsid wsp:val=&quot;00B809BD&quot;/&gt;&lt;wsp:rsid wsp:val=&quot;00B81543&quot;/&gt;&lt;wsp:rsid wsp:val=&quot;00B8171B&quot;/&gt;&lt;wsp:rsid wsp:val=&quot;00B81C1F&quot;/&gt;&lt;wsp:rsid wsp:val=&quot;00B81F5B&quot;/&gt;&lt;wsp:rsid wsp:val=&quot;00B81FEF&quot;/&gt;&lt;wsp:rsid wsp:val=&quot;00B82028&quot;/&gt;&lt;wsp:rsid wsp:val=&quot;00B820A2&quot;/&gt;&lt;wsp:rsid wsp:val=&quot;00B82F3E&quot;/&gt;&lt;wsp:rsid wsp:val=&quot;00B83A6C&quot;/&gt;&lt;wsp:rsid wsp:val=&quot;00B83B0C&quot;/&gt;&lt;wsp:rsid wsp:val=&quot;00B83FBC&quot;/&gt;&lt;wsp:rsid wsp:val=&quot;00B843A4&quot;/&gt;&lt;wsp:rsid wsp:val=&quot;00B84976&quot;/&gt;&lt;wsp:rsid wsp:val=&quot;00B84AA0&quot;/&gt;&lt;wsp:rsid wsp:val=&quot;00B8554A&quot;/&gt;&lt;wsp:rsid wsp:val=&quot;00B861B3&quot;/&gt;&lt;wsp:rsid wsp:val=&quot;00B86F51&quot;/&gt;&lt;wsp:rsid wsp:val=&quot;00B87232&quot;/&gt;&lt;wsp:rsid wsp:val=&quot;00B87FFC&quot;/&gt;&lt;wsp:rsid wsp:val=&quot;00B90122&quot;/&gt;&lt;wsp:rsid wsp:val=&quot;00B90285&quot;/&gt;&lt;wsp:rsid wsp:val=&quot;00B90A0B&quot;/&gt;&lt;wsp:rsid wsp:val=&quot;00B912F6&quot;/&gt;&lt;wsp:rsid wsp:val=&quot;00B91968&quot;/&gt;&lt;wsp:rsid wsp:val=&quot;00B91DAF&quot;/&gt;&lt;wsp:rsid wsp:val=&quot;00B92E32&quot;/&gt;&lt;wsp:rsid wsp:val=&quot;00B933E4&quot;/&gt;&lt;wsp:rsid wsp:val=&quot;00B9379A&quot;/&gt;&lt;wsp:rsid wsp:val=&quot;00B93882&quot;/&gt;&lt;wsp:rsid wsp:val=&quot;00B93A07&quot;/&gt;&lt;wsp:rsid wsp:val=&quot;00B93C67&quot;/&gt;&lt;wsp:rsid wsp:val=&quot;00B93DD8&quot;/&gt;&lt;wsp:rsid wsp:val=&quot;00B93E07&quot;/&gt;&lt;wsp:rsid wsp:val=&quot;00B94448&quot;/&gt;&lt;wsp:rsid wsp:val=&quot;00B94718&quot;/&gt;&lt;wsp:rsid wsp:val=&quot;00B95469&quot;/&gt;&lt;wsp:rsid wsp:val=&quot;00B9567A&quot;/&gt;&lt;wsp:rsid wsp:val=&quot;00B956BC&quot;/&gt;&lt;wsp:rsid wsp:val=&quot;00B96275&quot;/&gt;&lt;wsp:rsid wsp:val=&quot;00B9632E&quot;/&gt;&lt;wsp:rsid wsp:val=&quot;00B96FC7&quot;/&gt;&lt;wsp:rsid wsp:val=&quot;00B9723E&quot;/&gt;&lt;wsp:rsid wsp:val=&quot;00B976C0&quot;/&gt;&lt;wsp:rsid wsp:val=&quot;00B97C7E&quot;/&gt;&lt;wsp:rsid wsp:val=&quot;00BA0B25&quot;/&gt;&lt;wsp:rsid wsp:val=&quot;00BA0FCA&quot;/&gt;&lt;wsp:rsid wsp:val=&quot;00BA1018&quot;/&gt;&lt;wsp:rsid wsp:val=&quot;00BA122C&quot;/&gt;&lt;wsp:rsid wsp:val=&quot;00BA15A9&quot;/&gt;&lt;wsp:rsid wsp:val=&quot;00BA1A69&quot;/&gt;&lt;wsp:rsid wsp:val=&quot;00BA1FB3&quot;/&gt;&lt;wsp:rsid wsp:val=&quot;00BA2C58&quot;/&gt;&lt;wsp:rsid wsp:val=&quot;00BA3B13&quot;/&gt;&lt;wsp:rsid wsp:val=&quot;00BA46E1&quot;/&gt;&lt;wsp:rsid wsp:val=&quot;00BA5045&quot;/&gt;&lt;wsp:rsid wsp:val=&quot;00BA6031&quot;/&gt;&lt;wsp:rsid wsp:val=&quot;00BA6051&quot;/&gt;&lt;wsp:rsid wsp:val=&quot;00BA60DE&quot;/&gt;&lt;wsp:rsid wsp:val=&quot;00BA6123&quot;/&gt;&lt;wsp:rsid wsp:val=&quot;00BA6366&quot;/&gt;&lt;wsp:rsid wsp:val=&quot;00BA76B0&quot;/&gt;&lt;wsp:rsid wsp:val=&quot;00BA7784&quot;/&gt;&lt;wsp:rsid wsp:val=&quot;00BA77FC&quot;/&gt;&lt;wsp:rsid wsp:val=&quot;00BB04EE&quot;/&gt;&lt;wsp:rsid wsp:val=&quot;00BB0558&quot;/&gt;&lt;wsp:rsid wsp:val=&quot;00BB05D0&quot;/&gt;&lt;wsp:rsid wsp:val=&quot;00BB0B9B&quot;/&gt;&lt;wsp:rsid wsp:val=&quot;00BB0F9C&quot;/&gt;&lt;wsp:rsid wsp:val=&quot;00BB1487&quot;/&gt;&lt;wsp:rsid wsp:val=&quot;00BB18D0&quot;/&gt;&lt;wsp:rsid wsp:val=&quot;00BB2223&quot;/&gt;&lt;wsp:rsid wsp:val=&quot;00BB2446&quot;/&gt;&lt;wsp:rsid wsp:val=&quot;00BB26DC&quot;/&gt;&lt;wsp:rsid wsp:val=&quot;00BB3075&quot;/&gt;&lt;wsp:rsid wsp:val=&quot;00BB3B06&quot;/&gt;&lt;wsp:rsid wsp:val=&quot;00BB3BDA&quot;/&gt;&lt;wsp:rsid wsp:val=&quot;00BB3CFF&quot;/&gt;&lt;wsp:rsid wsp:val=&quot;00BB4115&quot;/&gt;&lt;wsp:rsid wsp:val=&quot;00BB53AE&quot;/&gt;&lt;wsp:rsid wsp:val=&quot;00BB53B0&quot;/&gt;&lt;wsp:rsid wsp:val=&quot;00BB53D7&quot;/&gt;&lt;wsp:rsid wsp:val=&quot;00BB6403&quot;/&gt;&lt;wsp:rsid wsp:val=&quot;00BB6952&quot;/&gt;&lt;wsp:rsid wsp:val=&quot;00BB6B1C&quot;/&gt;&lt;wsp:rsid wsp:val=&quot;00BB6DF7&quot;/&gt;&lt;wsp:rsid wsp:val=&quot;00BB76C7&quot;/&gt;&lt;wsp:rsid wsp:val=&quot;00BB7D68&quot;/&gt;&lt;wsp:rsid wsp:val=&quot;00BC05EC&quot;/&gt;&lt;wsp:rsid wsp:val=&quot;00BC0D85&quot;/&gt;&lt;wsp:rsid wsp:val=&quot;00BC1299&quot;/&gt;&lt;wsp:rsid wsp:val=&quot;00BC1826&quot;/&gt;&lt;wsp:rsid wsp:val=&quot;00BC2735&quot;/&gt;&lt;wsp:rsid wsp:val=&quot;00BC2907&quot;/&gt;&lt;wsp:rsid wsp:val=&quot;00BC2E24&quot;/&gt;&lt;wsp:rsid wsp:val=&quot;00BC30E1&quot;/&gt;&lt;wsp:rsid wsp:val=&quot;00BC424B&quot;/&gt;&lt;wsp:rsid wsp:val=&quot;00BC4866&quot;/&gt;&lt;wsp:rsid wsp:val=&quot;00BC4A3A&quot;/&gt;&lt;wsp:rsid wsp:val=&quot;00BC4B09&quot;/&gt;&lt;wsp:rsid wsp:val=&quot;00BC4CC9&quot;/&gt;&lt;wsp:rsid wsp:val=&quot;00BC4FAE&quot;/&gt;&lt;wsp:rsid wsp:val=&quot;00BC5273&quot;/&gt;&lt;wsp:rsid wsp:val=&quot;00BC5553&quot;/&gt;&lt;wsp:rsid wsp:val=&quot;00BC7310&quot;/&gt;&lt;wsp:rsid wsp:val=&quot;00BC7801&quot;/&gt;&lt;wsp:rsid wsp:val=&quot;00BC79C9&quot;/&gt;&lt;wsp:rsid wsp:val=&quot;00BD06BE&quot;/&gt;&lt;wsp:rsid wsp:val=&quot;00BD0877&quot;/&gt;&lt;wsp:rsid wsp:val=&quot;00BD0CCA&quot;/&gt;&lt;wsp:rsid wsp:val=&quot;00BD0ED2&quot;/&gt;&lt;wsp:rsid wsp:val=&quot;00BD16CE&quot;/&gt;&lt;wsp:rsid wsp:val=&quot;00BD175D&quot;/&gt;&lt;wsp:rsid wsp:val=&quot;00BD1C2A&quot;/&gt;&lt;wsp:rsid wsp:val=&quot;00BD1E5E&quot;/&gt;&lt;wsp:rsid wsp:val=&quot;00BD2068&quot;/&gt;&lt;wsp:rsid wsp:val=&quot;00BD253C&quot;/&gt;&lt;wsp:rsid wsp:val=&quot;00BD2669&quot;/&gt;&lt;wsp:rsid wsp:val=&quot;00BD3641&quot;/&gt;&lt;wsp:rsid wsp:val=&quot;00BD38D7&quot;/&gt;&lt;wsp:rsid wsp:val=&quot;00BD3A01&quot;/&gt;&lt;wsp:rsid wsp:val=&quot;00BD3A04&quot;/&gt;&lt;wsp:rsid wsp:val=&quot;00BD3C28&quot;/&gt;&lt;wsp:rsid wsp:val=&quot;00BD3CE9&quot;/&gt;&lt;wsp:rsid wsp:val=&quot;00BD4188&quot;/&gt;&lt;wsp:rsid wsp:val=&quot;00BD5025&quot;/&gt;&lt;wsp:rsid wsp:val=&quot;00BD53A5&quot;/&gt;&lt;wsp:rsid wsp:val=&quot;00BD5841&quot;/&gt;&lt;wsp:rsid wsp:val=&quot;00BD6531&quot;/&gt;&lt;wsp:rsid wsp:val=&quot;00BD7333&quot;/&gt;&lt;wsp:rsid wsp:val=&quot;00BD77B3&quot;/&gt;&lt;wsp:rsid wsp:val=&quot;00BD7A9B&quot;/&gt;&lt;wsp:rsid wsp:val=&quot;00BD7D5E&quot;/&gt;&lt;wsp:rsid wsp:val=&quot;00BD7F59&quot;/&gt;&lt;wsp:rsid wsp:val=&quot;00BE03B4&quot;/&gt;&lt;wsp:rsid wsp:val=&quot;00BE04F3&quot;/&gt;&lt;wsp:rsid wsp:val=&quot;00BE091F&quot;/&gt;&lt;wsp:rsid wsp:val=&quot;00BE0A42&quot;/&gt;&lt;wsp:rsid wsp:val=&quot;00BE0E30&quot;/&gt;&lt;wsp:rsid wsp:val=&quot;00BE16EC&quot;/&gt;&lt;wsp:rsid wsp:val=&quot;00BE1CCD&quot;/&gt;&lt;wsp:rsid wsp:val=&quot;00BE1CE9&quot;/&gt;&lt;wsp:rsid wsp:val=&quot;00BE1EA0&quot;/&gt;&lt;wsp:rsid wsp:val=&quot;00BE232A&quot;/&gt;&lt;wsp:rsid wsp:val=&quot;00BE2956&quot;/&gt;&lt;wsp:rsid wsp:val=&quot;00BE2DAC&quot;/&gt;&lt;wsp:rsid wsp:val=&quot;00BE3471&quot;/&gt;&lt;wsp:rsid wsp:val=&quot;00BE3C7E&quot;/&gt;&lt;wsp:rsid wsp:val=&quot;00BE43C5&quot;/&gt;&lt;wsp:rsid wsp:val=&quot;00BE44F3&quot;/&gt;&lt;wsp:rsid wsp:val=&quot;00BE45F4&quot;/&gt;&lt;wsp:rsid wsp:val=&quot;00BE4A69&quot;/&gt;&lt;wsp:rsid wsp:val=&quot;00BE5651&quot;/&gt;&lt;wsp:rsid wsp:val=&quot;00BE5A9E&quot;/&gt;&lt;wsp:rsid wsp:val=&quot;00BE5BC0&quot;/&gt;&lt;wsp:rsid wsp:val=&quot;00BE5C7D&quot;/&gt;&lt;wsp:rsid wsp:val=&quot;00BE5EAF&quot;/&gt;&lt;wsp:rsid wsp:val=&quot;00BE6283&quot;/&gt;&lt;wsp:rsid wsp:val=&quot;00BE65D6&quot;/&gt;&lt;wsp:rsid wsp:val=&quot;00BE6EC5&quot;/&gt;&lt;wsp:rsid wsp:val=&quot;00BE72F0&quot;/&gt;&lt;wsp:rsid wsp:val=&quot;00BE7543&quot;/&gt;&lt;wsp:rsid wsp:val=&quot;00BE7DC5&quot;/&gt;&lt;wsp:rsid wsp:val=&quot;00BF0690&quot;/&gt;&lt;wsp:rsid wsp:val=&quot;00BF1344&quot;/&gt;&lt;wsp:rsid wsp:val=&quot;00BF1DB0&quot;/&gt;&lt;wsp:rsid wsp:val=&quot;00BF2BA6&quot;/&gt;&lt;wsp:rsid wsp:val=&quot;00BF2E92&quot;/&gt;&lt;wsp:rsid wsp:val=&quot;00BF34F0&quot;/&gt;&lt;wsp:rsid wsp:val=&quot;00BF4707&quot;/&gt;&lt;wsp:rsid wsp:val=&quot;00BF4711&quot;/&gt;&lt;wsp:rsid wsp:val=&quot;00BF4828&quot;/&gt;&lt;wsp:rsid wsp:val=&quot;00BF4BEC&quot;/&gt;&lt;wsp:rsid wsp:val=&quot;00BF4ED5&quot;/&gt;&lt;wsp:rsid wsp:val=&quot;00BF503B&quot;/&gt;&lt;wsp:rsid wsp:val=&quot;00BF53D0&quot;/&gt;&lt;wsp:rsid wsp:val=&quot;00BF54F8&quot;/&gt;&lt;wsp:rsid wsp:val=&quot;00BF57B8&quot;/&gt;&lt;wsp:rsid wsp:val=&quot;00BF5C6A&quot;/&gt;&lt;wsp:rsid wsp:val=&quot;00BF5C8C&quot;/&gt;&lt;wsp:rsid wsp:val=&quot;00BF6232&quot;/&gt;&lt;wsp:rsid wsp:val=&quot;00BF686A&quot;/&gt;&lt;wsp:rsid wsp:val=&quot;00BF6DEF&quot;/&gt;&lt;wsp:rsid wsp:val=&quot;00BF6E8A&quot;/&gt;&lt;wsp:rsid wsp:val=&quot;00BF7130&quot;/&gt;&lt;wsp:rsid wsp:val=&quot;00BF79EC&quot;/&gt;&lt;wsp:rsid wsp:val=&quot;00BF7EF0&quot;/&gt;&lt;wsp:rsid wsp:val=&quot;00C00495&quot;/&gt;&lt;wsp:rsid wsp:val=&quot;00C0099F&quot;/&gt;&lt;wsp:rsid wsp:val=&quot;00C00BD3&quot;/&gt;&lt;wsp:rsid wsp:val=&quot;00C00F28&quot;/&gt;&lt;wsp:rsid wsp:val=&quot;00C01A7D&quot;/&gt;&lt;wsp:rsid wsp:val=&quot;00C02E5D&quot;/&gt;&lt;wsp:rsid wsp:val=&quot;00C03072&quot;/&gt;&lt;wsp:rsid wsp:val=&quot;00C03257&quot;/&gt;&lt;wsp:rsid wsp:val=&quot;00C036DA&quot;/&gt;&lt;wsp:rsid wsp:val=&quot;00C053FE&quot;/&gt;&lt;wsp:rsid wsp:val=&quot;00C0564D&quot;/&gt;&lt;wsp:rsid wsp:val=&quot;00C05AD0&quot;/&gt;&lt;wsp:rsid wsp:val=&quot;00C05DBE&quot;/&gt;&lt;wsp:rsid wsp:val=&quot;00C06136&quot;/&gt;&lt;wsp:rsid wsp:val=&quot;00C063DA&quot;/&gt;&lt;wsp:rsid wsp:val=&quot;00C076B3&quot;/&gt;&lt;wsp:rsid wsp:val=&quot;00C1016F&quot;/&gt;&lt;wsp:rsid wsp:val=&quot;00C10201&quot;/&gt;&lt;wsp:rsid wsp:val=&quot;00C10531&quot;/&gt;&lt;wsp:rsid wsp:val=&quot;00C10D1E&quot;/&gt;&lt;wsp:rsid wsp:val=&quot;00C11454&quot;/&gt;&lt;wsp:rsid wsp:val=&quot;00C115DE&quot;/&gt;&lt;wsp:rsid wsp:val=&quot;00C1182F&quot;/&gt;&lt;wsp:rsid wsp:val=&quot;00C11DA1&quot;/&gt;&lt;wsp:rsid wsp:val=&quot;00C11EC5&quot;/&gt;&lt;wsp:rsid wsp:val=&quot;00C11F6A&quot;/&gt;&lt;wsp:rsid wsp:val=&quot;00C124A5&quot;/&gt;&lt;wsp:rsid wsp:val=&quot;00C127BF&quot;/&gt;&lt;wsp:rsid wsp:val=&quot;00C12D5E&quot;/&gt;&lt;wsp:rsid wsp:val=&quot;00C12DEE&quot;/&gt;&lt;wsp:rsid wsp:val=&quot;00C13BEF&quot;/&gt;&lt;wsp:rsid wsp:val=&quot;00C13C28&quot;/&gt;&lt;wsp:rsid wsp:val=&quot;00C13EA0&quot;/&gt;&lt;wsp:rsid wsp:val=&quot;00C14A13&quot;/&gt;&lt;wsp:rsid wsp:val=&quot;00C14CB1&quot;/&gt;&lt;wsp:rsid wsp:val=&quot;00C14D81&quot;/&gt;&lt;wsp:rsid wsp:val=&quot;00C14EA1&quot;/&gt;&lt;wsp:rsid wsp:val=&quot;00C15192&quot;/&gt;&lt;wsp:rsid wsp:val=&quot;00C153E7&quot;/&gt;&lt;wsp:rsid wsp:val=&quot;00C15F20&quot;/&gt;&lt;wsp:rsid wsp:val=&quot;00C16461&quot;/&gt;&lt;wsp:rsid wsp:val=&quot;00C164D9&quot;/&gt;&lt;wsp:rsid wsp:val=&quot;00C16718&quot;/&gt;&lt;wsp:rsid wsp:val=&quot;00C16AE4&quot;/&gt;&lt;wsp:rsid wsp:val=&quot;00C16CA4&quot;/&gt;&lt;wsp:rsid wsp:val=&quot;00C16E80&quot;/&gt;&lt;wsp:rsid wsp:val=&quot;00C1716A&quot;/&gt;&lt;wsp:rsid wsp:val=&quot;00C17AE5&quot;/&gt;&lt;wsp:rsid wsp:val=&quot;00C17DF2&quot;/&gt;&lt;wsp:rsid wsp:val=&quot;00C202A9&quot;/&gt;&lt;wsp:rsid wsp:val=&quot;00C20989&quot;/&gt;&lt;wsp:rsid wsp:val=&quot;00C209B5&quot;/&gt;&lt;wsp:rsid wsp:val=&quot;00C20E06&quot;/&gt;&lt;wsp:rsid wsp:val=&quot;00C214D2&quot;/&gt;&lt;wsp:rsid wsp:val=&quot;00C21545&quot;/&gt;&lt;wsp:rsid wsp:val=&quot;00C21607&quot;/&gt;&lt;wsp:rsid wsp:val=&quot;00C21833&quot;/&gt;&lt;wsp:rsid wsp:val=&quot;00C21914&quot;/&gt;&lt;wsp:rsid wsp:val=&quot;00C21F72&quot;/&gt;&lt;wsp:rsid wsp:val=&quot;00C22034&quot;/&gt;&lt;wsp:rsid wsp:val=&quot;00C22899&quot;/&gt;&lt;wsp:rsid wsp:val=&quot;00C2292A&quot;/&gt;&lt;wsp:rsid wsp:val=&quot;00C2296F&quot;/&gt;&lt;wsp:rsid wsp:val=&quot;00C23452&quot;/&gt;&lt;wsp:rsid wsp:val=&quot;00C23B97&quot;/&gt;&lt;wsp:rsid wsp:val=&quot;00C246DF&quot;/&gt;&lt;wsp:rsid wsp:val=&quot;00C2480D&quot;/&gt;&lt;wsp:rsid wsp:val=&quot;00C24C38&quot;/&gt;&lt;wsp:rsid wsp:val=&quot;00C25182&quot;/&gt;&lt;wsp:rsid wsp:val=&quot;00C261B4&quot;/&gt;&lt;wsp:rsid wsp:val=&quot;00C263FA&quot;/&gt;&lt;wsp:rsid wsp:val=&quot;00C264BC&quot;/&gt;&lt;wsp:rsid wsp:val=&quot;00C26826&quot;/&gt;&lt;wsp:rsid wsp:val=&quot;00C26918&quot;/&gt;&lt;wsp:rsid wsp:val=&quot;00C26AA9&quot;/&gt;&lt;wsp:rsid wsp:val=&quot;00C26B7D&quot;/&gt;&lt;wsp:rsid wsp:val=&quot;00C273CC&quot;/&gt;&lt;wsp:rsid wsp:val=&quot;00C275BD&quot;/&gt;&lt;wsp:rsid wsp:val=&quot;00C27C3A&quot;/&gt;&lt;wsp:rsid wsp:val=&quot;00C30243&quot;/&gt;&lt;wsp:rsid wsp:val=&quot;00C30971&quot;/&gt;&lt;wsp:rsid wsp:val=&quot;00C30A76&quot;/&gt;&lt;wsp:rsid wsp:val=&quot;00C3120C&quot;/&gt;&lt;wsp:rsid wsp:val=&quot;00C316C5&quot;/&gt;&lt;wsp:rsid wsp:val=&quot;00C3208F&quot;/&gt;&lt;wsp:rsid wsp:val=&quot;00C32219&quot;/&gt;&lt;wsp:rsid wsp:val=&quot;00C3271A&quot;/&gt;&lt;wsp:rsid wsp:val=&quot;00C329FC&quot;/&gt;&lt;wsp:rsid wsp:val=&quot;00C32FA0&quot;/&gt;&lt;wsp:rsid wsp:val=&quot;00C33018&quot;/&gt;&lt;wsp:rsid wsp:val=&quot;00C33962&quot;/&gt;&lt;wsp:rsid wsp:val=&quot;00C339AE&quot;/&gt;&lt;wsp:rsid wsp:val=&quot;00C33F73&quot;/&gt;&lt;wsp:rsid wsp:val=&quot;00C34627&quot;/&gt;&lt;wsp:rsid wsp:val=&quot;00C34731&quot;/&gt;&lt;wsp:rsid wsp:val=&quot;00C34FA3&quot;/&gt;&lt;wsp:rsid wsp:val=&quot;00C352C0&quot;/&gt;&lt;wsp:rsid wsp:val=&quot;00C35AA6&quot;/&gt;&lt;wsp:rsid wsp:val=&quot;00C35E5D&quot;/&gt;&lt;wsp:rsid wsp:val=&quot;00C35EDE&quot;/&gt;&lt;wsp:rsid wsp:val=&quot;00C35FED&quot;/&gt;&lt;wsp:rsid wsp:val=&quot;00C3603D&quot;/&gt;&lt;wsp:rsid wsp:val=&quot;00C362C1&quot;/&gt;&lt;wsp:rsid wsp:val=&quot;00C36535&quot;/&gt;&lt;wsp:rsid wsp:val=&quot;00C365F6&quot;/&gt;&lt;wsp:rsid wsp:val=&quot;00C36660&quot;/&gt;&lt;wsp:rsid wsp:val=&quot;00C36D0C&quot;/&gt;&lt;wsp:rsid wsp:val=&quot;00C36DA5&quot;/&gt;&lt;wsp:rsid wsp:val=&quot;00C36E46&quot;/&gt;&lt;wsp:rsid wsp:val=&quot;00C373EC&quot;/&gt;&lt;wsp:rsid wsp:val=&quot;00C37414&quot;/&gt;&lt;wsp:rsid wsp:val=&quot;00C37E09&quot;/&gt;&lt;wsp:rsid wsp:val=&quot;00C408C7&quot;/&gt;&lt;wsp:rsid wsp:val=&quot;00C408FD&quot;/&gt;&lt;wsp:rsid wsp:val=&quot;00C412E2&quot;/&gt;&lt;wsp:rsid wsp:val=&quot;00C42418&quot;/&gt;&lt;wsp:rsid wsp:val=&quot;00C42A94&quot;/&gt;&lt;wsp:rsid wsp:val=&quot;00C43050&quot;/&gt;&lt;wsp:rsid wsp:val=&quot;00C432FA&quot;/&gt;&lt;wsp:rsid wsp:val=&quot;00C4359F&quot;/&gt;&lt;wsp:rsid wsp:val=&quot;00C43661&quot;/&gt;&lt;wsp:rsid wsp:val=&quot;00C438A6&quot;/&gt;&lt;wsp:rsid wsp:val=&quot;00C4408E&quot;/&gt;&lt;wsp:rsid wsp:val=&quot;00C45354&quot;/&gt;&lt;wsp:rsid wsp:val=&quot;00C456D1&quot;/&gt;&lt;wsp:rsid wsp:val=&quot;00C46459&quot;/&gt;&lt;wsp:rsid wsp:val=&quot;00C466B1&quot;/&gt;&lt;wsp:rsid wsp:val=&quot;00C4765A&quot;/&gt;&lt;wsp:rsid wsp:val=&quot;00C47BDC&quot;/&gt;&lt;wsp:rsid wsp:val=&quot;00C503C8&quot;/&gt;&lt;wsp:rsid wsp:val=&quot;00C50568&quot;/&gt;&lt;wsp:rsid wsp:val=&quot;00C50B22&quot;/&gt;&lt;wsp:rsid wsp:val=&quot;00C50C85&quot;/&gt;&lt;wsp:rsid wsp:val=&quot;00C50DD4&quot;/&gt;&lt;wsp:rsid wsp:val=&quot;00C50F9B&quot;/&gt;&lt;wsp:rsid wsp:val=&quot;00C511ED&quot;/&gt;&lt;wsp:rsid wsp:val=&quot;00C51331&quot;/&gt;&lt;wsp:rsid wsp:val=&quot;00C5147B&quot;/&gt;&lt;wsp:rsid wsp:val=&quot;00C519A6&quot;/&gt;&lt;wsp:rsid wsp:val=&quot;00C519A9&quot;/&gt;&lt;wsp:rsid wsp:val=&quot;00C51D33&quot;/&gt;&lt;wsp:rsid wsp:val=&quot;00C5202A&quot;/&gt;&lt;wsp:rsid wsp:val=&quot;00C5237F&quot;/&gt;&lt;wsp:rsid wsp:val=&quot;00C524D4&quot;/&gt;&lt;wsp:rsid wsp:val=&quot;00C529C8&quot;/&gt;&lt;wsp:rsid wsp:val=&quot;00C52A50&quot;/&gt;&lt;wsp:rsid wsp:val=&quot;00C52D91&quot;/&gt;&lt;wsp:rsid wsp:val=&quot;00C532BD&quot;/&gt;&lt;wsp:rsid wsp:val=&quot;00C534BF&quot;/&gt;&lt;wsp:rsid wsp:val=&quot;00C53C37&quot;/&gt;&lt;wsp:rsid wsp:val=&quot;00C53E4D&quot;/&gt;&lt;wsp:rsid wsp:val=&quot;00C54313&quot;/&gt;&lt;wsp:rsid wsp:val=&quot;00C55CA8&quot;/&gt;&lt;wsp:rsid wsp:val=&quot;00C55F16&quot;/&gt;&lt;wsp:rsid wsp:val=&quot;00C560C6&quot;/&gt;&lt;wsp:rsid wsp:val=&quot;00C560DB&quot;/&gt;&lt;wsp:rsid wsp:val=&quot;00C56689&quot;/&gt;&lt;wsp:rsid wsp:val=&quot;00C5678F&quot;/&gt;&lt;wsp:rsid wsp:val=&quot;00C5680C&quot;/&gt;&lt;wsp:rsid wsp:val=&quot;00C568C0&quot;/&gt;&lt;wsp:rsid wsp:val=&quot;00C5691D&quot;/&gt;&lt;wsp:rsid wsp:val=&quot;00C56B47&quot;/&gt;&lt;wsp:rsid wsp:val=&quot;00C56C46&quot;/&gt;&lt;wsp:rsid wsp:val=&quot;00C5702C&quot;/&gt;&lt;wsp:rsid wsp:val=&quot;00C578F7&quot;/&gt;&lt;wsp:rsid wsp:val=&quot;00C57D62&quot;/&gt;&lt;wsp:rsid wsp:val=&quot;00C60095&quot;/&gt;&lt;wsp:rsid wsp:val=&quot;00C6108E&quot;/&gt;&lt;wsp:rsid wsp:val=&quot;00C613E9&quot;/&gt;&lt;wsp:rsid wsp:val=&quot;00C6170C&quot;/&gt;&lt;wsp:rsid wsp:val=&quot;00C617BF&quot;/&gt;&lt;wsp:rsid wsp:val=&quot;00C61B3E&quot;/&gt;&lt;wsp:rsid wsp:val=&quot;00C625AF&quot;/&gt;&lt;wsp:rsid wsp:val=&quot;00C629BC&quot;/&gt;&lt;wsp:rsid wsp:val=&quot;00C62B0B&quot;/&gt;&lt;wsp:rsid wsp:val=&quot;00C62C21&quot;/&gt;&lt;wsp:rsid wsp:val=&quot;00C62D50&quot;/&gt;&lt;wsp:rsid wsp:val=&quot;00C62EE4&quot;/&gt;&lt;wsp:rsid wsp:val=&quot;00C63103&quot;/&gt;&lt;wsp:rsid wsp:val=&quot;00C63B69&quot;/&gt;&lt;wsp:rsid wsp:val=&quot;00C63CEE&quot;/&gt;&lt;wsp:rsid wsp:val=&quot;00C640B1&quot;/&gt;&lt;wsp:rsid wsp:val=&quot;00C64410&quot;/&gt;&lt;wsp:rsid wsp:val=&quot;00C64CA6&quot;/&gt;&lt;wsp:rsid wsp:val=&quot;00C651F8&quot;/&gt;&lt;wsp:rsid wsp:val=&quot;00C65892&quot;/&gt;&lt;wsp:rsid wsp:val=&quot;00C65DDA&quot;/&gt;&lt;wsp:rsid wsp:val=&quot;00C66024&quot;/&gt;&lt;wsp:rsid wsp:val=&quot;00C660C0&quot;/&gt;&lt;wsp:rsid wsp:val=&quot;00C660E5&quot;/&gt;&lt;wsp:rsid wsp:val=&quot;00C6657F&quot;/&gt;&lt;wsp:rsid wsp:val=&quot;00C6691F&quot;/&gt;&lt;wsp:rsid wsp:val=&quot;00C66D07&quot;/&gt;&lt;wsp:rsid wsp:val=&quot;00C6780A&quot;/&gt;&lt;wsp:rsid wsp:val=&quot;00C67854&quot;/&gt;&lt;wsp:rsid wsp:val=&quot;00C67A1C&quot;/&gt;&lt;wsp:rsid wsp:val=&quot;00C708C9&quot;/&gt;&lt;wsp:rsid wsp:val=&quot;00C70C01&quot;/&gt;&lt;wsp:rsid wsp:val=&quot;00C70CE3&quot;/&gt;&lt;wsp:rsid wsp:val=&quot;00C70D62&quot;/&gt;&lt;wsp:rsid wsp:val=&quot;00C713A1&quot;/&gt;&lt;wsp:rsid wsp:val=&quot;00C71590&quot;/&gt;&lt;wsp:rsid wsp:val=&quot;00C71A4C&quot;/&gt;&lt;wsp:rsid wsp:val=&quot;00C71AC9&quot;/&gt;&lt;wsp:rsid wsp:val=&quot;00C72FDB&quot;/&gt;&lt;wsp:rsid wsp:val=&quot;00C7343E&quot;/&gt;&lt;wsp:rsid wsp:val=&quot;00C735AA&quot;/&gt;&lt;wsp:rsid wsp:val=&quot;00C73B2C&quot;/&gt;&lt;wsp:rsid wsp:val=&quot;00C74722&quot;/&gt;&lt;wsp:rsid wsp:val=&quot;00C74BA8&quot;/&gt;&lt;wsp:rsid wsp:val=&quot;00C75176&quot;/&gt;&lt;wsp:rsid wsp:val=&quot;00C75178&quot;/&gt;&lt;wsp:rsid wsp:val=&quot;00C751F3&quot;/&gt;&lt;wsp:rsid wsp:val=&quot;00C7559A&quot;/&gt;&lt;wsp:rsid wsp:val=&quot;00C756A3&quot;/&gt;&lt;wsp:rsid wsp:val=&quot;00C75A60&quot;/&gt;&lt;wsp:rsid wsp:val=&quot;00C75AED&quot;/&gt;&lt;wsp:rsid wsp:val=&quot;00C75E8D&quot;/&gt;&lt;wsp:rsid wsp:val=&quot;00C761E4&quot;/&gt;&lt;wsp:rsid wsp:val=&quot;00C76313&quot;/&gt;&lt;wsp:rsid wsp:val=&quot;00C767FD&quot;/&gt;&lt;wsp:rsid wsp:val=&quot;00C7754C&quot;/&gt;&lt;wsp:rsid wsp:val=&quot;00C77C93&quot;/&gt;&lt;wsp:rsid wsp:val=&quot;00C805A2&quot;/&gt;&lt;wsp:rsid wsp:val=&quot;00C808BB&quot;/&gt;&lt;wsp:rsid wsp:val=&quot;00C80CBF&quot;/&gt;&lt;wsp:rsid wsp:val=&quot;00C80D38&quot;/&gt;&lt;wsp:rsid wsp:val=&quot;00C8112E&quot;/&gt;&lt;wsp:rsid wsp:val=&quot;00C81187&quot;/&gt;&lt;wsp:rsid wsp:val=&quot;00C81458&quot;/&gt;&lt;wsp:rsid wsp:val=&quot;00C82381&quot;/&gt;&lt;wsp:rsid wsp:val=&quot;00C82637&quot;/&gt;&lt;wsp:rsid wsp:val=&quot;00C82AC0&quot;/&gt;&lt;wsp:rsid wsp:val=&quot;00C82ACD&quot;/&gt;&lt;wsp:rsid wsp:val=&quot;00C82C16&quot;/&gt;&lt;wsp:rsid wsp:val=&quot;00C82D6B&quot;/&gt;&lt;wsp:rsid wsp:val=&quot;00C831F1&quot;/&gt;&lt;wsp:rsid wsp:val=&quot;00C83AFB&quot;/&gt;&lt;wsp:rsid wsp:val=&quot;00C840F3&quot;/&gt;&lt;wsp:rsid wsp:val=&quot;00C84E62&quot;/&gt;&lt;wsp:rsid wsp:val=&quot;00C85CC7&quot;/&gt;&lt;wsp:rsid wsp:val=&quot;00C85D6C&quot;/&gt;&lt;wsp:rsid wsp:val=&quot;00C85F4D&quot;/&gt;&lt;wsp:rsid wsp:val=&quot;00C86017&quot;/&gt;&lt;wsp:rsid wsp:val=&quot;00C8602C&quot;/&gt;&lt;wsp:rsid wsp:val=&quot;00C87775&quot;/&gt;&lt;wsp:rsid wsp:val=&quot;00C87B97&quot;/&gt;&lt;wsp:rsid wsp:val=&quot;00C87EB0&quot;/&gt;&lt;wsp:rsid wsp:val=&quot;00C907C4&quot;/&gt;&lt;wsp:rsid wsp:val=&quot;00C9109D&quot;/&gt;&lt;wsp:rsid wsp:val=&quot;00C9121B&quot;/&gt;&lt;wsp:rsid wsp:val=&quot;00C91296&quot;/&gt;&lt;wsp:rsid wsp:val=&quot;00C918D7&quot;/&gt;&lt;wsp:rsid wsp:val=&quot;00C91DF1&quot;/&gt;&lt;wsp:rsid wsp:val=&quot;00C924CD&quot;/&gt;&lt;wsp:rsid wsp:val=&quot;00C926D0&quot;/&gt;&lt;wsp:rsid wsp:val=&quot;00C93283&quot;/&gt;&lt;wsp:rsid wsp:val=&quot;00C9335B&quot;/&gt;&lt;wsp:rsid wsp:val=&quot;00C933E0&quot;/&gt;&lt;wsp:rsid wsp:val=&quot;00C9397F&quot;/&gt;&lt;wsp:rsid wsp:val=&quot;00C94E2A&quot;/&gt;&lt;wsp:rsid wsp:val=&quot;00C95500&quot;/&gt;&lt;wsp:rsid wsp:val=&quot;00C9576A&quot;/&gt;&lt;wsp:rsid wsp:val=&quot;00C95C04&quot;/&gt;&lt;wsp:rsid wsp:val=&quot;00C9634F&quot;/&gt;&lt;wsp:rsid wsp:val=&quot;00C96471&quot;/&gt;&lt;wsp:rsid wsp:val=&quot;00C96D52&quot;/&gt;&lt;wsp:rsid wsp:val=&quot;00C9711C&quot;/&gt;&lt;wsp:rsid wsp:val=&quot;00C97134&quot;/&gt;&lt;wsp:rsid wsp:val=&quot;00C972AF&quot;/&gt;&lt;wsp:rsid wsp:val=&quot;00C97EFC&quot;/&gt;&lt;wsp:rsid wsp:val=&quot;00CA06E2&quot;/&gt;&lt;wsp:rsid wsp:val=&quot;00CA16C2&quot;/&gt;&lt;wsp:rsid wsp:val=&quot;00CA17A2&quot;/&gt;&lt;wsp:rsid wsp:val=&quot;00CA1D9D&quot;/&gt;&lt;wsp:rsid wsp:val=&quot;00CA24A1&quot;/&gt;&lt;wsp:rsid wsp:val=&quot;00CA2A4D&quot;/&gt;&lt;wsp:rsid wsp:val=&quot;00CA3525&quot;/&gt;&lt;wsp:rsid wsp:val=&quot;00CA4534&quot;/&gt;&lt;wsp:rsid wsp:val=&quot;00CA45E4&quot;/&gt;&lt;wsp:rsid wsp:val=&quot;00CA4DC3&quot;/&gt;&lt;wsp:rsid wsp:val=&quot;00CA5C69&quot;/&gt;&lt;wsp:rsid wsp:val=&quot;00CA5D2B&quot;/&gt;&lt;wsp:rsid wsp:val=&quot;00CA66AA&quot;/&gt;&lt;wsp:rsid wsp:val=&quot;00CA6D6D&quot;/&gt;&lt;wsp:rsid wsp:val=&quot;00CA6E8B&quot;/&gt;&lt;wsp:rsid wsp:val=&quot;00CA7331&quot;/&gt;&lt;wsp:rsid wsp:val=&quot;00CA77A4&quot;/&gt;&lt;wsp:rsid wsp:val=&quot;00CB0264&quot;/&gt;&lt;wsp:rsid wsp:val=&quot;00CB055A&quot;/&gt;&lt;wsp:rsid wsp:val=&quot;00CB07E1&quot;/&gt;&lt;wsp:rsid wsp:val=&quot;00CB0827&quot;/&gt;&lt;wsp:rsid wsp:val=&quot;00CB126A&quot;/&gt;&lt;wsp:rsid wsp:val=&quot;00CB15F7&quot;/&gt;&lt;wsp:rsid wsp:val=&quot;00CB1AEF&quot;/&gt;&lt;wsp:rsid wsp:val=&quot;00CB1D0A&quot;/&gt;&lt;wsp:rsid wsp:val=&quot;00CB2169&quot;/&gt;&lt;wsp:rsid wsp:val=&quot;00CB25E6&quot;/&gt;&lt;wsp:rsid wsp:val=&quot;00CB326B&quot;/&gt;&lt;wsp:rsid wsp:val=&quot;00CB3623&quot;/&gt;&lt;wsp:rsid wsp:val=&quot;00CB380A&quot;/&gt;&lt;wsp:rsid wsp:val=&quot;00CB3B3B&quot;/&gt;&lt;wsp:rsid wsp:val=&quot;00CB44F3&quot;/&gt;&lt;wsp:rsid wsp:val=&quot;00CB477D&quot;/&gt;&lt;wsp:rsid wsp:val=&quot;00CB4CD5&quot;/&gt;&lt;wsp:rsid wsp:val=&quot;00CB5148&quot;/&gt;&lt;wsp:rsid wsp:val=&quot;00CB52D8&quot;/&gt;&lt;wsp:rsid wsp:val=&quot;00CB54ED&quot;/&gt;&lt;wsp:rsid wsp:val=&quot;00CB576A&quot;/&gt;&lt;wsp:rsid wsp:val=&quot;00CB584A&quot;/&gt;&lt;wsp:rsid wsp:val=&quot;00CB5F12&quot;/&gt;&lt;wsp:rsid wsp:val=&quot;00CB65AC&quot;/&gt;&lt;wsp:rsid wsp:val=&quot;00CB75F4&quot;/&gt;&lt;wsp:rsid wsp:val=&quot;00CB7D0B&quot;/&gt;&lt;wsp:rsid wsp:val=&quot;00CB7E9F&quot;/&gt;&lt;wsp:rsid wsp:val=&quot;00CC07B2&quot;/&gt;&lt;wsp:rsid wsp:val=&quot;00CC135B&quot;/&gt;&lt;wsp:rsid wsp:val=&quot;00CC1694&quot;/&gt;&lt;wsp:rsid wsp:val=&quot;00CC1730&quot;/&gt;&lt;wsp:rsid wsp:val=&quot;00CC1799&quot;/&gt;&lt;wsp:rsid wsp:val=&quot;00CC1884&quot;/&gt;&lt;wsp:rsid wsp:val=&quot;00CC18D4&quot;/&gt;&lt;wsp:rsid wsp:val=&quot;00CC2983&quot;/&gt;&lt;wsp:rsid wsp:val=&quot;00CC2C43&quot;/&gt;&lt;wsp:rsid wsp:val=&quot;00CC31F0&quot;/&gt;&lt;wsp:rsid wsp:val=&quot;00CC3515&quot;/&gt;&lt;wsp:rsid wsp:val=&quot;00CC3919&quot;/&gt;&lt;wsp:rsid wsp:val=&quot;00CC41D3&quot;/&gt;&lt;wsp:rsid wsp:val=&quot;00CC4A3B&quot;/&gt;&lt;wsp:rsid wsp:val=&quot;00CC4A9E&quot;/&gt;&lt;wsp:rsid wsp:val=&quot;00CC4BDD&quot;/&gt;&lt;wsp:rsid wsp:val=&quot;00CC4D8D&quot;/&gt;&lt;wsp:rsid wsp:val=&quot;00CC64CD&quot;/&gt;&lt;wsp:rsid wsp:val=&quot;00CC660E&quot;/&gt;&lt;wsp:rsid wsp:val=&quot;00CC67A1&quot;/&gt;&lt;wsp:rsid wsp:val=&quot;00CC6A1B&quot;/&gt;&lt;wsp:rsid wsp:val=&quot;00CC7024&quot;/&gt;&lt;wsp:rsid wsp:val=&quot;00CC7CDB&quot;/&gt;&lt;wsp:rsid wsp:val=&quot;00CC7E59&quot;/&gt;&lt;wsp:rsid wsp:val=&quot;00CD0869&quot;/&gt;&lt;wsp:rsid wsp:val=&quot;00CD0DFF&quot;/&gt;&lt;wsp:rsid wsp:val=&quot;00CD1674&quot;/&gt;&lt;wsp:rsid wsp:val=&quot;00CD1682&quot;/&gt;&lt;wsp:rsid wsp:val=&quot;00CD1761&quot;/&gt;&lt;wsp:rsid wsp:val=&quot;00CD1A69&quot;/&gt;&lt;wsp:rsid wsp:val=&quot;00CD1EAE&quot;/&gt;&lt;wsp:rsid wsp:val=&quot;00CD2D17&quot;/&gt;&lt;wsp:rsid wsp:val=&quot;00CD2DE9&quot;/&gt;&lt;wsp:rsid wsp:val=&quot;00CD3342&quot;/&gt;&lt;wsp:rsid wsp:val=&quot;00CD364B&quot;/&gt;&lt;wsp:rsid wsp:val=&quot;00CD3834&quot;/&gt;&lt;wsp:rsid wsp:val=&quot;00CD411B&quot;/&gt;&lt;wsp:rsid wsp:val=&quot;00CD4190&quot;/&gt;&lt;wsp:rsid wsp:val=&quot;00CD45B6&quot;/&gt;&lt;wsp:rsid wsp:val=&quot;00CD4C01&quot;/&gt;&lt;wsp:rsid wsp:val=&quot;00CD4E0E&quot;/&gt;&lt;wsp:rsid wsp:val=&quot;00CD4EDE&quot;/&gt;&lt;wsp:rsid wsp:val=&quot;00CD4F0C&quot;/&gt;&lt;wsp:rsid wsp:val=&quot;00CD5011&quot;/&gt;&lt;wsp:rsid wsp:val=&quot;00CD5A6B&quot;/&gt;&lt;wsp:rsid wsp:val=&quot;00CD5B25&quot;/&gt;&lt;wsp:rsid wsp:val=&quot;00CD61AB&quot;/&gt;&lt;wsp:rsid wsp:val=&quot;00CD621F&quot;/&gt;&lt;wsp:rsid wsp:val=&quot;00CD659F&quot;/&gt;&lt;wsp:rsid wsp:val=&quot;00CD65D1&quot;/&gt;&lt;wsp:rsid wsp:val=&quot;00CD6705&quot;/&gt;&lt;wsp:rsid wsp:val=&quot;00CD6C6A&quot;/&gt;&lt;wsp:rsid wsp:val=&quot;00CD788D&quot;/&gt;&lt;wsp:rsid wsp:val=&quot;00CD7B29&quot;/&gt;&lt;wsp:rsid wsp:val=&quot;00CD7B5A&quot;/&gt;&lt;wsp:rsid wsp:val=&quot;00CD7DE3&quot;/&gt;&lt;wsp:rsid wsp:val=&quot;00CD7E66&quot;/&gt;&lt;wsp:rsid wsp:val=&quot;00CD7E8C&quot;/&gt;&lt;wsp:rsid wsp:val=&quot;00CD7FDA&quot;/&gt;&lt;wsp:rsid wsp:val=&quot;00CE0056&quot;/&gt;&lt;wsp:rsid wsp:val=&quot;00CE0410&quot;/&gt;&lt;wsp:rsid wsp:val=&quot;00CE04D2&quot;/&gt;&lt;wsp:rsid wsp:val=&quot;00CE09D8&quot;/&gt;&lt;wsp:rsid wsp:val=&quot;00CE0C60&quot;/&gt;&lt;wsp:rsid wsp:val=&quot;00CE0D23&quot;/&gt;&lt;wsp:rsid wsp:val=&quot;00CE136C&quot;/&gt;&lt;wsp:rsid wsp:val=&quot;00CE1532&quot;/&gt;&lt;wsp:rsid wsp:val=&quot;00CE1536&quot;/&gt;&lt;wsp:rsid wsp:val=&quot;00CE1BC4&quot;/&gt;&lt;wsp:rsid wsp:val=&quot;00CE21B7&quot;/&gt;&lt;wsp:rsid wsp:val=&quot;00CE27A2&quot;/&gt;&lt;wsp:rsid wsp:val=&quot;00CE3458&quot;/&gt;&lt;wsp:rsid wsp:val=&quot;00CE357F&quot;/&gt;&lt;wsp:rsid wsp:val=&quot;00CE35D3&quot;/&gt;&lt;wsp:rsid wsp:val=&quot;00CE36FB&quot;/&gt;&lt;wsp:rsid wsp:val=&quot;00CE3842&quot;/&gt;&lt;wsp:rsid wsp:val=&quot;00CE393E&quot;/&gt;&lt;wsp:rsid wsp:val=&quot;00CE3FC3&quot;/&gt;&lt;wsp:rsid wsp:val=&quot;00CE40FF&quot;/&gt;&lt;wsp:rsid wsp:val=&quot;00CE4452&quot;/&gt;&lt;wsp:rsid wsp:val=&quot;00CE48C5&quot;/&gt;&lt;wsp:rsid wsp:val=&quot;00CE5188&quot;/&gt;&lt;wsp:rsid wsp:val=&quot;00CE5244&quot;/&gt;&lt;wsp:rsid wsp:val=&quot;00CE525D&quot;/&gt;&lt;wsp:rsid wsp:val=&quot;00CE568A&quot;/&gt;&lt;wsp:rsid wsp:val=&quot;00CE56E1&quot;/&gt;&lt;wsp:rsid wsp:val=&quot;00CE5C4D&quot;/&gt;&lt;wsp:rsid wsp:val=&quot;00CE61EE&quot;/&gt;&lt;wsp:rsid wsp:val=&quot;00CE65AD&quot;/&gt;&lt;wsp:rsid wsp:val=&quot;00CE680F&quot;/&gt;&lt;wsp:rsid wsp:val=&quot;00CE6D4E&quot;/&gt;&lt;wsp:rsid wsp:val=&quot;00CE6E96&quot;/&gt;&lt;wsp:rsid wsp:val=&quot;00CE7192&quot;/&gt;&lt;wsp:rsid wsp:val=&quot;00CE738E&quot;/&gt;&lt;wsp:rsid wsp:val=&quot;00CE73B4&quot;/&gt;&lt;wsp:rsid wsp:val=&quot;00CE7593&quot;/&gt;&lt;wsp:rsid wsp:val=&quot;00CE7646&quot;/&gt;&lt;wsp:rsid wsp:val=&quot;00CF0165&quot;/&gt;&lt;wsp:rsid wsp:val=&quot;00CF03CF&quot;/&gt;&lt;wsp:rsid wsp:val=&quot;00CF051C&quot;/&gt;&lt;wsp:rsid wsp:val=&quot;00CF0EF4&quot;/&gt;&lt;wsp:rsid wsp:val=&quot;00CF0FE1&quot;/&gt;&lt;wsp:rsid wsp:val=&quot;00CF186F&quot;/&gt;&lt;wsp:rsid wsp:val=&quot;00CF20E0&quot;/&gt;&lt;wsp:rsid wsp:val=&quot;00CF237E&quot;/&gt;&lt;wsp:rsid wsp:val=&quot;00CF28A6&quot;/&gt;&lt;wsp:rsid wsp:val=&quot;00CF2E40&quot;/&gt;&lt;wsp:rsid wsp:val=&quot;00CF2F60&quot;/&gt;&lt;wsp:rsid wsp:val=&quot;00CF3DE5&quot;/&gt;&lt;wsp:rsid wsp:val=&quot;00CF468A&quot;/&gt;&lt;wsp:rsid wsp:val=&quot;00CF493B&quot;/&gt;&lt;wsp:rsid wsp:val=&quot;00CF527B&quot;/&gt;&lt;wsp:rsid wsp:val=&quot;00CF58B2&quot;/&gt;&lt;wsp:rsid wsp:val=&quot;00CF67D6&quot;/&gt;&lt;wsp:rsid wsp:val=&quot;00CF6A3C&quot;/&gt;&lt;wsp:rsid wsp:val=&quot;00CF6A5C&quot;/&gt;&lt;wsp:rsid wsp:val=&quot;00CF6AA1&quot;/&gt;&lt;wsp:rsid wsp:val=&quot;00CF7377&quot;/&gt;&lt;wsp:rsid wsp:val=&quot;00D00561&quot;/&gt;&lt;wsp:rsid wsp:val=&quot;00D00716&quot;/&gt;&lt;wsp:rsid wsp:val=&quot;00D00AD5&quot;/&gt;&lt;wsp:rsid wsp:val=&quot;00D00D95&quot;/&gt;&lt;wsp:rsid wsp:val=&quot;00D02CE3&quot;/&gt;&lt;wsp:rsid wsp:val=&quot;00D02D32&quot;/&gt;&lt;wsp:rsid wsp:val=&quot;00D03B40&quot;/&gt;&lt;wsp:rsid wsp:val=&quot;00D03C0B&quot;/&gt;&lt;wsp:rsid wsp:val=&quot;00D03C49&quot;/&gt;&lt;wsp:rsid wsp:val=&quot;00D042E2&quot;/&gt;&lt;wsp:rsid wsp:val=&quot;00D04CA1&quot;/&gt;&lt;wsp:rsid wsp:val=&quot;00D05613&quot;/&gt;&lt;wsp:rsid wsp:val=&quot;00D056CD&quot;/&gt;&lt;wsp:rsid wsp:val=&quot;00D05BAB&quot;/&gt;&lt;wsp:rsid wsp:val=&quot;00D05E7C&quot;/&gt;&lt;wsp:rsid wsp:val=&quot;00D05EDB&quot;/&gt;&lt;wsp:rsid wsp:val=&quot;00D0673F&quot;/&gt;&lt;wsp:rsid wsp:val=&quot;00D068A2&quot;/&gt;&lt;wsp:rsid wsp:val=&quot;00D06A5F&quot;/&gt;&lt;wsp:rsid wsp:val=&quot;00D06E0F&quot;/&gt;&lt;wsp:rsid wsp:val=&quot;00D0733B&quot;/&gt;&lt;wsp:rsid wsp:val=&quot;00D10036&quot;/&gt;&lt;wsp:rsid wsp:val=&quot;00D100BA&quot;/&gt;&lt;wsp:rsid wsp:val=&quot;00D10220&quot;/&gt;&lt;wsp:rsid wsp:val=&quot;00D10A5D&quot;/&gt;&lt;wsp:rsid wsp:val=&quot;00D110EC&quot;/&gt;&lt;wsp:rsid wsp:val=&quot;00D11A1B&quot;/&gt;&lt;wsp:rsid wsp:val=&quot;00D11C01&quot;/&gt;&lt;wsp:rsid wsp:val=&quot;00D11D1A&quot;/&gt;&lt;wsp:rsid wsp:val=&quot;00D11DCD&quot;/&gt;&lt;wsp:rsid wsp:val=&quot;00D11DEE&quot;/&gt;&lt;wsp:rsid wsp:val=&quot;00D11F26&quot;/&gt;&lt;wsp:rsid wsp:val=&quot;00D124B0&quot;/&gt;&lt;wsp:rsid wsp:val=&quot;00D12992&quot;/&gt;&lt;wsp:rsid wsp:val=&quot;00D12A3D&quot;/&gt;&lt;wsp:rsid wsp:val=&quot;00D12B0A&quot;/&gt;&lt;wsp:rsid wsp:val=&quot;00D12BE9&quot;/&gt;&lt;wsp:rsid wsp:val=&quot;00D12D55&quot;/&gt;&lt;wsp:rsid wsp:val=&quot;00D12EDA&quot;/&gt;&lt;wsp:rsid wsp:val=&quot;00D12F3B&quot;/&gt;&lt;wsp:rsid wsp:val=&quot;00D1309E&quot;/&gt;&lt;wsp:rsid wsp:val=&quot;00D13328&quot;/&gt;&lt;wsp:rsid wsp:val=&quot;00D138C2&quot;/&gt;&lt;wsp:rsid wsp:val=&quot;00D13A65&quot;/&gt;&lt;wsp:rsid wsp:val=&quot;00D13B2D&quot;/&gt;&lt;wsp:rsid wsp:val=&quot;00D143B3&quot;/&gt;&lt;wsp:rsid wsp:val=&quot;00D14E5C&quot;/&gt;&lt;wsp:rsid wsp:val=&quot;00D1511F&quot;/&gt;&lt;wsp:rsid wsp:val=&quot;00D156D6&quot;/&gt;&lt;wsp:rsid wsp:val=&quot;00D15B18&quot;/&gt;&lt;wsp:rsid wsp:val=&quot;00D15EB0&quot;/&gt;&lt;wsp:rsid wsp:val=&quot;00D161F2&quot;/&gt;&lt;wsp:rsid wsp:val=&quot;00D1661E&quot;/&gt;&lt;wsp:rsid wsp:val=&quot;00D167AA&quot;/&gt;&lt;wsp:rsid wsp:val=&quot;00D16E8E&quot;/&gt;&lt;wsp:rsid wsp:val=&quot;00D16F29&quot;/&gt;&lt;wsp:rsid wsp:val=&quot;00D171DF&quot;/&gt;&lt;wsp:rsid wsp:val=&quot;00D17240&quot;/&gt;&lt;wsp:rsid wsp:val=&quot;00D1747C&quot;/&gt;&lt;wsp:rsid wsp:val=&quot;00D17D8D&quot;/&gt;&lt;wsp:rsid wsp:val=&quot;00D20E0F&quot;/&gt;&lt;wsp:rsid wsp:val=&quot;00D21C98&quot;/&gt;&lt;wsp:rsid wsp:val=&quot;00D21D28&quot;/&gt;&lt;wsp:rsid wsp:val=&quot;00D2202A&quot;/&gt;&lt;wsp:rsid wsp:val=&quot;00D22402&quot;/&gt;&lt;wsp:rsid wsp:val=&quot;00D2283D&quot;/&gt;&lt;wsp:rsid wsp:val=&quot;00D23013&quot;/&gt;&lt;wsp:rsid wsp:val=&quot;00D230EF&quot;/&gt;&lt;wsp:rsid wsp:val=&quot;00D23BB0&quot;/&gt;&lt;wsp:rsid wsp:val=&quot;00D24318&quot;/&gt;&lt;wsp:rsid wsp:val=&quot;00D2526F&quot;/&gt;&lt;wsp:rsid wsp:val=&quot;00D25C96&quot;/&gt;&lt;wsp:rsid wsp:val=&quot;00D25D43&quot;/&gt;&lt;wsp:rsid wsp:val=&quot;00D25E99&quot;/&gt;&lt;wsp:rsid wsp:val=&quot;00D2639C&quot;/&gt;&lt;wsp:rsid wsp:val=&quot;00D266BB&quot;/&gt;&lt;wsp:rsid wsp:val=&quot;00D26A08&quot;/&gt;&lt;wsp:rsid wsp:val=&quot;00D26B12&quot;/&gt;&lt;wsp:rsid wsp:val=&quot;00D26D2C&quot;/&gt;&lt;wsp:rsid wsp:val=&quot;00D26DCA&quot;/&gt;&lt;wsp:rsid wsp:val=&quot;00D26ED7&quot;/&gt;&lt;wsp:rsid wsp:val=&quot;00D273C5&quot;/&gt;&lt;wsp:rsid wsp:val=&quot;00D273D6&quot;/&gt;&lt;wsp:rsid wsp:val=&quot;00D27909&quot;/&gt;&lt;wsp:rsid wsp:val=&quot;00D27DEB&quot;/&gt;&lt;wsp:rsid wsp:val=&quot;00D27E8E&quot;/&gt;&lt;wsp:rsid wsp:val=&quot;00D27F78&quot;/&gt;&lt;wsp:rsid wsp:val=&quot;00D301A1&quot;/&gt;&lt;wsp:rsid wsp:val=&quot;00D316DC&quot;/&gt;&lt;wsp:rsid wsp:val=&quot;00D32215&quot;/&gt;&lt;wsp:rsid wsp:val=&quot;00D32264&quot;/&gt;&lt;wsp:rsid wsp:val=&quot;00D33A3F&quot;/&gt;&lt;wsp:rsid wsp:val=&quot;00D33E15&quot;/&gt;&lt;wsp:rsid wsp:val=&quot;00D34712&quot;/&gt;&lt;wsp:rsid wsp:val=&quot;00D34A42&quot;/&gt;&lt;wsp:rsid wsp:val=&quot;00D3513F&quot;/&gt;&lt;wsp:rsid wsp:val=&quot;00D3557A&quot;/&gt;&lt;wsp:rsid wsp:val=&quot;00D35CB3&quot;/&gt;&lt;wsp:rsid wsp:val=&quot;00D36085&quot;/&gt;&lt;wsp:rsid wsp:val=&quot;00D368A2&quot;/&gt;&lt;wsp:rsid wsp:val=&quot;00D36915&quot;/&gt;&lt;wsp:rsid wsp:val=&quot;00D36AC1&quot;/&gt;&lt;wsp:rsid wsp:val=&quot;00D36D2A&quot;/&gt;&lt;wsp:rsid wsp:val=&quot;00D37806&quot;/&gt;&lt;wsp:rsid wsp:val=&quot;00D37954&quot;/&gt;&lt;wsp:rsid wsp:val=&quot;00D40A69&quot;/&gt;&lt;wsp:rsid wsp:val=&quot;00D41727&quot;/&gt;&lt;wsp:rsid wsp:val=&quot;00D41852&quot;/&gt;&lt;wsp:rsid wsp:val=&quot;00D41C01&quot;/&gt;&lt;wsp:rsid wsp:val=&quot;00D42DA0&quot;/&gt;&lt;wsp:rsid wsp:val=&quot;00D4344D&quot;/&gt;&lt;wsp:rsid wsp:val=&quot;00D447CC&quot;/&gt;&lt;wsp:rsid wsp:val=&quot;00D447ED&quot;/&gt;&lt;wsp:rsid wsp:val=&quot;00D4484D&quot;/&gt;&lt;wsp:rsid wsp:val=&quot;00D44A65&quot;/&gt;&lt;wsp:rsid wsp:val=&quot;00D44D71&quot;/&gt;&lt;wsp:rsid wsp:val=&quot;00D45EC2&quot;/&gt;&lt;wsp:rsid wsp:val=&quot;00D45F29&quot;/&gt;&lt;wsp:rsid wsp:val=&quot;00D463AC&quot;/&gt;&lt;wsp:rsid wsp:val=&quot;00D465E3&quot;/&gt;&lt;wsp:rsid wsp:val=&quot;00D46611&quot;/&gt;&lt;wsp:rsid wsp:val=&quot;00D4696C&quot;/&gt;&lt;wsp:rsid wsp:val=&quot;00D47DBA&quot;/&gt;&lt;wsp:rsid wsp:val=&quot;00D50433&quot;/&gt;&lt;wsp:rsid wsp:val=&quot;00D50631&quot;/&gt;&lt;wsp:rsid wsp:val=&quot;00D506C7&quot;/&gt;&lt;wsp:rsid wsp:val=&quot;00D5092C&quot;/&gt;&lt;wsp:rsid wsp:val=&quot;00D51120&quot;/&gt;&lt;wsp:rsid wsp:val=&quot;00D51806&quot;/&gt;&lt;wsp:rsid wsp:val=&quot;00D51AA1&quot;/&gt;&lt;wsp:rsid wsp:val=&quot;00D52007&quot;/&gt;&lt;wsp:rsid wsp:val=&quot;00D5212F&quot;/&gt;&lt;wsp:rsid wsp:val=&quot;00D52880&quot;/&gt;&lt;wsp:rsid wsp:val=&quot;00D53998&quot;/&gt;&lt;wsp:rsid wsp:val=&quot;00D53CE3&quot;/&gt;&lt;wsp:rsid wsp:val=&quot;00D542AC&quot;/&gt;&lt;wsp:rsid wsp:val=&quot;00D542F1&quot;/&gt;&lt;wsp:rsid wsp:val=&quot;00D54F6C&quot;/&gt;&lt;wsp:rsid wsp:val=&quot;00D56505&quot;/&gt;&lt;wsp:rsid wsp:val=&quot;00D5673C&quot;/&gt;&lt;wsp:rsid wsp:val=&quot;00D5695B&quot;/&gt;&lt;wsp:rsid wsp:val=&quot;00D56E33&quot;/&gt;&lt;wsp:rsid wsp:val=&quot;00D56E91&quot;/&gt;&lt;wsp:rsid wsp:val=&quot;00D57767&quot;/&gt;&lt;wsp:rsid wsp:val=&quot;00D57FD5&quot;/&gt;&lt;wsp:rsid wsp:val=&quot;00D60C02&quot;/&gt;&lt;wsp:rsid wsp:val=&quot;00D60DDF&quot;/&gt;&lt;wsp:rsid wsp:val=&quot;00D6138F&quot;/&gt;&lt;wsp:rsid wsp:val=&quot;00D6168F&quot;/&gt;&lt;wsp:rsid wsp:val=&quot;00D61A2B&quot;/&gt;&lt;wsp:rsid wsp:val=&quot;00D6237B&quot;/&gt;&lt;wsp:rsid wsp:val=&quot;00D6264F&quot;/&gt;&lt;wsp:rsid wsp:val=&quot;00D62AEB&quot;/&gt;&lt;wsp:rsid wsp:val=&quot;00D63C91&quot;/&gt;&lt;wsp:rsid wsp:val=&quot;00D63F44&quot;/&gt;&lt;wsp:rsid wsp:val=&quot;00D642F1&quot;/&gt;&lt;wsp:rsid wsp:val=&quot;00D64564&quot;/&gt;&lt;wsp:rsid wsp:val=&quot;00D64AA5&quot;/&gt;&lt;wsp:rsid wsp:val=&quot;00D64DFA&quot;/&gt;&lt;wsp:rsid wsp:val=&quot;00D64F83&quot;/&gt;&lt;wsp:rsid wsp:val=&quot;00D650AF&quot;/&gt;&lt;wsp:rsid wsp:val=&quot;00D65592&quot;/&gt;&lt;wsp:rsid wsp:val=&quot;00D655C7&quot;/&gt;&lt;wsp:rsid wsp:val=&quot;00D65B36&quot;/&gt;&lt;wsp:rsid wsp:val=&quot;00D6629B&quot;/&gt;&lt;wsp:rsid wsp:val=&quot;00D664D9&quot;/&gt;&lt;wsp:rsid wsp:val=&quot;00D66848&quot;/&gt;&lt;wsp:rsid wsp:val=&quot;00D67041&quot;/&gt;&lt;wsp:rsid wsp:val=&quot;00D67C22&quot;/&gt;&lt;wsp:rsid wsp:val=&quot;00D67C26&quot;/&gt;&lt;wsp:rsid wsp:val=&quot;00D700E7&quot;/&gt;&lt;wsp:rsid wsp:val=&quot;00D702F8&quot;/&gt;&lt;wsp:rsid wsp:val=&quot;00D704FC&quot;/&gt;&lt;wsp:rsid wsp:val=&quot;00D707A8&quot;/&gt;&lt;wsp:rsid wsp:val=&quot;00D71083&quot;/&gt;&lt;wsp:rsid wsp:val=&quot;00D71D64&quot;/&gt;&lt;wsp:rsid wsp:val=&quot;00D721A5&quot;/&gt;&lt;wsp:rsid wsp:val=&quot;00D72437&quot;/&gt;&lt;wsp:rsid wsp:val=&quot;00D7243A&quot;/&gt;&lt;wsp:rsid wsp:val=&quot;00D726D1&quot;/&gt;&lt;wsp:rsid wsp:val=&quot;00D72FBB&quot;/&gt;&lt;wsp:rsid wsp:val=&quot;00D734AC&quot;/&gt;&lt;wsp:rsid wsp:val=&quot;00D7358E&quot;/&gt;&lt;wsp:rsid wsp:val=&quot;00D73A67&quot;/&gt;&lt;wsp:rsid wsp:val=&quot;00D74034&quot;/&gt;&lt;wsp:rsid wsp:val=&quot;00D748A0&quot;/&gt;&lt;wsp:rsid wsp:val=&quot;00D74A77&quot;/&gt;&lt;wsp:rsid wsp:val=&quot;00D74E43&quot;/&gt;&lt;wsp:rsid wsp:val=&quot;00D74EBD&quot;/&gt;&lt;wsp:rsid wsp:val=&quot;00D7520A&quot;/&gt;&lt;wsp:rsid wsp:val=&quot;00D75455&quot;/&gt;&lt;wsp:rsid wsp:val=&quot;00D758B4&quot;/&gt;&lt;wsp:rsid wsp:val=&quot;00D7593F&quot;/&gt;&lt;wsp:rsid wsp:val=&quot;00D7598F&quot;/&gt;&lt;wsp:rsid wsp:val=&quot;00D764DF&quot;/&gt;&lt;wsp:rsid wsp:val=&quot;00D769DD&quot;/&gt;&lt;wsp:rsid wsp:val=&quot;00D7709E&quot;/&gt;&lt;wsp:rsid wsp:val=&quot;00D7783E&quot;/&gt;&lt;wsp:rsid wsp:val=&quot;00D77D3C&quot;/&gt;&lt;wsp:rsid wsp:val=&quot;00D8029B&quot;/&gt;&lt;wsp:rsid wsp:val=&quot;00D8267C&quot;/&gt;&lt;wsp:rsid wsp:val=&quot;00D8275F&quot;/&gt;&lt;wsp:rsid wsp:val=&quot;00D82A57&quot;/&gt;&lt;wsp:rsid wsp:val=&quot;00D82C3E&quot;/&gt;&lt;wsp:rsid wsp:val=&quot;00D8300C&quot;/&gt;&lt;wsp:rsid wsp:val=&quot;00D835F1&quot;/&gt;&lt;wsp:rsid wsp:val=&quot;00D83911&quot;/&gt;&lt;wsp:rsid wsp:val=&quot;00D8391E&quot;/&gt;&lt;wsp:rsid wsp:val=&quot;00D83A9C&quot;/&gt;&lt;wsp:rsid wsp:val=&quot;00D83C7E&quot;/&gt;&lt;wsp:rsid wsp:val=&quot;00D84015&quot;/&gt;&lt;wsp:rsid wsp:val=&quot;00D8402D&quot;/&gt;&lt;wsp:rsid wsp:val=&quot;00D840EA&quot;/&gt;&lt;wsp:rsid wsp:val=&quot;00D841BD&quot;/&gt;&lt;wsp:rsid wsp:val=&quot;00D84340&quot;/&gt;&lt;wsp:rsid wsp:val=&quot;00D8438C&quot;/&gt;&lt;wsp:rsid wsp:val=&quot;00D8538B&quot;/&gt;&lt;wsp:rsid wsp:val=&quot;00D8587D&quot;/&gt;&lt;wsp:rsid wsp:val=&quot;00D85A1C&quot;/&gt;&lt;wsp:rsid wsp:val=&quot;00D85A9E&quot;/&gt;&lt;wsp:rsid wsp:val=&quot;00D86B00&quot;/&gt;&lt;wsp:rsid wsp:val=&quot;00D86B4A&quot;/&gt;&lt;wsp:rsid wsp:val=&quot;00D86FFC&quot;/&gt;&lt;wsp:rsid wsp:val=&quot;00D871AF&quot;/&gt;&lt;wsp:rsid wsp:val=&quot;00D876CD&quot;/&gt;&lt;wsp:rsid wsp:val=&quot;00D87872&quot;/&gt;&lt;wsp:rsid wsp:val=&quot;00D87CB5&quot;/&gt;&lt;wsp:rsid wsp:val=&quot;00D90528&quot;/&gt;&lt;wsp:rsid wsp:val=&quot;00D9099A&quot;/&gt;&lt;wsp:rsid wsp:val=&quot;00D90F60&quot;/&gt;&lt;wsp:rsid wsp:val=&quot;00D91528&quot;/&gt;&lt;wsp:rsid wsp:val=&quot;00D91829&quot;/&gt;&lt;wsp:rsid wsp:val=&quot;00D91ABF&quot;/&gt;&lt;wsp:rsid wsp:val=&quot;00D927F5&quot;/&gt;&lt;wsp:rsid wsp:val=&quot;00D92ED2&quot;/&gt;&lt;wsp:rsid wsp:val=&quot;00D92F3C&quot;/&gt;&lt;wsp:rsid wsp:val=&quot;00D93BCE&quot;/&gt;&lt;wsp:rsid wsp:val=&quot;00D94201&quot;/&gt;&lt;wsp:rsid wsp:val=&quot;00D944B3&quot;/&gt;&lt;wsp:rsid wsp:val=&quot;00D9482E&quot;/&gt;&lt;wsp:rsid wsp:val=&quot;00D94ED0&quot;/&gt;&lt;wsp:rsid wsp:val=&quot;00D9517F&quot;/&gt;&lt;wsp:rsid wsp:val=&quot;00D96C61&quot;/&gt;&lt;wsp:rsid wsp:val=&quot;00D96DAC&quot;/&gt;&lt;wsp:rsid wsp:val=&quot;00D96ECA&quot;/&gt;&lt;wsp:rsid wsp:val=&quot;00D971FC&quot;/&gt;&lt;wsp:rsid wsp:val=&quot;00D97391&quot;/&gt;&lt;wsp:rsid wsp:val=&quot;00D97412&quot;/&gt;&lt;wsp:rsid wsp:val=&quot;00D97B77&quot;/&gt;&lt;wsp:rsid wsp:val=&quot;00D97C09&quot;/&gt;&lt;wsp:rsid wsp:val=&quot;00D97C83&quot;/&gt;&lt;wsp:rsid wsp:val=&quot;00D97D8D&quot;/&gt;&lt;wsp:rsid wsp:val=&quot;00DA0311&quot;/&gt;&lt;wsp:rsid wsp:val=&quot;00DA057A&quot;/&gt;&lt;wsp:rsid wsp:val=&quot;00DA0582&quot;/&gt;&lt;wsp:rsid wsp:val=&quot;00DA07D4&quot;/&gt;&lt;wsp:rsid wsp:val=&quot;00DA0BFB&quot;/&gt;&lt;wsp:rsid wsp:val=&quot;00DA13B2&quot;/&gt;&lt;wsp:rsid wsp:val=&quot;00DA1816&quot;/&gt;&lt;wsp:rsid wsp:val=&quot;00DA256C&quot;/&gt;&lt;wsp:rsid wsp:val=&quot;00DA32B0&quot;/&gt;&lt;wsp:rsid wsp:val=&quot;00DA357A&quot;/&gt;&lt;wsp:rsid wsp:val=&quot;00DA3C6F&quot;/&gt;&lt;wsp:rsid wsp:val=&quot;00DA3D10&quot;/&gt;&lt;wsp:rsid wsp:val=&quot;00DA41B9&quot;/&gt;&lt;wsp:rsid wsp:val=&quot;00DA46A9&quot;/&gt;&lt;wsp:rsid wsp:val=&quot;00DA477E&quot;/&gt;&lt;wsp:rsid wsp:val=&quot;00DA4837&quot;/&gt;&lt;wsp:rsid wsp:val=&quot;00DA4E15&quot;/&gt;&lt;wsp:rsid wsp:val=&quot;00DA4F00&quot;/&gt;&lt;wsp:rsid wsp:val=&quot;00DA5AA9&quot;/&gt;&lt;wsp:rsid wsp:val=&quot;00DA5D3E&quot;/&gt;&lt;wsp:rsid wsp:val=&quot;00DA6216&quot;/&gt;&lt;wsp:rsid wsp:val=&quot;00DA6B2D&quot;/&gt;&lt;wsp:rsid wsp:val=&quot;00DA73E7&quot;/&gt;&lt;wsp:rsid wsp:val=&quot;00DA7462&quot;/&gt;&lt;wsp:rsid wsp:val=&quot;00DA7521&quot;/&gt;&lt;wsp:rsid wsp:val=&quot;00DA7DD9&quot;/&gt;&lt;wsp:rsid wsp:val=&quot;00DB0669&quot;/&gt;&lt;wsp:rsid wsp:val=&quot;00DB074D&quot;/&gt;&lt;wsp:rsid wsp:val=&quot;00DB0871&quot;/&gt;&lt;wsp:rsid wsp:val=&quot;00DB1325&quot;/&gt;&lt;wsp:rsid wsp:val=&quot;00DB13B9&quot;/&gt;&lt;wsp:rsid wsp:val=&quot;00DB1553&quot;/&gt;&lt;wsp:rsid wsp:val=&quot;00DB19AD&quot;/&gt;&lt;wsp:rsid wsp:val=&quot;00DB1EDC&quot;/&gt;&lt;wsp:rsid wsp:val=&quot;00DB24E4&quot;/&gt;&lt;wsp:rsid wsp:val=&quot;00DB2A8E&quot;/&gt;&lt;wsp:rsid wsp:val=&quot;00DB2C06&quot;/&gt;&lt;wsp:rsid wsp:val=&quot;00DB2F54&quot;/&gt;&lt;wsp:rsid wsp:val=&quot;00DB2FFF&quot;/&gt;&lt;wsp:rsid wsp:val=&quot;00DB35BC&quot;/&gt;&lt;wsp:rsid wsp:val=&quot;00DB36FA&quot;/&gt;&lt;wsp:rsid wsp:val=&quot;00DB3B76&quot;/&gt;&lt;wsp:rsid wsp:val=&quot;00DB3CC6&quot;/&gt;&lt;wsp:rsid wsp:val=&quot;00DB4455&quot;/&gt;&lt;wsp:rsid wsp:val=&quot;00DB4818&quot;/&gt;&lt;wsp:rsid wsp:val=&quot;00DB4879&quot;/&gt;&lt;wsp:rsid wsp:val=&quot;00DB49CC&quot;/&gt;&lt;wsp:rsid wsp:val=&quot;00DB4B86&quot;/&gt;&lt;wsp:rsid wsp:val=&quot;00DB4DD3&quot;/&gt;&lt;wsp:rsid wsp:val=&quot;00DB4EAC&quot;/&gt;&lt;wsp:rsid wsp:val=&quot;00DB5D98&quot;/&gt;&lt;wsp:rsid wsp:val=&quot;00DB6712&quot;/&gt;&lt;wsp:rsid wsp:val=&quot;00DB672B&quot;/&gt;&lt;wsp:rsid wsp:val=&quot;00DB6B18&quot;/&gt;&lt;wsp:rsid wsp:val=&quot;00DB6E51&quot;/&gt;&lt;wsp:rsid wsp:val=&quot;00DB7B9D&quot;/&gt;&lt;wsp:rsid wsp:val=&quot;00DC00B9&quot;/&gt;&lt;wsp:rsid wsp:val=&quot;00DC0459&quot;/&gt;&lt;wsp:rsid wsp:val=&quot;00DC0BFC&quot;/&gt;&lt;wsp:rsid wsp:val=&quot;00DC209E&quot;/&gt;&lt;wsp:rsid wsp:val=&quot;00DC217D&quot;/&gt;&lt;wsp:rsid wsp:val=&quot;00DC24AF&quot;/&gt;&lt;wsp:rsid wsp:val=&quot;00DC260E&quot;/&gt;&lt;wsp:rsid wsp:val=&quot;00DC2B0D&quot;/&gt;&lt;wsp:rsid wsp:val=&quot;00DC3185&quot;/&gt;&lt;wsp:rsid wsp:val=&quot;00DC31B6&quot;/&gt;&lt;wsp:rsid wsp:val=&quot;00DC32A3&quot;/&gt;&lt;wsp:rsid wsp:val=&quot;00DC34A9&quot;/&gt;&lt;wsp:rsid wsp:val=&quot;00DC38A1&quot;/&gt;&lt;wsp:rsid wsp:val=&quot;00DC3EF7&quot;/&gt;&lt;wsp:rsid wsp:val=&quot;00DC3F22&quot;/&gt;&lt;wsp:rsid wsp:val=&quot;00DC46BF&quot;/&gt;&lt;wsp:rsid wsp:val=&quot;00DC49DE&quot;/&gt;&lt;wsp:rsid wsp:val=&quot;00DC4D8E&quot;/&gt;&lt;wsp:rsid wsp:val=&quot;00DC4FC3&quot;/&gt;&lt;wsp:rsid wsp:val=&quot;00DC5420&quot;/&gt;&lt;wsp:rsid wsp:val=&quot;00DC5A15&quot;/&gt;&lt;wsp:rsid wsp:val=&quot;00DC5F40&quot;/&gt;&lt;wsp:rsid wsp:val=&quot;00DC611E&quot;/&gt;&lt;wsp:rsid wsp:val=&quot;00DC614C&quot;/&gt;&lt;wsp:rsid wsp:val=&quot;00DC6A7A&quot;/&gt;&lt;wsp:rsid wsp:val=&quot;00DC727B&quot;/&gt;&lt;wsp:rsid wsp:val=&quot;00DC7359&quot;/&gt;&lt;wsp:rsid wsp:val=&quot;00DC73D8&quot;/&gt;&lt;wsp:rsid wsp:val=&quot;00DC7672&quot;/&gt;&lt;wsp:rsid wsp:val=&quot;00DD04D7&quot;/&gt;&lt;wsp:rsid wsp:val=&quot;00DD054D&quot;/&gt;&lt;wsp:rsid wsp:val=&quot;00DD1EEE&quot;/&gt;&lt;wsp:rsid wsp:val=&quot;00DD2014&quot;/&gt;&lt;wsp:rsid wsp:val=&quot;00DD2467&quot;/&gt;&lt;wsp:rsid wsp:val=&quot;00DD2700&quot;/&gt;&lt;wsp:rsid wsp:val=&quot;00DD2887&quot;/&gt;&lt;wsp:rsid wsp:val=&quot;00DD2C38&quot;/&gt;&lt;wsp:rsid wsp:val=&quot;00DD2CB9&quot;/&gt;&lt;wsp:rsid wsp:val=&quot;00DD30AC&quot;/&gt;&lt;wsp:rsid wsp:val=&quot;00DD39DC&quot;/&gt;&lt;wsp:rsid wsp:val=&quot;00DD448E&quot;/&gt;&lt;wsp:rsid wsp:val=&quot;00DD4874&quot;/&gt;&lt;wsp:rsid wsp:val=&quot;00DD4879&quot;/&gt;&lt;wsp:rsid wsp:val=&quot;00DD49E6&quot;/&gt;&lt;wsp:rsid wsp:val=&quot;00DD5D71&quot;/&gt;&lt;wsp:rsid wsp:val=&quot;00DD644A&quot;/&gt;&lt;wsp:rsid wsp:val=&quot;00DD6A3C&quot;/&gt;&lt;wsp:rsid wsp:val=&quot;00DD7B89&quot;/&gt;&lt;wsp:rsid wsp:val=&quot;00DE0074&quot;/&gt;&lt;wsp:rsid wsp:val=&quot;00DE0298&quot;/&gt;&lt;wsp:rsid wsp:val=&quot;00DE05E2&quot;/&gt;&lt;wsp:rsid wsp:val=&quot;00DE0621&quot;/&gt;&lt;wsp:rsid wsp:val=&quot;00DE0AC1&quot;/&gt;&lt;wsp:rsid wsp:val=&quot;00DE0D6D&quot;/&gt;&lt;wsp:rsid wsp:val=&quot;00DE0E59&quot;/&gt;&lt;wsp:rsid wsp:val=&quot;00DE0E95&quot;/&gt;&lt;wsp:rsid wsp:val=&quot;00DE145D&quot;/&gt;&lt;wsp:rsid wsp:val=&quot;00DE1489&quot;/&gt;&lt;wsp:rsid wsp:val=&quot;00DE14F3&quot;/&gt;&lt;wsp:rsid wsp:val=&quot;00DE20BA&quot;/&gt;&lt;wsp:rsid wsp:val=&quot;00DE20EE&quot;/&gt;&lt;wsp:rsid wsp:val=&quot;00DE25CB&quot;/&gt;&lt;wsp:rsid wsp:val=&quot;00DE27A3&quot;/&gt;&lt;wsp:rsid wsp:val=&quot;00DE280D&quot;/&gt;&lt;wsp:rsid wsp:val=&quot;00DE307A&quot;/&gt;&lt;wsp:rsid wsp:val=&quot;00DE317C&quot;/&gt;&lt;wsp:rsid wsp:val=&quot;00DE35DF&quot;/&gt;&lt;wsp:rsid wsp:val=&quot;00DE3C62&quot;/&gt;&lt;wsp:rsid wsp:val=&quot;00DE48BB&quot;/&gt;&lt;wsp:rsid wsp:val=&quot;00DE4A19&quot;/&gt;&lt;wsp:rsid wsp:val=&quot;00DE4DD5&quot;/&gt;&lt;wsp:rsid wsp:val=&quot;00DE53B2&quot;/&gt;&lt;wsp:rsid wsp:val=&quot;00DE624D&quot;/&gt;&lt;wsp:rsid wsp:val=&quot;00DE6394&quot;/&gt;&lt;wsp:rsid wsp:val=&quot;00DE6D95&quot;/&gt;&lt;wsp:rsid wsp:val=&quot;00DE7525&quot;/&gt;&lt;wsp:rsid wsp:val=&quot;00DE7C21&quot;/&gt;&lt;wsp:rsid wsp:val=&quot;00DF0297&quot;/&gt;&lt;wsp:rsid wsp:val=&quot;00DF0A9A&quot;/&gt;&lt;wsp:rsid wsp:val=&quot;00DF0EC3&quot;/&gt;&lt;wsp:rsid wsp:val=&quot;00DF112E&quot;/&gt;&lt;wsp:rsid wsp:val=&quot;00DF16A3&quot;/&gt;&lt;wsp:rsid wsp:val=&quot;00DF17E4&quot;/&gt;&lt;wsp:rsid wsp:val=&quot;00DF1A84&quot;/&gt;&lt;wsp:rsid wsp:val=&quot;00DF1B6E&quot;/&gt;&lt;wsp:rsid wsp:val=&quot;00DF1E0C&quot;/&gt;&lt;wsp:rsid wsp:val=&quot;00DF287B&quot;/&gt;&lt;wsp:rsid wsp:val=&quot;00DF2B8C&quot;/&gt;&lt;wsp:rsid wsp:val=&quot;00DF30D1&quot;/&gt;&lt;wsp:rsid wsp:val=&quot;00DF3508&quot;/&gt;&lt;wsp:rsid wsp:val=&quot;00DF35CA&quot;/&gt;&lt;wsp:rsid wsp:val=&quot;00DF3AF9&quot;/&gt;&lt;wsp:rsid wsp:val=&quot;00DF3D2F&quot;/&gt;&lt;wsp:rsid wsp:val=&quot;00DF44E5&quot;/&gt;&lt;wsp:rsid wsp:val=&quot;00DF46D6&quot;/&gt;&lt;wsp:rsid wsp:val=&quot;00DF4716&quot;/&gt;&lt;wsp:rsid wsp:val=&quot;00DF49E2&quot;/&gt;&lt;wsp:rsid wsp:val=&quot;00DF4B1E&quot;/&gt;&lt;wsp:rsid wsp:val=&quot;00DF4CB2&quot;/&gt;&lt;wsp:rsid wsp:val=&quot;00DF51FC&quot;/&gt;&lt;wsp:rsid wsp:val=&quot;00DF5D55&quot;/&gt;&lt;wsp:rsid wsp:val=&quot;00DF6078&quot;/&gt;&lt;wsp:rsid wsp:val=&quot;00DF610D&quot;/&gt;&lt;wsp:rsid wsp:val=&quot;00DF64B3&quot;/&gt;&lt;wsp:rsid wsp:val=&quot;00DF6608&quot;/&gt;&lt;wsp:rsid wsp:val=&quot;00DF6A6F&quot;/&gt;&lt;wsp:rsid wsp:val=&quot;00DF6C26&quot;/&gt;&lt;wsp:rsid wsp:val=&quot;00DF6E7A&quot;/&gt;&lt;wsp:rsid wsp:val=&quot;00DF7C27&quot;/&gt;&lt;wsp:rsid wsp:val=&quot;00DF7C33&quot;/&gt;&lt;wsp:rsid wsp:val=&quot;00DF7DAF&quot;/&gt;&lt;wsp:rsid wsp:val=&quot;00E00210&quot;/&gt;&lt;wsp:rsid wsp:val=&quot;00E0096C&quot;/&gt;&lt;wsp:rsid wsp:val=&quot;00E01058&quot;/&gt;&lt;wsp:rsid wsp:val=&quot;00E01139&quot;/&gt;&lt;wsp:rsid wsp:val=&quot;00E01D72&quot;/&gt;&lt;wsp:rsid wsp:val=&quot;00E022CD&quot;/&gt;&lt;wsp:rsid wsp:val=&quot;00E02458&quot;/&gt;&lt;wsp:rsid wsp:val=&quot;00E028D0&quot;/&gt;&lt;wsp:rsid wsp:val=&quot;00E02DE3&quot;/&gt;&lt;wsp:rsid wsp:val=&quot;00E02FF0&quot;/&gt;&lt;wsp:rsid wsp:val=&quot;00E03492&quot;/&gt;&lt;wsp:rsid wsp:val=&quot;00E03546&quot;/&gt;&lt;wsp:rsid wsp:val=&quot;00E035F5&quot;/&gt;&lt;wsp:rsid wsp:val=&quot;00E03838&quot;/&gt;&lt;wsp:rsid wsp:val=&quot;00E0424F&quot;/&gt;&lt;wsp:rsid wsp:val=&quot;00E042B8&quot;/&gt;&lt;wsp:rsid wsp:val=&quot;00E04A99&quot;/&gt;&lt;wsp:rsid wsp:val=&quot;00E05B64&quot;/&gt;&lt;wsp:rsid wsp:val=&quot;00E05C7E&quot;/&gt;&lt;wsp:rsid wsp:val=&quot;00E05E76&quot;/&gt;&lt;wsp:rsid wsp:val=&quot;00E05E91&quot;/&gt;&lt;wsp:rsid wsp:val=&quot;00E0630B&quot;/&gt;&lt;wsp:rsid wsp:val=&quot;00E0712D&quot;/&gt;&lt;wsp:rsid wsp:val=&quot;00E0767B&quot;/&gt;&lt;wsp:rsid wsp:val=&quot;00E07A04&quot;/&gt;&lt;wsp:rsid wsp:val=&quot;00E1009D&quot;/&gt;&lt;wsp:rsid wsp:val=&quot;00E106C1&quot;/&gt;&lt;wsp:rsid wsp:val=&quot;00E10961&quot;/&gt;&lt;wsp:rsid wsp:val=&quot;00E11C94&quot;/&gt;&lt;wsp:rsid wsp:val=&quot;00E11E5D&quot;/&gt;&lt;wsp:rsid wsp:val=&quot;00E1338F&quot;/&gt;&lt;wsp:rsid wsp:val=&quot;00E1350A&quot;/&gt;&lt;wsp:rsid wsp:val=&quot;00E13AC2&quot;/&gt;&lt;wsp:rsid wsp:val=&quot;00E13DD5&quot;/&gt;&lt;wsp:rsid wsp:val=&quot;00E14332&quot;/&gt;&lt;wsp:rsid wsp:val=&quot;00E144C3&quot;/&gt;&lt;wsp:rsid wsp:val=&quot;00E14B75&quot;/&gt;&lt;wsp:rsid wsp:val=&quot;00E1564D&quot;/&gt;&lt;wsp:rsid wsp:val=&quot;00E15891&quot;/&gt;&lt;wsp:rsid wsp:val=&quot;00E15D32&quot;/&gt;&lt;wsp:rsid wsp:val=&quot;00E16C53&quot;/&gt;&lt;wsp:rsid wsp:val=&quot;00E16DE7&quot;/&gt;&lt;wsp:rsid wsp:val=&quot;00E16E47&quot;/&gt;&lt;wsp:rsid wsp:val=&quot;00E16FAB&quot;/&gt;&lt;wsp:rsid wsp:val=&quot;00E17225&quot;/&gt;&lt;wsp:rsid wsp:val=&quot;00E172FA&quot;/&gt;&lt;wsp:rsid wsp:val=&quot;00E17507&quot;/&gt;&lt;wsp:rsid wsp:val=&quot;00E1775E&quot;/&gt;&lt;wsp:rsid wsp:val=&quot;00E17B82&quot;/&gt;&lt;wsp:rsid wsp:val=&quot;00E20201&quot;/&gt;&lt;wsp:rsid wsp:val=&quot;00E207E3&quot;/&gt;&lt;wsp:rsid wsp:val=&quot;00E20D00&quot;/&gt;&lt;wsp:rsid wsp:val=&quot;00E21145&quot;/&gt;&lt;wsp:rsid wsp:val=&quot;00E22110&quot;/&gt;&lt;wsp:rsid wsp:val=&quot;00E22A12&quot;/&gt;&lt;wsp:rsid wsp:val=&quot;00E22E7D&quot;/&gt;&lt;wsp:rsid wsp:val=&quot;00E2372D&quot;/&gt;&lt;wsp:rsid wsp:val=&quot;00E23B81&quot;/&gt;&lt;wsp:rsid wsp:val=&quot;00E24219&quot;/&gt;&lt;wsp:rsid wsp:val=&quot;00E24803&quot;/&gt;&lt;wsp:rsid wsp:val=&quot;00E249EB&quot;/&gt;&lt;wsp:rsid wsp:val=&quot;00E24D50&quot;/&gt;&lt;wsp:rsid wsp:val=&quot;00E25110&quot;/&gt;&lt;wsp:rsid wsp:val=&quot;00E2517E&quot;/&gt;&lt;wsp:rsid wsp:val=&quot;00E254AC&quot;/&gt;&lt;wsp:rsid wsp:val=&quot;00E25661&quot;/&gt;&lt;wsp:rsid wsp:val=&quot;00E25710&quot;/&gt;&lt;wsp:rsid wsp:val=&quot;00E26AAE&quot;/&gt;&lt;wsp:rsid wsp:val=&quot;00E27224&quot;/&gt;&lt;wsp:rsid wsp:val=&quot;00E272F1&quot;/&gt;&lt;wsp:rsid wsp:val=&quot;00E27327&quot;/&gt;&lt;wsp:rsid wsp:val=&quot;00E30572&quot;/&gt;&lt;wsp:rsid wsp:val=&quot;00E306D8&quot;/&gt;&lt;wsp:rsid wsp:val=&quot;00E307DE&quot;/&gt;&lt;wsp:rsid wsp:val=&quot;00E3145F&quot;/&gt;&lt;wsp:rsid wsp:val=&quot;00E31477&quot;/&gt;&lt;wsp:rsid wsp:val=&quot;00E3166B&quot;/&gt;&lt;wsp:rsid wsp:val=&quot;00E318BF&quot;/&gt;&lt;wsp:rsid wsp:val=&quot;00E31D09&quot;/&gt;&lt;wsp:rsid wsp:val=&quot;00E32077&quot;/&gt;&lt;wsp:rsid wsp:val=&quot;00E3249A&quot;/&gt;&lt;wsp:rsid wsp:val=&quot;00E325CF&quot;/&gt;&lt;wsp:rsid wsp:val=&quot;00E3321D&quot;/&gt;&lt;wsp:rsid wsp:val=&quot;00E33962&quot;/&gt;&lt;wsp:rsid wsp:val=&quot;00E33CD6&quot;/&gt;&lt;wsp:rsid wsp:val=&quot;00E33D58&quot;/&gt;&lt;wsp:rsid wsp:val=&quot;00E34189&quot;/&gt;&lt;wsp:rsid wsp:val=&quot;00E341AD&quot;/&gt;&lt;wsp:rsid wsp:val=&quot;00E3488E&quot;/&gt;&lt;wsp:rsid wsp:val=&quot;00E34B05&quot;/&gt;&lt;wsp:rsid wsp:val=&quot;00E3512D&quot;/&gt;&lt;wsp:rsid wsp:val=&quot;00E3553A&quot;/&gt;&lt;wsp:rsid wsp:val=&quot;00E35C94&quot;/&gt;&lt;wsp:rsid wsp:val=&quot;00E35FBE&quot;/&gt;&lt;wsp:rsid wsp:val=&quot;00E36837&quot;/&gt;&lt;wsp:rsid wsp:val=&quot;00E3698A&quot;/&gt;&lt;wsp:rsid wsp:val=&quot;00E37445&quot;/&gt;&lt;wsp:rsid wsp:val=&quot;00E37FD9&quot;/&gt;&lt;wsp:rsid wsp:val=&quot;00E40EC0&quot;/&gt;&lt;wsp:rsid wsp:val=&quot;00E41305&quot;/&gt;&lt;wsp:rsid wsp:val=&quot;00E414A3&quot;/&gt;&lt;wsp:rsid wsp:val=&quot;00E4163C&quot;/&gt;&lt;wsp:rsid wsp:val=&quot;00E41740&quot;/&gt;&lt;wsp:rsid wsp:val=&quot;00E4208B&quot;/&gt;&lt;wsp:rsid wsp:val=&quot;00E42889&quot;/&gt;&lt;wsp:rsid wsp:val=&quot;00E42B24&quot;/&gt;&lt;wsp:rsid wsp:val=&quot;00E42E50&quot;/&gt;&lt;wsp:rsid wsp:val=&quot;00E432FB&quot;/&gt;&lt;wsp:rsid wsp:val=&quot;00E439B7&quot;/&gt;&lt;wsp:rsid wsp:val=&quot;00E43ABC&quot;/&gt;&lt;wsp:rsid wsp:val=&quot;00E43DFE&quot;/&gt;&lt;wsp:rsid wsp:val=&quot;00E43E24&quot;/&gt;&lt;wsp:rsid wsp:val=&quot;00E44991&quot;/&gt;&lt;wsp:rsid wsp:val=&quot;00E44CC6&quot;/&gt;&lt;wsp:rsid wsp:val=&quot;00E44E7E&quot;/&gt;&lt;wsp:rsid wsp:val=&quot;00E45360&quot;/&gt;&lt;wsp:rsid wsp:val=&quot;00E4562B&quot;/&gt;&lt;wsp:rsid wsp:val=&quot;00E456A9&quot;/&gt;&lt;wsp:rsid wsp:val=&quot;00E45D20&quot;/&gt;&lt;wsp:rsid wsp:val=&quot;00E46545&quot;/&gt;&lt;wsp:rsid wsp:val=&quot;00E46C3E&quot;/&gt;&lt;wsp:rsid wsp:val=&quot;00E46EF4&quot;/&gt;&lt;wsp:rsid wsp:val=&quot;00E47515&quot;/&gt;&lt;wsp:rsid wsp:val=&quot;00E478CA&quot;/&gt;&lt;wsp:rsid wsp:val=&quot;00E478FA&quot;/&gt;&lt;wsp:rsid wsp:val=&quot;00E47D30&quot;/&gt;&lt;wsp:rsid wsp:val=&quot;00E47D6D&quot;/&gt;&lt;wsp:rsid wsp:val=&quot;00E51686&quot;/&gt;&lt;wsp:rsid wsp:val=&quot;00E517FB&quot;/&gt;&lt;wsp:rsid wsp:val=&quot;00E51875&quot;/&gt;&lt;wsp:rsid wsp:val=&quot;00E52266&quot;/&gt;&lt;wsp:rsid wsp:val=&quot;00E5250A&quot;/&gt;&lt;wsp:rsid wsp:val=&quot;00E5281C&quot;/&gt;&lt;wsp:rsid wsp:val=&quot;00E528FB&quot;/&gt;&lt;wsp:rsid wsp:val=&quot;00E530AB&quot;/&gt;&lt;wsp:rsid wsp:val=&quot;00E538D4&quot;/&gt;&lt;wsp:rsid wsp:val=&quot;00E5411B&quot;/&gt;&lt;wsp:rsid wsp:val=&quot;00E5421A&quot;/&gt;&lt;wsp:rsid wsp:val=&quot;00E546AF&quot;/&gt;&lt;wsp:rsid wsp:val=&quot;00E54940&quot;/&gt;&lt;wsp:rsid wsp:val=&quot;00E54AD6&quot;/&gt;&lt;wsp:rsid wsp:val=&quot;00E54F81&quot;/&gt;&lt;wsp:rsid wsp:val=&quot;00E55035&quot;/&gt;&lt;wsp:rsid wsp:val=&quot;00E550EE&quot;/&gt;&lt;wsp:rsid wsp:val=&quot;00E5590E&quot;/&gt;&lt;wsp:rsid wsp:val=&quot;00E5595A&quot;/&gt;&lt;wsp:rsid wsp:val=&quot;00E5621E&quot;/&gt;&lt;wsp:rsid wsp:val=&quot;00E56A35&quot;/&gt;&lt;wsp:rsid wsp:val=&quot;00E57167&quot;/&gt;&lt;wsp:rsid wsp:val=&quot;00E5720E&quot;/&gt;&lt;wsp:rsid wsp:val=&quot;00E57A3D&quot;/&gt;&lt;wsp:rsid wsp:val=&quot;00E57D92&quot;/&gt;&lt;wsp:rsid wsp:val=&quot;00E604DB&quot;/&gt;&lt;wsp:rsid wsp:val=&quot;00E60CA4&quot;/&gt;&lt;wsp:rsid wsp:val=&quot;00E60EBD&quot;/&gt;&lt;wsp:rsid wsp:val=&quot;00E615F3&quot;/&gt;&lt;wsp:rsid wsp:val=&quot;00E616FF&quot;/&gt;&lt;wsp:rsid wsp:val=&quot;00E61B2D&quot;/&gt;&lt;wsp:rsid wsp:val=&quot;00E61D6E&quot;/&gt;&lt;wsp:rsid wsp:val=&quot;00E62050&quot;/&gt;&lt;wsp:rsid wsp:val=&quot;00E62100&quot;/&gt;&lt;wsp:rsid wsp:val=&quot;00E63F52&quot;/&gt;&lt;wsp:rsid wsp:val=&quot;00E644CD&quot;/&gt;&lt;wsp:rsid wsp:val=&quot;00E64C42&quot;/&gt;&lt;wsp:rsid wsp:val=&quot;00E64DFB&quot;/&gt;&lt;wsp:rsid wsp:val=&quot;00E656F6&quot;/&gt;&lt;wsp:rsid wsp:val=&quot;00E65B8F&quot;/&gt;&lt;wsp:rsid wsp:val=&quot;00E660BE&quot;/&gt;&lt;wsp:rsid wsp:val=&quot;00E665D8&quot;/&gt;&lt;wsp:rsid wsp:val=&quot;00E66E81&quot;/&gt;&lt;wsp:rsid wsp:val=&quot;00E67BE2&quot;/&gt;&lt;wsp:rsid wsp:val=&quot;00E67CCC&quot;/&gt;&lt;wsp:rsid wsp:val=&quot;00E67CE7&quot;/&gt;&lt;wsp:rsid wsp:val=&quot;00E70128&quot;/&gt;&lt;wsp:rsid wsp:val=&quot;00E70593&quot;/&gt;&lt;wsp:rsid wsp:val=&quot;00E706DE&quot;/&gt;&lt;wsp:rsid wsp:val=&quot;00E70763&quot;/&gt;&lt;wsp:rsid wsp:val=&quot;00E708D1&quot;/&gt;&lt;wsp:rsid wsp:val=&quot;00E70AA6&quot;/&gt;&lt;wsp:rsid wsp:val=&quot;00E714C4&quot;/&gt;&lt;wsp:rsid wsp:val=&quot;00E7157E&quot;/&gt;&lt;wsp:rsid wsp:val=&quot;00E71661&quot;/&gt;&lt;wsp:rsid wsp:val=&quot;00E721AB&quot;/&gt;&lt;wsp:rsid wsp:val=&quot;00E722CC&quot;/&gt;&lt;wsp:rsid wsp:val=&quot;00E728FD&quot;/&gt;&lt;wsp:rsid wsp:val=&quot;00E72B4F&quot;/&gt;&lt;wsp:rsid wsp:val=&quot;00E72BB2&quot;/&gt;&lt;wsp:rsid wsp:val=&quot;00E73743&quot;/&gt;&lt;wsp:rsid wsp:val=&quot;00E73BBF&quot;/&gt;&lt;wsp:rsid wsp:val=&quot;00E73EFF&quot;/&gt;&lt;wsp:rsid wsp:val=&quot;00E74570&quot;/&gt;&lt;wsp:rsid wsp:val=&quot;00E74954&quot;/&gt;&lt;wsp:rsid wsp:val=&quot;00E74F92&quot;/&gt;&lt;wsp:rsid wsp:val=&quot;00E75033&quot;/&gt;&lt;wsp:rsid wsp:val=&quot;00E7517E&quot;/&gt;&lt;wsp:rsid wsp:val=&quot;00E755C3&quot;/&gt;&lt;wsp:rsid wsp:val=&quot;00E767B0&quot;/&gt;&lt;wsp:rsid wsp:val=&quot;00E76D31&quot;/&gt;&lt;wsp:rsid wsp:val=&quot;00E773D0&quot;/&gt;&lt;wsp:rsid wsp:val=&quot;00E7741A&quot;/&gt;&lt;wsp:rsid wsp:val=&quot;00E7757F&quot;/&gt;&lt;wsp:rsid wsp:val=&quot;00E77EF6&quot;/&gt;&lt;wsp:rsid wsp:val=&quot;00E8008E&quot;/&gt;&lt;wsp:rsid wsp:val=&quot;00E809AA&quot;/&gt;&lt;wsp:rsid wsp:val=&quot;00E80A0F&quot;/&gt;&lt;wsp:rsid wsp:val=&quot;00E80FCD&quot;/&gt;&lt;wsp:rsid wsp:val=&quot;00E814E9&quot;/&gt;&lt;wsp:rsid wsp:val=&quot;00E815A4&quot;/&gt;&lt;wsp:rsid wsp:val=&quot;00E82447&quot;/&gt;&lt;wsp:rsid wsp:val=&quot;00E828C2&quot;/&gt;&lt;wsp:rsid wsp:val=&quot;00E82AB3&quot;/&gt;&lt;wsp:rsid wsp:val=&quot;00E82C6F&quot;/&gt;&lt;wsp:rsid wsp:val=&quot;00E83757&quot;/&gt;&lt;wsp:rsid wsp:val=&quot;00E839D4&quot;/&gt;&lt;wsp:rsid wsp:val=&quot;00E83B52&quot;/&gt;&lt;wsp:rsid wsp:val=&quot;00E848DD&quot;/&gt;&lt;wsp:rsid wsp:val=&quot;00E84A33&quot;/&gt;&lt;wsp:rsid wsp:val=&quot;00E84CE4&quot;/&gt;&lt;wsp:rsid wsp:val=&quot;00E853F7&quot;/&gt;&lt;wsp:rsid wsp:val=&quot;00E8563D&quot;/&gt;&lt;wsp:rsid wsp:val=&quot;00E85BA4&quot;/&gt;&lt;wsp:rsid wsp:val=&quot;00E86255&quot;/&gt;&lt;wsp:rsid wsp:val=&quot;00E86B05&quot;/&gt;&lt;wsp:rsid wsp:val=&quot;00E86DB3&quot;/&gt;&lt;wsp:rsid wsp:val=&quot;00E872DC&quot;/&gt;&lt;wsp:rsid wsp:val=&quot;00E8736D&quot;/&gt;&lt;wsp:rsid wsp:val=&quot;00E8760F&quot;/&gt;&lt;wsp:rsid wsp:val=&quot;00E878C2&quot;/&gt;&lt;wsp:rsid wsp:val=&quot;00E87BDE&quot;/&gt;&lt;wsp:rsid wsp:val=&quot;00E90672&quot;/&gt;&lt;wsp:rsid wsp:val=&quot;00E90AC5&quot;/&gt;&lt;wsp:rsid wsp:val=&quot;00E90E72&quot;/&gt;&lt;wsp:rsid wsp:val=&quot;00E90F3C&quot;/&gt;&lt;wsp:rsid wsp:val=&quot;00E912C7&quot;/&gt;&lt;wsp:rsid wsp:val=&quot;00E9135D&quot;/&gt;&lt;wsp:rsid wsp:val=&quot;00E921AB&quot;/&gt;&lt;wsp:rsid wsp:val=&quot;00E92678&quot;/&gt;&lt;wsp:rsid wsp:val=&quot;00E933F6&quot;/&gt;&lt;wsp:rsid wsp:val=&quot;00E940B3&quot;/&gt;&lt;wsp:rsid wsp:val=&quot;00E9456A&quot;/&gt;&lt;wsp:rsid wsp:val=&quot;00E94683&quot;/&gt;&lt;wsp:rsid wsp:val=&quot;00E9523B&quot;/&gt;&lt;wsp:rsid wsp:val=&quot;00E954FA&quot;/&gt;&lt;wsp:rsid wsp:val=&quot;00E95535&quot;/&gt;&lt;wsp:rsid wsp:val=&quot;00E958CF&quot;/&gt;&lt;wsp:rsid wsp:val=&quot;00E95922&quot;/&gt;&lt;wsp:rsid wsp:val=&quot;00E95971&quot;/&gt;&lt;wsp:rsid wsp:val=&quot;00EA0290&quot;/&gt;&lt;wsp:rsid wsp:val=&quot;00EA02E9&quot;/&gt;&lt;wsp:rsid wsp:val=&quot;00EA05D6&quot;/&gt;&lt;wsp:rsid wsp:val=&quot;00EA06A1&quot;/&gt;&lt;wsp:rsid wsp:val=&quot;00EA088C&quot;/&gt;&lt;wsp:rsid wsp:val=&quot;00EA0897&quot;/&gt;&lt;wsp:rsid wsp:val=&quot;00EA0B71&quot;/&gt;&lt;wsp:rsid wsp:val=&quot;00EA0E78&quot;/&gt;&lt;wsp:rsid wsp:val=&quot;00EA15C9&quot;/&gt;&lt;wsp:rsid wsp:val=&quot;00EA18B1&quot;/&gt;&lt;wsp:rsid wsp:val=&quot;00EA1AF4&quot;/&gt;&lt;wsp:rsid wsp:val=&quot;00EA2586&quot;/&gt;&lt;wsp:rsid wsp:val=&quot;00EA2946&quot;/&gt;&lt;wsp:rsid wsp:val=&quot;00EA2CAB&quot;/&gt;&lt;wsp:rsid wsp:val=&quot;00EA33E8&quot;/&gt;&lt;wsp:rsid wsp:val=&quot;00EA3A33&quot;/&gt;&lt;wsp:rsid wsp:val=&quot;00EA3A3F&quot;/&gt;&lt;wsp:rsid wsp:val=&quot;00EA40AD&quot;/&gt;&lt;wsp:rsid wsp:val=&quot;00EA4669&quot;/&gt;&lt;wsp:rsid wsp:val=&quot;00EA4D13&quot;/&gt;&lt;wsp:rsid wsp:val=&quot;00EA4E32&quot;/&gt;&lt;wsp:rsid wsp:val=&quot;00EA523E&quot;/&gt;&lt;wsp:rsid wsp:val=&quot;00EA557A&quot;/&gt;&lt;wsp:rsid wsp:val=&quot;00EA585A&quot;/&gt;&lt;wsp:rsid wsp:val=&quot;00EA59E0&quot;/&gt;&lt;wsp:rsid wsp:val=&quot;00EA678F&quot;/&gt;&lt;wsp:rsid wsp:val=&quot;00EA6CB9&quot;/&gt;&lt;wsp:rsid wsp:val=&quot;00EA73F0&quot;/&gt;&lt;wsp:rsid wsp:val=&quot;00EB0445&quot;/&gt;&lt;wsp:rsid wsp:val=&quot;00EB1007&quot;/&gt;&lt;wsp:rsid wsp:val=&quot;00EB190D&quot;/&gt;&lt;wsp:rsid wsp:val=&quot;00EB272C&quot;/&gt;&lt;wsp:rsid wsp:val=&quot;00EB3977&quot;/&gt;&lt;wsp:rsid wsp:val=&quot;00EB45D5&quot;/&gt;&lt;wsp:rsid wsp:val=&quot;00EB4827&quot;/&gt;&lt;wsp:rsid wsp:val=&quot;00EB52AF&quot;/&gt;&lt;wsp:rsid wsp:val=&quot;00EB53A2&quot;/&gt;&lt;wsp:rsid wsp:val=&quot;00EB55EB&quot;/&gt;&lt;wsp:rsid wsp:val=&quot;00EB581F&quot;/&gt;&lt;wsp:rsid wsp:val=&quot;00EB69D4&quot;/&gt;&lt;wsp:rsid wsp:val=&quot;00EB6C62&quot;/&gt;&lt;wsp:rsid wsp:val=&quot;00EB6C9A&quot;/&gt;&lt;wsp:rsid wsp:val=&quot;00EB6D5E&quot;/&gt;&lt;wsp:rsid wsp:val=&quot;00EB72AA&quot;/&gt;&lt;wsp:rsid wsp:val=&quot;00EB744D&quot;/&gt;&lt;wsp:rsid wsp:val=&quot;00EB787C&quot;/&gt;&lt;wsp:rsid wsp:val=&quot;00EB7939&quot;/&gt;&lt;wsp:rsid wsp:val=&quot;00EB7DA8&quot;/&gt;&lt;wsp:rsid wsp:val=&quot;00EC0309&quot;/&gt;&lt;wsp:rsid wsp:val=&quot;00EC0A1B&quot;/&gt;&lt;wsp:rsid wsp:val=&quot;00EC0D99&quot;/&gt;&lt;wsp:rsid wsp:val=&quot;00EC0FF7&quot;/&gt;&lt;wsp:rsid wsp:val=&quot;00EC156B&quot;/&gt;&lt;wsp:rsid wsp:val=&quot;00EC1686&quot;/&gt;&lt;wsp:rsid wsp:val=&quot;00EC172D&quot;/&gt;&lt;wsp:rsid wsp:val=&quot;00EC1836&quot;/&gt;&lt;wsp:rsid wsp:val=&quot;00EC1C8F&quot;/&gt;&lt;wsp:rsid wsp:val=&quot;00EC1F13&quot;/&gt;&lt;wsp:rsid wsp:val=&quot;00EC21FF&quot;/&gt;&lt;wsp:rsid wsp:val=&quot;00EC22FE&quot;/&gt;&lt;wsp:rsid wsp:val=&quot;00EC23A7&quot;/&gt;&lt;wsp:rsid wsp:val=&quot;00EC2496&quot;/&gt;&lt;wsp:rsid wsp:val=&quot;00EC251F&quot;/&gt;&lt;wsp:rsid wsp:val=&quot;00EC2822&quot;/&gt;&lt;wsp:rsid wsp:val=&quot;00EC2D67&quot;/&gt;&lt;wsp:rsid wsp:val=&quot;00EC3284&quot;/&gt;&lt;wsp:rsid wsp:val=&quot;00EC3632&quot;/&gt;&lt;wsp:rsid wsp:val=&quot;00EC3B51&quot;/&gt;&lt;wsp:rsid wsp:val=&quot;00EC3C23&quot;/&gt;&lt;wsp:rsid wsp:val=&quot;00EC3FE4&quot;/&gt;&lt;wsp:rsid wsp:val=&quot;00EC4044&quot;/&gt;&lt;wsp:rsid wsp:val=&quot;00EC4062&quot;/&gt;&lt;wsp:rsid wsp:val=&quot;00EC5014&quot;/&gt;&lt;wsp:rsid wsp:val=&quot;00EC5517&quot;/&gt;&lt;wsp:rsid wsp:val=&quot;00EC594A&quot;/&gt;&lt;wsp:rsid wsp:val=&quot;00EC6769&quot;/&gt;&lt;wsp:rsid wsp:val=&quot;00EC6925&quot;/&gt;&lt;wsp:rsid wsp:val=&quot;00EC6F92&quot;/&gt;&lt;wsp:rsid wsp:val=&quot;00EC71B9&quot;/&gt;&lt;wsp:rsid wsp:val=&quot;00EC7368&quot;/&gt;&lt;wsp:rsid wsp:val=&quot;00EC76E0&quot;/&gt;&lt;wsp:rsid wsp:val=&quot;00EC77B6&quot;/&gt;&lt;wsp:rsid wsp:val=&quot;00EC7CC5&quot;/&gt;&lt;wsp:rsid wsp:val=&quot;00EC7F04&quot;/&gt;&lt;wsp:rsid wsp:val=&quot;00ED13E8&quot;/&gt;&lt;wsp:rsid wsp:val=&quot;00ED1DF7&quot;/&gt;&lt;wsp:rsid wsp:val=&quot;00ED2206&quot;/&gt;&lt;wsp:rsid wsp:val=&quot;00ED235A&quot;/&gt;&lt;wsp:rsid wsp:val=&quot;00ED27EB&quot;/&gt;&lt;wsp:rsid wsp:val=&quot;00ED32A0&quot;/&gt;&lt;wsp:rsid wsp:val=&quot;00ED3354&quot;/&gt;&lt;wsp:rsid wsp:val=&quot;00ED387C&quot;/&gt;&lt;wsp:rsid wsp:val=&quot;00ED3980&quot;/&gt;&lt;wsp:rsid wsp:val=&quot;00ED3CBD&quot;/&gt;&lt;wsp:rsid wsp:val=&quot;00ED3E42&quot;/&gt;&lt;wsp:rsid wsp:val=&quot;00ED3EE9&quot;/&gt;&lt;wsp:rsid wsp:val=&quot;00ED3F29&quot;/&gt;&lt;wsp:rsid wsp:val=&quot;00ED423B&quot;/&gt;&lt;wsp:rsid wsp:val=&quot;00ED4400&quot;/&gt;&lt;wsp:rsid wsp:val=&quot;00ED5197&quot;/&gt;&lt;wsp:rsid wsp:val=&quot;00ED5528&quot;/&gt;&lt;wsp:rsid wsp:val=&quot;00ED65C7&quot;/&gt;&lt;wsp:rsid wsp:val=&quot;00ED6923&quot;/&gt;&lt;wsp:rsid wsp:val=&quot;00ED69EC&quot;/&gt;&lt;wsp:rsid wsp:val=&quot;00ED6AD6&quot;/&gt;&lt;wsp:rsid wsp:val=&quot;00ED713D&quot;/&gt;&lt;wsp:rsid wsp:val=&quot;00ED718A&quot;/&gt;&lt;wsp:rsid wsp:val=&quot;00ED76AF&quot;/&gt;&lt;wsp:rsid wsp:val=&quot;00ED7D2A&quot;/&gt;&lt;wsp:rsid wsp:val=&quot;00EE0B53&quot;/&gt;&lt;wsp:rsid wsp:val=&quot;00EE1502&quot;/&gt;&lt;wsp:rsid wsp:val=&quot;00EE16AB&quot;/&gt;&lt;wsp:rsid wsp:val=&quot;00EE1AD4&quot;/&gt;&lt;wsp:rsid wsp:val=&quot;00EE23F0&quot;/&gt;&lt;wsp:rsid wsp:val=&quot;00EE26B7&quot;/&gt;&lt;wsp:rsid wsp:val=&quot;00EE2DDD&quot;/&gt;&lt;wsp:rsid wsp:val=&quot;00EE2FC4&quot;/&gt;&lt;wsp:rsid wsp:val=&quot;00EE31C2&quot;/&gt;&lt;wsp:rsid wsp:val=&quot;00EE3291&quot;/&gt;&lt;wsp:rsid wsp:val=&quot;00EE3341&quot;/&gt;&lt;wsp:rsid wsp:val=&quot;00EE3BD5&quot;/&gt;&lt;wsp:rsid wsp:val=&quot;00EE4455&quot;/&gt;&lt;wsp:rsid wsp:val=&quot;00EE491B&quot;/&gt;&lt;wsp:rsid wsp:val=&quot;00EE4BDE&quot;/&gt;&lt;wsp:rsid wsp:val=&quot;00EE4C79&quot;/&gt;&lt;wsp:rsid wsp:val=&quot;00EE4EB9&quot;/&gt;&lt;wsp:rsid wsp:val=&quot;00EE518B&quot;/&gt;&lt;wsp:rsid wsp:val=&quot;00EE576A&quot;/&gt;&lt;wsp:rsid wsp:val=&quot;00EE6435&quot;/&gt;&lt;wsp:rsid wsp:val=&quot;00EE6534&quot;/&gt;&lt;wsp:rsid wsp:val=&quot;00EE6A17&quot;/&gt;&lt;wsp:rsid wsp:val=&quot;00EE6B65&quot;/&gt;&lt;wsp:rsid wsp:val=&quot;00EE6DE1&quot;/&gt;&lt;wsp:rsid wsp:val=&quot;00EE7613&quot;/&gt;&lt;wsp:rsid wsp:val=&quot;00EE7ABD&quot;/&gt;&lt;wsp:rsid wsp:val=&quot;00EE7B7D&quot;/&gt;&lt;wsp:rsid wsp:val=&quot;00EF023E&quot;/&gt;&lt;wsp:rsid wsp:val=&quot;00EF0248&quot;/&gt;&lt;wsp:rsid wsp:val=&quot;00EF0C93&quot;/&gt;&lt;wsp:rsid wsp:val=&quot;00EF0D58&quot;/&gt;&lt;wsp:rsid wsp:val=&quot;00EF1090&quot;/&gt;&lt;wsp:rsid wsp:val=&quot;00EF16C8&quot;/&gt;&lt;wsp:rsid wsp:val=&quot;00EF22CE&quot;/&gt;&lt;wsp:rsid wsp:val=&quot;00EF24AC&quot;/&gt;&lt;wsp:rsid wsp:val=&quot;00EF2C0E&quot;/&gt;&lt;wsp:rsid wsp:val=&quot;00EF3842&quot;/&gt;&lt;wsp:rsid wsp:val=&quot;00EF3E63&quot;/&gt;&lt;wsp:rsid wsp:val=&quot;00EF48D7&quot;/&gt;&lt;wsp:rsid wsp:val=&quot;00EF4969&quot;/&gt;&lt;wsp:rsid wsp:val=&quot;00EF57F9&quot;/&gt;&lt;wsp:rsid wsp:val=&quot;00EF5820&quot;/&gt;&lt;wsp:rsid wsp:val=&quot;00EF5CEF&quot;/&gt;&lt;wsp:rsid wsp:val=&quot;00EF5F0D&quot;/&gt;&lt;wsp:rsid wsp:val=&quot;00EF6BD5&quot;/&gt;&lt;wsp:rsid wsp:val=&quot;00EF7394&quot;/&gt;&lt;wsp:rsid wsp:val=&quot;00EF7582&quot;/&gt;&lt;wsp:rsid wsp:val=&quot;00F0006F&quot;/&gt;&lt;wsp:rsid wsp:val=&quot;00F0058B&quot;/&gt;&lt;wsp:rsid wsp:val=&quot;00F0106E&quot;/&gt;&lt;wsp:rsid wsp:val=&quot;00F01272&quot;/&gt;&lt;wsp:rsid wsp:val=&quot;00F014B8&quot;/&gt;&lt;wsp:rsid wsp:val=&quot;00F018C5&quot;/&gt;&lt;wsp:rsid wsp:val=&quot;00F019F1&quot;/&gt;&lt;wsp:rsid wsp:val=&quot;00F01F8F&quot;/&gt;&lt;wsp:rsid wsp:val=&quot;00F02694&quot;/&gt;&lt;wsp:rsid wsp:val=&quot;00F033E7&quot;/&gt;&lt;wsp:rsid wsp:val=&quot;00F049E3&quot;/&gt;&lt;wsp:rsid wsp:val=&quot;00F05092&quot;/&gt;&lt;wsp:rsid wsp:val=&quot;00F0521F&quot;/&gt;&lt;wsp:rsid wsp:val=&quot;00F05264&quot;/&gt;&lt;wsp:rsid wsp:val=&quot;00F05369&quot;/&gt;&lt;wsp:rsid wsp:val=&quot;00F060A3&quot;/&gt;&lt;wsp:rsid wsp:val=&quot;00F062DD&quot;/&gt;&lt;wsp:rsid wsp:val=&quot;00F0633B&quot;/&gt;&lt;wsp:rsid wsp:val=&quot;00F06761&quot;/&gt;&lt;wsp:rsid wsp:val=&quot;00F06AB7&quot;/&gt;&lt;wsp:rsid wsp:val=&quot;00F06C48&quot;/&gt;&lt;wsp:rsid wsp:val=&quot;00F06CC2&quot;/&gt;&lt;wsp:rsid wsp:val=&quot;00F071A8&quot;/&gt;&lt;wsp:rsid wsp:val=&quot;00F07309&quot;/&gt;&lt;wsp:rsid wsp:val=&quot;00F075B1&quot;/&gt;&lt;wsp:rsid wsp:val=&quot;00F07A69&quot;/&gt;&lt;wsp:rsid wsp:val=&quot;00F07FB5&quot;/&gt;&lt;wsp:rsid wsp:val=&quot;00F101A6&quot;/&gt;&lt;wsp:rsid wsp:val=&quot;00F1061E&quot;/&gt;&lt;wsp:rsid wsp:val=&quot;00F10A79&quot;/&gt;&lt;wsp:rsid wsp:val=&quot;00F10CD9&quot;/&gt;&lt;wsp:rsid wsp:val=&quot;00F111DA&quot;/&gt;&lt;wsp:rsid wsp:val=&quot;00F1165A&quot;/&gt;&lt;wsp:rsid wsp:val=&quot;00F11DC7&quot;/&gt;&lt;wsp:rsid wsp:val=&quot;00F12BE0&quot;/&gt;&lt;wsp:rsid wsp:val=&quot;00F13387&quot;/&gt;&lt;wsp:rsid wsp:val=&quot;00F13AE0&quot;/&gt;&lt;wsp:rsid wsp:val=&quot;00F13C33&quot;/&gt;&lt;wsp:rsid wsp:val=&quot;00F13E6B&quot;/&gt;&lt;wsp:rsid wsp:val=&quot;00F1474E&quot;/&gt;&lt;wsp:rsid wsp:val=&quot;00F152A0&quot;/&gt;&lt;wsp:rsid wsp:val=&quot;00F1550A&quot;/&gt;&lt;wsp:rsid wsp:val=&quot;00F1590E&quot;/&gt;&lt;wsp:rsid wsp:val=&quot;00F15B07&quot;/&gt;&lt;wsp:rsid wsp:val=&quot;00F15BF2&quot;/&gt;&lt;wsp:rsid wsp:val=&quot;00F1613A&quot;/&gt;&lt;wsp:rsid wsp:val=&quot;00F16A07&quot;/&gt;&lt;wsp:rsid wsp:val=&quot;00F16BAF&quot;/&gt;&lt;wsp:rsid wsp:val=&quot;00F17F42&quot;/&gt;&lt;wsp:rsid wsp:val=&quot;00F20C06&quot;/&gt;&lt;wsp:rsid wsp:val=&quot;00F20C9E&quot;/&gt;&lt;wsp:rsid wsp:val=&quot;00F2121F&quot;/&gt;&lt;wsp:rsid wsp:val=&quot;00F2162E&quot;/&gt;&lt;wsp:rsid wsp:val=&quot;00F223BA&quot;/&gt;&lt;wsp:rsid wsp:val=&quot;00F22BEE&quot;/&gt;&lt;wsp:rsid wsp:val=&quot;00F22F6E&quot;/&gt;&lt;wsp:rsid wsp:val=&quot;00F24061&quot;/&gt;&lt;wsp:rsid wsp:val=&quot;00F241B6&quot;/&gt;&lt;wsp:rsid wsp:val=&quot;00F244B8&quot;/&gt;&lt;wsp:rsid wsp:val=&quot;00F24805&quot;/&gt;&lt;wsp:rsid wsp:val=&quot;00F24F64&quot;/&gt;&lt;wsp:rsid wsp:val=&quot;00F25064&quot;/&gt;&lt;wsp:rsid wsp:val=&quot;00F2521D&quot;/&gt;&lt;wsp:rsid wsp:val=&quot;00F252C3&quot;/&gt;&lt;wsp:rsid wsp:val=&quot;00F255B3&quot;/&gt;&lt;wsp:rsid wsp:val=&quot;00F255C8&quot;/&gt;&lt;wsp:rsid wsp:val=&quot;00F25601&quot;/&gt;&lt;wsp:rsid wsp:val=&quot;00F2598C&quot;/&gt;&lt;wsp:rsid wsp:val=&quot;00F25DA5&quot;/&gt;&lt;wsp:rsid wsp:val=&quot;00F25DD7&quot;/&gt;&lt;wsp:rsid wsp:val=&quot;00F2620D&quot;/&gt;&lt;wsp:rsid wsp:val=&quot;00F26809&quot;/&gt;&lt;wsp:rsid wsp:val=&quot;00F26F9F&quot;/&gt;&lt;wsp:rsid wsp:val=&quot;00F27054&quot;/&gt;&lt;wsp:rsid wsp:val=&quot;00F27334&quot;/&gt;&lt;wsp:rsid wsp:val=&quot;00F274C4&quot;/&gt;&lt;wsp:rsid wsp:val=&quot;00F27650&quot;/&gt;&lt;wsp:rsid wsp:val=&quot;00F27F56&quot;/&gt;&lt;wsp:rsid wsp:val=&quot;00F30107&quot;/&gt;&lt;wsp:rsid wsp:val=&quot;00F3021F&quot;/&gt;&lt;wsp:rsid wsp:val=&quot;00F30386&quot;/&gt;&lt;wsp:rsid wsp:val=&quot;00F30596&quot;/&gt;&lt;wsp:rsid wsp:val=&quot;00F30C1E&quot;/&gt;&lt;wsp:rsid wsp:val=&quot;00F31518&quot;/&gt;&lt;wsp:rsid wsp:val=&quot;00F31B4F&quot;/&gt;&lt;wsp:rsid wsp:val=&quot;00F31C5C&quot;/&gt;&lt;wsp:rsid wsp:val=&quot;00F3202A&quot;/&gt;&lt;wsp:rsid wsp:val=&quot;00F3267D&quot;/&gt;&lt;wsp:rsid wsp:val=&quot;00F32A70&quot;/&gt;&lt;wsp:rsid wsp:val=&quot;00F339B6&quot;/&gt;&lt;wsp:rsid wsp:val=&quot;00F33ED9&quot;/&gt;&lt;wsp:rsid wsp:val=&quot;00F342A9&quot;/&gt;&lt;wsp:rsid wsp:val=&quot;00F345D6&quot;/&gt;&lt;wsp:rsid wsp:val=&quot;00F34C8A&quot;/&gt;&lt;wsp:rsid wsp:val=&quot;00F35771&quot;/&gt;&lt;wsp:rsid wsp:val=&quot;00F35BFA&quot;/&gt;&lt;wsp:rsid wsp:val=&quot;00F35DF6&quot;/&gt;&lt;wsp:rsid wsp:val=&quot;00F35EAD&quot;/&gt;&lt;wsp:rsid wsp:val=&quot;00F36568&quot;/&gt;&lt;wsp:rsid wsp:val=&quot;00F36AAF&quot;/&gt;&lt;wsp:rsid wsp:val=&quot;00F376B7&quot;/&gt;&lt;wsp:rsid wsp:val=&quot;00F3771C&quot;/&gt;&lt;wsp:rsid wsp:val=&quot;00F406FE&quot;/&gt;&lt;wsp:rsid wsp:val=&quot;00F408B6&quot;/&gt;&lt;wsp:rsid wsp:val=&quot;00F408FD&quot;/&gt;&lt;wsp:rsid wsp:val=&quot;00F40F51&quot;/&gt;&lt;wsp:rsid wsp:val=&quot;00F411D4&quot;/&gt;&lt;wsp:rsid wsp:val=&quot;00F4167D&quot;/&gt;&lt;wsp:rsid wsp:val=&quot;00F41E93&quot;/&gt;&lt;wsp:rsid wsp:val=&quot;00F41F0A&quot;/&gt;&lt;wsp:rsid wsp:val=&quot;00F42585&quot;/&gt;&lt;wsp:rsid wsp:val=&quot;00F4282B&quot;/&gt;&lt;wsp:rsid wsp:val=&quot;00F43322&quot;/&gt;&lt;wsp:rsid wsp:val=&quot;00F43456&quot;/&gt;&lt;wsp:rsid wsp:val=&quot;00F436B8&quot;/&gt;&lt;wsp:rsid wsp:val=&quot;00F44104&quot;/&gt;&lt;wsp:rsid wsp:val=&quot;00F459AF&quot;/&gt;&lt;wsp:rsid wsp:val=&quot;00F45BD1&quot;/&gt;&lt;wsp:rsid wsp:val=&quot;00F46641&quot;/&gt;&lt;wsp:rsid wsp:val=&quot;00F46E94&quot;/&gt;&lt;wsp:rsid wsp:val=&quot;00F4714F&quot;/&gt;&lt;wsp:rsid wsp:val=&quot;00F4747F&quot;/&gt;&lt;wsp:rsid wsp:val=&quot;00F47C0C&quot;/&gt;&lt;wsp:rsid wsp:val=&quot;00F47F2C&quot;/&gt;&lt;wsp:rsid wsp:val=&quot;00F5028C&quot;/&gt;&lt;wsp:rsid wsp:val=&quot;00F50BC2&quot;/&gt;&lt;wsp:rsid wsp:val=&quot;00F51210&quot;/&gt;&lt;wsp:rsid wsp:val=&quot;00F512D5&quot;/&gt;&lt;wsp:rsid wsp:val=&quot;00F513B5&quot;/&gt;&lt;wsp:rsid wsp:val=&quot;00F523FA&quot;/&gt;&lt;wsp:rsid wsp:val=&quot;00F52467&quot;/&gt;&lt;wsp:rsid wsp:val=&quot;00F52549&quot;/&gt;&lt;wsp:rsid wsp:val=&quot;00F52A9C&quot;/&gt;&lt;wsp:rsid wsp:val=&quot;00F52DCD&quot;/&gt;&lt;wsp:rsid wsp:val=&quot;00F53279&quot;/&gt;&lt;wsp:rsid wsp:val=&quot;00F53EEC&quot;/&gt;&lt;wsp:rsid wsp:val=&quot;00F53F87&quot;/&gt;&lt;wsp:rsid wsp:val=&quot;00F5408A&quot;/&gt;&lt;wsp:rsid wsp:val=&quot;00F5425A&quot;/&gt;&lt;wsp:rsid wsp:val=&quot;00F5497F&quot;/&gt;&lt;wsp:rsid wsp:val=&quot;00F55179&quot;/&gt;&lt;wsp:rsid wsp:val=&quot;00F55215&quot;/&gt;&lt;wsp:rsid wsp:val=&quot;00F552AD&quot;/&gt;&lt;wsp:rsid wsp:val=&quot;00F557AD&quot;/&gt;&lt;wsp:rsid wsp:val=&quot;00F55FF5&quot;/&gt;&lt;wsp:rsid wsp:val=&quot;00F572D5&quot;/&gt;&lt;wsp:rsid wsp:val=&quot;00F573BE&quot;/&gt;&lt;wsp:rsid wsp:val=&quot;00F573DA&quot;/&gt;&lt;wsp:rsid wsp:val=&quot;00F57A2B&quot;/&gt;&lt;wsp:rsid wsp:val=&quot;00F57B46&quot;/&gt;&lt;wsp:rsid wsp:val=&quot;00F603AA&quot;/&gt;&lt;wsp:rsid wsp:val=&quot;00F603E3&quot;/&gt;&lt;wsp:rsid wsp:val=&quot;00F60755&quot;/&gt;&lt;wsp:rsid wsp:val=&quot;00F60996&quot;/&gt;&lt;wsp:rsid wsp:val=&quot;00F60CC4&quot;/&gt;&lt;wsp:rsid wsp:val=&quot;00F61108&quot;/&gt;&lt;wsp:rsid wsp:val=&quot;00F615B0&quot;/&gt;&lt;wsp:rsid wsp:val=&quot;00F61607&quot;/&gt;&lt;wsp:rsid wsp:val=&quot;00F61BC8&quot;/&gt;&lt;wsp:rsid wsp:val=&quot;00F61CB9&quot;/&gt;&lt;wsp:rsid wsp:val=&quot;00F62331&quot;/&gt;&lt;wsp:rsid wsp:val=&quot;00F62987&quot;/&gt;&lt;wsp:rsid wsp:val=&quot;00F634AF&quot;/&gt;&lt;wsp:rsid wsp:val=&quot;00F63570&quot;/&gt;&lt;wsp:rsid wsp:val=&quot;00F639E5&quot;/&gt;&lt;wsp:rsid wsp:val=&quot;00F63B8C&quot;/&gt;&lt;wsp:rsid wsp:val=&quot;00F64035&quot;/&gt;&lt;wsp:rsid wsp:val=&quot;00F6446A&quot;/&gt;&lt;wsp:rsid wsp:val=&quot;00F6451F&quot;/&gt;&lt;wsp:rsid wsp:val=&quot;00F650F1&quot;/&gt;&lt;wsp:rsid wsp:val=&quot;00F65B5C&quot;/&gt;&lt;wsp:rsid wsp:val=&quot;00F65F9B&quot;/&gt;&lt;wsp:rsid wsp:val=&quot;00F6631B&quot;/&gt;&lt;wsp:rsid wsp:val=&quot;00F666B6&quot;/&gt;&lt;wsp:rsid wsp:val=&quot;00F66B42&quot;/&gt;&lt;wsp:rsid wsp:val=&quot;00F66D07&quot;/&gt;&lt;wsp:rsid wsp:val=&quot;00F67341&quot;/&gt;&lt;wsp:rsid wsp:val=&quot;00F6734F&quot;/&gt;&lt;wsp:rsid wsp:val=&quot;00F702BA&quot;/&gt;&lt;wsp:rsid wsp:val=&quot;00F7055C&quot;/&gt;&lt;wsp:rsid wsp:val=&quot;00F7078F&quot;/&gt;&lt;wsp:rsid wsp:val=&quot;00F70796&quot;/&gt;&lt;wsp:rsid wsp:val=&quot;00F708D3&quot;/&gt;&lt;wsp:rsid wsp:val=&quot;00F70F9B&quot;/&gt;&lt;wsp:rsid wsp:val=&quot;00F70FE0&quot;/&gt;&lt;wsp:rsid wsp:val=&quot;00F71392&quot;/&gt;&lt;wsp:rsid wsp:val=&quot;00F71A5F&quot;/&gt;&lt;wsp:rsid wsp:val=&quot;00F7268E&quot;/&gt;&lt;wsp:rsid wsp:val=&quot;00F7271A&quot;/&gt;&lt;wsp:rsid wsp:val=&quot;00F728C2&quot;/&gt;&lt;wsp:rsid wsp:val=&quot;00F729A8&quot;/&gt;&lt;wsp:rsid wsp:val=&quot;00F729ED&quot;/&gt;&lt;wsp:rsid wsp:val=&quot;00F73703&quot;/&gt;&lt;wsp:rsid wsp:val=&quot;00F7397D&quot;/&gt;&lt;wsp:rsid wsp:val=&quot;00F73D04&quot;/&gt;&lt;wsp:rsid wsp:val=&quot;00F7428C&quot;/&gt;&lt;wsp:rsid wsp:val=&quot;00F747D3&quot;/&gt;&lt;wsp:rsid wsp:val=&quot;00F74AE9&quot;/&gt;&lt;wsp:rsid wsp:val=&quot;00F74D1A&quot;/&gt;&lt;wsp:rsid wsp:val=&quot;00F74D57&quot;/&gt;&lt;wsp:rsid wsp:val=&quot;00F74FB6&quot;/&gt;&lt;wsp:rsid wsp:val=&quot;00F75280&quot;/&gt;&lt;wsp:rsid wsp:val=&quot;00F75561&quot;/&gt;&lt;wsp:rsid wsp:val=&quot;00F757FE&quot;/&gt;&lt;wsp:rsid wsp:val=&quot;00F75CDA&quot;/&gt;&lt;wsp:rsid wsp:val=&quot;00F75EA3&quot;/&gt;&lt;wsp:rsid wsp:val=&quot;00F7615F&quot;/&gt;&lt;wsp:rsid wsp:val=&quot;00F763F3&quot;/&gt;&lt;wsp:rsid wsp:val=&quot;00F76793&quot;/&gt;&lt;wsp:rsid wsp:val=&quot;00F76E72&quot;/&gt;&lt;wsp:rsid wsp:val=&quot;00F77755&quot;/&gt;&lt;wsp:rsid wsp:val=&quot;00F77C0A&quot;/&gt;&lt;wsp:rsid wsp:val=&quot;00F77DF9&quot;/&gt;&lt;wsp:rsid wsp:val=&quot;00F77F62&quot;/&gt;&lt;wsp:rsid wsp:val=&quot;00F8021F&quot;/&gt;&lt;wsp:rsid wsp:val=&quot;00F806BD&quot;/&gt;&lt;wsp:rsid wsp:val=&quot;00F80B5F&quot;/&gt;&lt;wsp:rsid wsp:val=&quot;00F80EDF&quot;/&gt;&lt;wsp:rsid wsp:val=&quot;00F80FBD&quot;/&gt;&lt;wsp:rsid wsp:val=&quot;00F81226&quot;/&gt;&lt;wsp:rsid wsp:val=&quot;00F814EC&quot;/&gt;&lt;wsp:rsid wsp:val=&quot;00F82041&quot;/&gt;&lt;wsp:rsid wsp:val=&quot;00F8205C&quot;/&gt;&lt;wsp:rsid wsp:val=&quot;00F82282&quot;/&gt;&lt;wsp:rsid wsp:val=&quot;00F823B4&quot;/&gt;&lt;wsp:rsid wsp:val=&quot;00F82833&quot;/&gt;&lt;wsp:rsid wsp:val=&quot;00F828BB&quot;/&gt;&lt;wsp:rsid wsp:val=&quot;00F82CE0&quot;/&gt;&lt;wsp:rsid wsp:val=&quot;00F8312F&quot;/&gt;&lt;wsp:rsid wsp:val=&quot;00F83467&quot;/&gt;&lt;wsp:rsid wsp:val=&quot;00F8347C&quot;/&gt;&lt;wsp:rsid wsp:val=&quot;00F83DC9&quot;/&gt;&lt;wsp:rsid wsp:val=&quot;00F844EF&quot;/&gt;&lt;wsp:rsid wsp:val=&quot;00F848A5&quot;/&gt;&lt;wsp:rsid wsp:val=&quot;00F850B9&quot;/&gt;&lt;wsp:rsid wsp:val=&quot;00F854AC&quot;/&gt;&lt;wsp:rsid wsp:val=&quot;00F85DCA&quot;/&gt;&lt;wsp:rsid wsp:val=&quot;00F86387&quot;/&gt;&lt;wsp:rsid wsp:val=&quot;00F8664D&quot;/&gt;&lt;wsp:rsid wsp:val=&quot;00F872AF&quot;/&gt;&lt;wsp:rsid wsp:val=&quot;00F87A60&quot;/&gt;&lt;wsp:rsid wsp:val=&quot;00F87CF1&quot;/&gt;&lt;wsp:rsid wsp:val=&quot;00F87D80&quot;/&gt;&lt;wsp:rsid wsp:val=&quot;00F87F8B&quot;/&gt;&lt;wsp:rsid wsp:val=&quot;00F90DB7&quot;/&gt;&lt;wsp:rsid wsp:val=&quot;00F91833&quot;/&gt;&lt;wsp:rsid wsp:val=&quot;00F918AE&quot;/&gt;&lt;wsp:rsid wsp:val=&quot;00F9259E&quot;/&gt;&lt;wsp:rsid wsp:val=&quot;00F925ED&quot;/&gt;&lt;wsp:rsid wsp:val=&quot;00F92D55&quot;/&gt;&lt;wsp:rsid wsp:val=&quot;00F92D72&quot;/&gt;&lt;wsp:rsid wsp:val=&quot;00F92F63&quot;/&gt;&lt;wsp:rsid wsp:val=&quot;00F933E4&quot;/&gt;&lt;wsp:rsid wsp:val=&quot;00F93D07&quot;/&gt;&lt;wsp:rsid wsp:val=&quot;00F94C87&quot;/&gt;&lt;wsp:rsid wsp:val=&quot;00F9566C&quot;/&gt;&lt;wsp:rsid wsp:val=&quot;00F957E1&quot;/&gt;&lt;wsp:rsid wsp:val=&quot;00F964D5&quot;/&gt;&lt;wsp:rsid wsp:val=&quot;00F969A9&quot;/&gt;&lt;wsp:rsid wsp:val=&quot;00F96FC8&quot;/&gt;&lt;wsp:rsid wsp:val=&quot;00F97CA7&quot;/&gt;&lt;wsp:rsid wsp:val=&quot;00FA0116&quot;/&gt;&lt;wsp:rsid wsp:val=&quot;00FA1803&quot;/&gt;&lt;wsp:rsid wsp:val=&quot;00FA1840&quot;/&gt;&lt;wsp:rsid wsp:val=&quot;00FA1D55&quot;/&gt;&lt;wsp:rsid wsp:val=&quot;00FA21FD&quot;/&gt;&lt;wsp:rsid wsp:val=&quot;00FA2345&quot;/&gt;&lt;wsp:rsid wsp:val=&quot;00FA297E&quot;/&gt;&lt;wsp:rsid wsp:val=&quot;00FA2D14&quot;/&gt;&lt;wsp:rsid wsp:val=&quot;00FA2D3A&quot;/&gt;&lt;wsp:rsid wsp:val=&quot;00FA3888&quot;/&gt;&lt;wsp:rsid wsp:val=&quot;00FA3A85&quot;/&gt;&lt;wsp:rsid wsp:val=&quot;00FA3D8C&quot;/&gt;&lt;wsp:rsid wsp:val=&quot;00FA4169&quot;/&gt;&lt;wsp:rsid wsp:val=&quot;00FA4D35&quot;/&gt;&lt;wsp:rsid wsp:val=&quot;00FA52F8&quot;/&gt;&lt;wsp:rsid wsp:val=&quot;00FA62B5&quot;/&gt;&lt;wsp:rsid wsp:val=&quot;00FA6914&quot;/&gt;&lt;wsp:rsid wsp:val=&quot;00FA69A8&quot;/&gt;&lt;wsp:rsid wsp:val=&quot;00FA6B88&quot;/&gt;&lt;wsp:rsid wsp:val=&quot;00FA71EF&quot;/&gt;&lt;wsp:rsid wsp:val=&quot;00FA7661&quot;/&gt;&lt;wsp:rsid wsp:val=&quot;00FA7ECD&quot;/&gt;&lt;wsp:rsid wsp:val=&quot;00FB0C61&quot;/&gt;&lt;wsp:rsid wsp:val=&quot;00FB0F03&quot;/&gt;&lt;wsp:rsid wsp:val=&quot;00FB1030&quot;/&gt;&lt;wsp:rsid wsp:val=&quot;00FB104A&quot;/&gt;&lt;wsp:rsid wsp:val=&quot;00FB11F6&quot;/&gt;&lt;wsp:rsid wsp:val=&quot;00FB12DD&quot;/&gt;&lt;wsp:rsid wsp:val=&quot;00FB2CAA&quot;/&gt;&lt;wsp:rsid wsp:val=&quot;00FB2DE4&quot;/&gt;&lt;wsp:rsid wsp:val=&quot;00FB3BA2&quot;/&gt;&lt;wsp:rsid wsp:val=&quot;00FB3C94&quot;/&gt;&lt;wsp:rsid wsp:val=&quot;00FB4416&quot;/&gt;&lt;wsp:rsid wsp:val=&quot;00FB47DE&quot;/&gt;&lt;wsp:rsid wsp:val=&quot;00FB4A25&quot;/&gt;&lt;wsp:rsid wsp:val=&quot;00FB54D7&quot;/&gt;&lt;wsp:rsid wsp:val=&quot;00FB6364&quot;/&gt;&lt;wsp:rsid wsp:val=&quot;00FB72C0&quot;/&gt;&lt;wsp:rsid wsp:val=&quot;00FB741E&quot;/&gt;&lt;wsp:rsid wsp:val=&quot;00FB7602&quot;/&gt;&lt;wsp:rsid wsp:val=&quot;00FB77E7&quot;/&gt;&lt;wsp:rsid wsp:val=&quot;00FB7AFD&quot;/&gt;&lt;wsp:rsid wsp:val=&quot;00FC0278&quot;/&gt;&lt;wsp:rsid wsp:val=&quot;00FC040E&quot;/&gt;&lt;wsp:rsid wsp:val=&quot;00FC0868&quot;/&gt;&lt;wsp:rsid wsp:val=&quot;00FC0890&quot;/&gt;&lt;wsp:rsid wsp:val=&quot;00FC19F7&quot;/&gt;&lt;wsp:rsid wsp:val=&quot;00FC1FA5&quot;/&gt;&lt;wsp:rsid wsp:val=&quot;00FC28C2&quot;/&gt;&lt;wsp:rsid wsp:val=&quot;00FC295D&quot;/&gt;&lt;wsp:rsid wsp:val=&quot;00FC2DC1&quot;/&gt;&lt;wsp:rsid wsp:val=&quot;00FC3165&quot;/&gt;&lt;wsp:rsid wsp:val=&quot;00FC390E&quot;/&gt;&lt;wsp:rsid wsp:val=&quot;00FC3A7B&quot;/&gt;&lt;wsp:rsid wsp:val=&quot;00FC3B8E&quot;/&gt;&lt;wsp:rsid wsp:val=&quot;00FC3CDD&quot;/&gt;&lt;wsp:rsid wsp:val=&quot;00FC4029&quot;/&gt;&lt;wsp:rsid wsp:val=&quot;00FC4053&quot;/&gt;&lt;wsp:rsid wsp:val=&quot;00FC437B&quot;/&gt;&lt;wsp:rsid wsp:val=&quot;00FC4C18&quot;/&gt;&lt;wsp:rsid wsp:val=&quot;00FC515D&quot;/&gt;&lt;wsp:rsid wsp:val=&quot;00FC58AB&quot;/&gt;&lt;wsp:rsid wsp:val=&quot;00FC6A01&quot;/&gt;&lt;wsp:rsid wsp:val=&quot;00FC7046&quot;/&gt;&lt;wsp:rsid wsp:val=&quot;00FC7194&quot;/&gt;&lt;wsp:rsid wsp:val=&quot;00FC7477&quot;/&gt;&lt;wsp:rsid wsp:val=&quot;00FC7FCF&quot;/&gt;&lt;wsp:rsid wsp:val=&quot;00FD0254&quot;/&gt;&lt;wsp:rsid wsp:val=&quot;00FD035F&quot;/&gt;&lt;wsp:rsid wsp:val=&quot;00FD038C&quot;/&gt;&lt;wsp:rsid wsp:val=&quot;00FD0535&quot;/&gt;&lt;wsp:rsid wsp:val=&quot;00FD0662&quot;/&gt;&lt;wsp:rsid wsp:val=&quot;00FD0893&quot;/&gt;&lt;wsp:rsid wsp:val=&quot;00FD13FD&quot;/&gt;&lt;wsp:rsid wsp:val=&quot;00FD1D89&quot;/&gt;&lt;wsp:rsid wsp:val=&quot;00FD1F6F&quot;/&gt;&lt;wsp:rsid wsp:val=&quot;00FD2034&quot;/&gt;&lt;wsp:rsid wsp:val=&quot;00FD243E&quot;/&gt;&lt;wsp:rsid wsp:val=&quot;00FD2588&quot;/&gt;&lt;wsp:rsid wsp:val=&quot;00FD279F&quot;/&gt;&lt;wsp:rsid wsp:val=&quot;00FD38CB&quot;/&gt;&lt;wsp:rsid wsp:val=&quot;00FD39CE&quot;/&gt;&lt;wsp:rsid wsp:val=&quot;00FD3CC6&quot;/&gt;&lt;wsp:rsid wsp:val=&quot;00FD40CB&quot;/&gt;&lt;wsp:rsid wsp:val=&quot;00FD4189&quot;/&gt;&lt;wsp:rsid wsp:val=&quot;00FD4304&quot;/&gt;&lt;wsp:rsid wsp:val=&quot;00FD47B0&quot;/&gt;&lt;wsp:rsid wsp:val=&quot;00FD48D0&quot;/&gt;&lt;wsp:rsid wsp:val=&quot;00FD505A&quot;/&gt;&lt;wsp:rsid wsp:val=&quot;00FD558C&quot;/&gt;&lt;wsp:rsid wsp:val=&quot;00FD5D6C&quot;/&gt;&lt;wsp:rsid wsp:val=&quot;00FD6DBE&quot;/&gt;&lt;wsp:rsid wsp:val=&quot;00FD6DFF&quot;/&gt;&lt;wsp:rsid wsp:val=&quot;00FD7550&quot;/&gt;&lt;wsp:rsid wsp:val=&quot;00FD785E&quot;/&gt;&lt;wsp:rsid wsp:val=&quot;00FD79CD&quot;/&gt;&lt;wsp:rsid wsp:val=&quot;00FE00D0&quot;/&gt;&lt;wsp:rsid wsp:val=&quot;00FE0411&quot;/&gt;&lt;wsp:rsid wsp:val=&quot;00FE0940&quot;/&gt;&lt;wsp:rsid wsp:val=&quot;00FE102E&quot;/&gt;&lt;wsp:rsid wsp:val=&quot;00FE1039&quot;/&gt;&lt;wsp:rsid wsp:val=&quot;00FE1BE1&quot;/&gt;&lt;wsp:rsid wsp:val=&quot;00FE21DF&quot;/&gt;&lt;wsp:rsid wsp:val=&quot;00FE299B&quot;/&gt;&lt;wsp:rsid wsp:val=&quot;00FE2C10&quot;/&gt;&lt;wsp:rsid wsp:val=&quot;00FE2E44&quot;/&gt;&lt;wsp:rsid wsp:val=&quot;00FE33D5&quot;/&gt;&lt;wsp:rsid wsp:val=&quot;00FE3F85&quot;/&gt;&lt;wsp:rsid wsp:val=&quot;00FE43BD&quot;/&gt;&lt;wsp:rsid wsp:val=&quot;00FE490C&quot;/&gt;&lt;wsp:rsid wsp:val=&quot;00FE507C&quot;/&gt;&lt;wsp:rsid wsp:val=&quot;00FE60AF&quot;/&gt;&lt;wsp:rsid wsp:val=&quot;00FE6439&quot;/&gt;&lt;wsp:rsid wsp:val=&quot;00FE6447&quot;/&gt;&lt;wsp:rsid wsp:val=&quot;00FE6945&quot;/&gt;&lt;wsp:rsid wsp:val=&quot;00FE6C10&quot;/&gt;&lt;wsp:rsid wsp:val=&quot;00FE741D&quot;/&gt;&lt;wsp:rsid wsp:val=&quot;00FE7CE4&quot;/&gt;&lt;wsp:rsid wsp:val=&quot;00FF0A3E&quot;/&gt;&lt;wsp:rsid wsp:val=&quot;00FF15D4&quot;/&gt;&lt;wsp:rsid wsp:val=&quot;00FF1C2B&quot;/&gt;&lt;wsp:rsid wsp:val=&quot;00FF1CE6&quot;/&gt;&lt;wsp:rsid wsp:val=&quot;00FF2130&quot;/&gt;&lt;wsp:rsid wsp:val=&quot;00FF2962&quot;/&gt;&lt;wsp:rsid wsp:val=&quot;00FF2B07&quot;/&gt;&lt;wsp:rsid wsp:val=&quot;00FF2D10&quot;/&gt;&lt;wsp:rsid wsp:val=&quot;00FF35D4&quot;/&gt;&lt;wsp:rsid wsp:val=&quot;00FF3A19&quot;/&gt;&lt;wsp:rsid wsp:val=&quot;00FF3C90&quot;/&gt;&lt;wsp:rsid wsp:val=&quot;00FF49EE&quot;/&gt;&lt;wsp:rsid wsp:val=&quot;00FF52B2&quot;/&gt;&lt;wsp:rsid wsp:val=&quot;00FF57A7&quot;/&gt;&lt;wsp:rsid wsp:val=&quot;00FF5EBD&quot;/&gt;&lt;wsp:rsid wsp:val=&quot;00FF6350&quot;/&gt;&lt;wsp:rsid wsp:val=&quot;00FF6453&quot;/&gt;&lt;wsp:rsid wsp:val=&quot;00FF682D&quot;/&gt;&lt;wsp:rsid wsp:val=&quot;00FF68B7&quot;/&gt;&lt;wsp:rsid wsp:val=&quot;00FF6A62&quot;/&gt;&lt;wsp:rsid wsp:val=&quot;00FF6ABE&quot;/&gt;&lt;wsp:rsid wsp:val=&quot;00FF6BC5&quot;/&gt;&lt;wsp:rsid wsp:val=&quot;00FF6C0C&quot;/&gt;&lt;wsp:rsid wsp:val=&quot;00FF6C68&quot;/&gt;&lt;wsp:rsid wsp:val=&quot;00FF7049&quot;/&gt;&lt;wsp:rsid wsp:val=&quot;00FF76C1&quot;/&gt;&lt;wsp:rsid wsp:val=&quot;00FF7B36&quot;/&gt;&lt;wsp:rsid wsp:val=&quot;00FF7B90&quot;/&gt;&lt;wsp:rsid wsp:val=&quot;340234C8&quot;/&gt;&lt;wsp:rsid wsp:val=&quot;469B0DE8&quot;/&gt;&lt;wsp:rsid wsp:val=&quot;68E93F2F&quot;/&gt;&lt;/wsp:rsids&gt;&lt;/w:docPr&gt;&lt;w:body&gt;&lt;wx:sect&gt;&lt;w:p wsp:rsidR=&quot;00000000&quot; wsp:rsidRDefault=&quot;007B6DB3&quot; wsp:rsidP=&quot;007B6DB3&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瀹嬩綋&quot;/&gt;&lt;w:color w&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lt;wx:val=&quot;000000&quot;/&gt;&lt;/w:rPr&gt;&lt;m:t&gt;鍙xx犲wx?wxwx?/&lt;wxwxmwx:t&lt;wxwx&gt;wx&lt;/&lt;wxwxmwx:r&lt;wxwx&gt;wx&lt;/&lt;wxwxmwx:s&lt;wxwxuwxb&gt;&lt;wxwx&lt;wx/m&lt;wxwx:wxsS&lt;wxwxuwxb&gt;&lt;wxwx&lt;wxwx/m&lt;wxwxwwxx:wwxxoMwx&lt;wxwxwxawxwxtwxh&lt;wwxxwxwx&gt;wxwx&lt;/&lt;wxwxwwxxmwwxx:owx&lt;wxwxwxMwxwxawxt&lt;wwxxwxwxhwxwxPa&lt;wxwxwwxxrwwxxa&gt;wx&lt;wxwxwx&lt;wxwx/wxw&lt;wwxxwxwx:wxwxp&gt;&lt;wxwxwwxx&lt;wwxxw:wx&lt;wxwxwxswxwxewxc&lt;wwxxwxvatwx=&quot;Pr&lt;00wxw00x w/&gt;xws/w&lt;wxrPwxp&gt;&lt;wx::tr&lt;wxxwxswxid&lt;wxwxRwx=&quot;&lt;wxwx0wx00&lt;wxwx0wx00&lt;wxwx0wx0&quot;&lt;wxwx&gt;wx&lt;w&lt;wxwx:wxpg&lt;wxwxSwxz &lt;wxwxwwx:w&lt;wxwx=wx&quot;1&lt;wxwx2wx24&lt;wxwx0wx&quot; &lt;wxwxwva:h&lt;=&quot;wx=00&quot;1&lt;00wx5/&gt;84&lt;/wwx0rP&quot;/&lt;&gt;&lt;wx&gt;:t&lt;w&lt;wxx:pgx&lt;wxMar&lt;wx w:&lt;wxtop&lt;wx=&quot;1&lt;wx440&lt;wx&quot; w&lt;wx:ri&lt;wxght&lt;wx=&quot;1&lt;wx800&lt;wx&quot; w&lt;wx:bo&lt;wxtto&lt;wxm=&quot;&lt;wx144&lt;wx0&quot; &lt;wxw:l&lt;wxeft&lt;wx=&quot;1&lt;wx800&lt;wx&quot; w&lt;wx:he&lt;wxade&lt;wxr=&quot;&lt;wx720&lt;wx&quot; w&lt;wx:fo&lt;wxote&lt;wxr=&quot;&lt;wx720&lt;wx&quot; w&lt;wx:gutter=&quot;0&quot;/&gt;&lt;w:cols w:space=&quot;720&quot;/&gt;&lt;/w:sectPr&gt;&lt;/wx:sect&gt;&lt;/w:body&gt;&lt;/w:wordDocument&gt;">
                  <v:path/>
                  <v:fill on="f" focussize="0,0"/>
                  <v:stroke on="f" joinstyle="miter"/>
                  <v:imagedata r:id="rId25" chromakey="#FFFFFF" o:title=""/>
                  <o:lock v:ext="edit" aspectratio="t"/>
                  <w10:wrap type="none"/>
                  <w10:anchorlock/>
                </v:shape>
              </w:pict>
            </w:r>
            <w:r>
              <w:fldChar w:fldCharType="end"/>
            </w:r>
            <w:r>
              <w:t>不达标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区域环境质量的整体变化情况</w:t>
            </w:r>
          </w:p>
        </w:tc>
        <w:tc>
          <w:tcPr>
            <w:tcW w:w="2042" w:type="pct"/>
            <w:gridSpan w:val="7"/>
            <w:tcBorders>
              <w:tl2br w:val="nil"/>
              <w:tr2bl w:val="nil"/>
            </w:tcBorders>
            <w:shd w:val="clear" w:color="auto" w:fill="auto"/>
            <w:vAlign w:val="center"/>
          </w:tcPr>
          <w:p>
            <w:pPr>
              <w:pStyle w:val="34"/>
            </w:pPr>
            <w:r>
              <w:rPr>
                <w:i/>
              </w:rPr>
              <w:t xml:space="preserve">k </w:t>
            </w:r>
            <w:r>
              <w:t>≤-20% □</w:t>
            </w:r>
          </w:p>
        </w:tc>
        <w:tc>
          <w:tcPr>
            <w:tcW w:w="1635" w:type="pct"/>
            <w:gridSpan w:val="6"/>
            <w:tcBorders>
              <w:tl2br w:val="nil"/>
              <w:tr2bl w:val="nil"/>
            </w:tcBorders>
            <w:shd w:val="clear" w:color="auto" w:fill="auto"/>
            <w:vAlign w:val="center"/>
          </w:tcPr>
          <w:p>
            <w:pPr>
              <w:pStyle w:val="34"/>
            </w:pPr>
            <w:r>
              <w:rPr>
                <w:i/>
              </w:rPr>
              <w:t>k</w:t>
            </w:r>
            <w:r>
              <w:t>＞-20%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restart"/>
            <w:tcBorders>
              <w:tl2br w:val="nil"/>
              <w:tr2bl w:val="nil"/>
            </w:tcBorders>
            <w:shd w:val="clear" w:color="auto" w:fill="auto"/>
            <w:vAlign w:val="center"/>
          </w:tcPr>
          <w:p>
            <w:pPr>
              <w:pStyle w:val="34"/>
            </w:pPr>
            <w:r>
              <w:t>环境监测计划</w:t>
            </w:r>
          </w:p>
        </w:tc>
        <w:tc>
          <w:tcPr>
            <w:tcW w:w="856" w:type="pct"/>
            <w:tcBorders>
              <w:tl2br w:val="nil"/>
              <w:tr2bl w:val="nil"/>
            </w:tcBorders>
            <w:shd w:val="clear" w:color="auto" w:fill="auto"/>
            <w:vAlign w:val="center"/>
          </w:tcPr>
          <w:p>
            <w:pPr>
              <w:pStyle w:val="34"/>
            </w:pPr>
            <w:r>
              <w:t>污染源监测</w:t>
            </w:r>
          </w:p>
        </w:tc>
        <w:tc>
          <w:tcPr>
            <w:tcW w:w="1670" w:type="pct"/>
            <w:gridSpan w:val="5"/>
            <w:tcBorders>
              <w:tl2br w:val="nil"/>
              <w:tr2bl w:val="nil"/>
            </w:tcBorders>
            <w:shd w:val="clear" w:color="auto" w:fill="auto"/>
            <w:vAlign w:val="center"/>
          </w:tcPr>
          <w:p>
            <w:pPr>
              <w:pStyle w:val="34"/>
            </w:pPr>
            <w:r>
              <w:t>监测因子：（NMHC）</w:t>
            </w:r>
          </w:p>
        </w:tc>
        <w:tc>
          <w:tcPr>
            <w:tcW w:w="1189" w:type="pct"/>
            <w:gridSpan w:val="6"/>
            <w:tcBorders>
              <w:tl2br w:val="nil"/>
              <w:tr2bl w:val="nil"/>
            </w:tcBorders>
            <w:shd w:val="clear" w:color="auto" w:fill="auto"/>
            <w:vAlign w:val="center"/>
          </w:tcPr>
          <w:p>
            <w:pPr>
              <w:pStyle w:val="34"/>
            </w:pPr>
            <w:r>
              <w:t xml:space="preserve">有组织废气监测 </w:t>
            </w:r>
            <w:r>
              <w:rPr/>
              <w:sym w:font="Wingdings 2" w:char="0052"/>
            </w:r>
            <w:r>
              <w:t xml:space="preserve">    </w:t>
            </w:r>
          </w:p>
          <w:p>
            <w:pPr>
              <w:pStyle w:val="34"/>
            </w:pPr>
            <w:r>
              <w:t xml:space="preserve">无组织废气监测 </w:t>
            </w:r>
            <w:r>
              <w:rPr/>
              <w:sym w:font="Wingdings 2" w:char="0052"/>
            </w:r>
          </w:p>
        </w:tc>
        <w:tc>
          <w:tcPr>
            <w:tcW w:w="818" w:type="pct"/>
            <w:gridSpan w:val="2"/>
            <w:tcBorders>
              <w:tl2br w:val="nil"/>
              <w:tr2bl w:val="nil"/>
            </w:tcBorders>
            <w:shd w:val="clear" w:color="auto" w:fill="auto"/>
            <w:vAlign w:val="center"/>
          </w:tcPr>
          <w:p>
            <w:pPr>
              <w:pStyle w:val="34"/>
            </w:pPr>
            <w: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环境质量监测</w:t>
            </w:r>
          </w:p>
        </w:tc>
        <w:tc>
          <w:tcPr>
            <w:tcW w:w="1670" w:type="pct"/>
            <w:gridSpan w:val="5"/>
            <w:tcBorders>
              <w:tl2br w:val="nil"/>
              <w:tr2bl w:val="nil"/>
            </w:tcBorders>
            <w:shd w:val="clear" w:color="auto" w:fill="auto"/>
            <w:vAlign w:val="center"/>
          </w:tcPr>
          <w:p>
            <w:pPr>
              <w:pStyle w:val="34"/>
            </w:pPr>
            <w:r>
              <w:t>监测因子：（/）</w:t>
            </w:r>
          </w:p>
        </w:tc>
        <w:tc>
          <w:tcPr>
            <w:tcW w:w="1189" w:type="pct"/>
            <w:gridSpan w:val="6"/>
            <w:tcBorders>
              <w:tl2br w:val="nil"/>
              <w:tr2bl w:val="nil"/>
            </w:tcBorders>
            <w:shd w:val="clear" w:color="auto" w:fill="auto"/>
            <w:vAlign w:val="center"/>
          </w:tcPr>
          <w:p>
            <w:pPr>
              <w:pStyle w:val="34"/>
            </w:pPr>
            <w:r>
              <w:t>监测点位数（/）</w:t>
            </w:r>
          </w:p>
        </w:tc>
        <w:tc>
          <w:tcPr>
            <w:tcW w:w="818" w:type="pct"/>
            <w:gridSpan w:val="2"/>
            <w:tcBorders>
              <w:tl2br w:val="nil"/>
              <w:tr2bl w:val="nil"/>
            </w:tcBorders>
            <w:shd w:val="clear" w:color="auto" w:fill="auto"/>
            <w:vAlign w:val="center"/>
          </w:tcPr>
          <w:p>
            <w:pPr>
              <w:pStyle w:val="34"/>
            </w:pPr>
            <w: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restart"/>
            <w:tcBorders>
              <w:tl2br w:val="nil"/>
              <w:tr2bl w:val="nil"/>
            </w:tcBorders>
            <w:shd w:val="clear" w:color="auto" w:fill="auto"/>
            <w:vAlign w:val="center"/>
          </w:tcPr>
          <w:p>
            <w:pPr>
              <w:pStyle w:val="34"/>
            </w:pPr>
            <w:r>
              <w:t>评价结论</w:t>
            </w:r>
          </w:p>
        </w:tc>
        <w:tc>
          <w:tcPr>
            <w:tcW w:w="856" w:type="pct"/>
            <w:tcBorders>
              <w:tl2br w:val="nil"/>
              <w:tr2bl w:val="nil"/>
            </w:tcBorders>
            <w:shd w:val="clear" w:color="auto" w:fill="auto"/>
            <w:vAlign w:val="center"/>
          </w:tcPr>
          <w:p>
            <w:pPr>
              <w:pStyle w:val="34"/>
            </w:pPr>
            <w:r>
              <w:t>环境影响</w:t>
            </w:r>
          </w:p>
        </w:tc>
        <w:tc>
          <w:tcPr>
            <w:tcW w:w="3678" w:type="pct"/>
            <w:gridSpan w:val="13"/>
            <w:tcBorders>
              <w:tl2br w:val="nil"/>
              <w:tr2bl w:val="nil"/>
            </w:tcBorders>
            <w:shd w:val="clear" w:color="auto" w:fill="auto"/>
            <w:vAlign w:val="center"/>
          </w:tcPr>
          <w:p>
            <w:pPr>
              <w:pStyle w:val="34"/>
            </w:pPr>
            <w:r>
              <w:t>可以接受</w:t>
            </w:r>
            <w:r>
              <w:rPr/>
              <w:sym w:font="Wingdings 2" w:char="0052"/>
            </w:r>
            <w:r>
              <w:t xml:space="preserve">       不可以接受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大气环境防护距离</w:t>
            </w:r>
          </w:p>
        </w:tc>
        <w:tc>
          <w:tcPr>
            <w:tcW w:w="3678" w:type="pct"/>
            <w:gridSpan w:val="13"/>
            <w:tcBorders>
              <w:tl2br w:val="nil"/>
              <w:tr2bl w:val="nil"/>
            </w:tcBorders>
            <w:shd w:val="clear" w:color="auto" w:fill="auto"/>
            <w:vAlign w:val="center"/>
          </w:tcPr>
          <w:p>
            <w:pPr>
              <w:pStyle w:val="34"/>
            </w:pPr>
            <w:r>
              <w:t>距（/）厂界最远（/）m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65" w:type="pct"/>
            <w:vMerge w:val="continue"/>
            <w:tcBorders>
              <w:tl2br w:val="nil"/>
              <w:tr2bl w:val="nil"/>
            </w:tcBorders>
            <w:shd w:val="clear" w:color="auto" w:fill="auto"/>
            <w:vAlign w:val="center"/>
          </w:tcPr>
          <w:p>
            <w:pPr>
              <w:pStyle w:val="34"/>
            </w:pPr>
          </w:p>
        </w:tc>
        <w:tc>
          <w:tcPr>
            <w:tcW w:w="856" w:type="pct"/>
            <w:tcBorders>
              <w:tl2br w:val="nil"/>
              <w:tr2bl w:val="nil"/>
            </w:tcBorders>
            <w:shd w:val="clear" w:color="auto" w:fill="auto"/>
            <w:vAlign w:val="center"/>
          </w:tcPr>
          <w:p>
            <w:pPr>
              <w:pStyle w:val="34"/>
            </w:pPr>
            <w:r>
              <w:t>污染源年排放量</w:t>
            </w:r>
          </w:p>
        </w:tc>
        <w:tc>
          <w:tcPr>
            <w:tcW w:w="807" w:type="pct"/>
            <w:gridSpan w:val="2"/>
            <w:tcBorders>
              <w:tl2br w:val="nil"/>
              <w:tr2bl w:val="nil"/>
            </w:tcBorders>
            <w:shd w:val="clear" w:color="auto" w:fill="auto"/>
            <w:vAlign w:val="center"/>
          </w:tcPr>
          <w:p>
            <w:pPr>
              <w:pStyle w:val="34"/>
            </w:pPr>
            <w:r>
              <w:t>SO</w:t>
            </w:r>
            <w:r>
              <w:rPr>
                <w:vertAlign w:val="subscript"/>
              </w:rPr>
              <w:t>2</w:t>
            </w:r>
            <w:r>
              <w:t>:（/）t/a</w:t>
            </w:r>
          </w:p>
        </w:tc>
        <w:tc>
          <w:tcPr>
            <w:tcW w:w="947" w:type="pct"/>
            <w:gridSpan w:val="4"/>
            <w:tcBorders>
              <w:tl2br w:val="nil"/>
              <w:tr2bl w:val="nil"/>
            </w:tcBorders>
            <w:shd w:val="clear" w:color="auto" w:fill="auto"/>
            <w:vAlign w:val="center"/>
          </w:tcPr>
          <w:p>
            <w:pPr>
              <w:pStyle w:val="34"/>
            </w:pPr>
            <w:r>
              <w:t>NO</w:t>
            </w:r>
            <w:r>
              <w:rPr>
                <w:vertAlign w:val="subscript"/>
              </w:rPr>
              <w:t>x</w:t>
            </w:r>
            <w:r>
              <w:t>:（/）t/a</w:t>
            </w:r>
          </w:p>
        </w:tc>
        <w:tc>
          <w:tcPr>
            <w:tcW w:w="1000" w:type="pct"/>
            <w:gridSpan w:val="4"/>
            <w:tcBorders>
              <w:tl2br w:val="nil"/>
              <w:tr2bl w:val="nil"/>
            </w:tcBorders>
            <w:shd w:val="clear" w:color="auto" w:fill="auto"/>
            <w:vAlign w:val="center"/>
          </w:tcPr>
          <w:p>
            <w:pPr>
              <w:pStyle w:val="34"/>
            </w:pPr>
            <w:r>
              <w:t>颗粒物:（0）t/a</w:t>
            </w:r>
          </w:p>
        </w:tc>
        <w:tc>
          <w:tcPr>
            <w:tcW w:w="923" w:type="pct"/>
            <w:gridSpan w:val="3"/>
            <w:tcBorders>
              <w:tl2br w:val="nil"/>
              <w:tr2bl w:val="nil"/>
            </w:tcBorders>
            <w:shd w:val="clear" w:color="auto" w:fill="auto"/>
            <w:vAlign w:val="center"/>
          </w:tcPr>
          <w:p>
            <w:pPr>
              <w:pStyle w:val="34"/>
            </w:pPr>
            <w:r>
              <w:t>VOC</w:t>
            </w:r>
            <w:r>
              <w:rPr>
                <w:vertAlign w:val="subscript"/>
              </w:rPr>
              <w:t>s</w:t>
            </w:r>
            <w:r>
              <w:t>:（</w:t>
            </w:r>
            <w:r>
              <w:rPr>
                <w:rFonts w:hint="eastAsia"/>
              </w:rPr>
              <w:t>6.175</w:t>
            </w:r>
            <w: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00" w:type="pct"/>
            <w:gridSpan w:val="15"/>
            <w:tcBorders>
              <w:tl2br w:val="nil"/>
              <w:tr2bl w:val="nil"/>
            </w:tcBorders>
            <w:shd w:val="clear" w:color="auto" w:fill="auto"/>
            <w:vAlign w:val="center"/>
          </w:tcPr>
          <w:p>
            <w:pPr>
              <w:pStyle w:val="34"/>
            </w:pPr>
            <w:r>
              <w:t>注：“□”为勾选项，填“√”；“（   ）”为内容填写项</w:t>
            </w:r>
          </w:p>
        </w:tc>
      </w:tr>
    </w:tbl>
    <w:p>
      <w:pPr>
        <w:pStyle w:val="6"/>
      </w:pPr>
      <w:r>
        <w:tab/>
      </w:r>
      <w:r>
        <w:t>运营期水环境影响分析</w:t>
      </w:r>
    </w:p>
    <w:p>
      <w:pPr>
        <w:pStyle w:val="6"/>
      </w:pPr>
      <w:r>
        <w:t>地表水环境影响分析</w:t>
      </w:r>
    </w:p>
    <w:p>
      <w:pPr>
        <w:pStyle w:val="7"/>
        <w:ind w:firstLine="480"/>
        <w:rPr>
          <w:rFonts w:cs="Times New Roman"/>
          <w:lang w:val="zh-CN"/>
        </w:rPr>
      </w:pPr>
      <w:r>
        <w:rPr>
          <w:rFonts w:cs="Times New Roman"/>
          <w:lang w:val="zh-CN"/>
        </w:rPr>
        <w:t>本项目运营过程中产生的废水包括生产废水及生活污水。生产废水包括湿法破碎和清洗工序清洗废水。根据工程分析，项目生产废水经沉淀处理后循环利用，无废水排放。生活污水在厂区化粪池内暂存，定期由环卫</w:t>
      </w:r>
      <w:r>
        <w:rPr>
          <w:rFonts w:hint="eastAsia" w:cs="Times New Roman"/>
          <w:lang w:val="zh-CN"/>
        </w:rPr>
        <w:t>部门</w:t>
      </w:r>
      <w:r>
        <w:rPr>
          <w:rFonts w:cs="Times New Roman"/>
          <w:lang w:val="zh-CN"/>
        </w:rPr>
        <w:t>拉运处理，不会对区域水环境产生不良影响。</w:t>
      </w:r>
    </w:p>
    <w:p>
      <w:pPr>
        <w:pStyle w:val="6"/>
      </w:pPr>
      <w:r>
        <w:t>地下水环境影响预测与评价</w:t>
      </w:r>
    </w:p>
    <w:p>
      <w:pPr>
        <w:pStyle w:val="7"/>
        <w:ind w:firstLine="480"/>
      </w:pPr>
      <w:r>
        <w:t>根据《环境影响评价技术导则 地下水环境》（HJ610-2016），地下水环境保护措施与对策应符合《中华人民共和国水污染防治法》和《中华人民共和国环境影响评价法》的相关规定，按照“源头控制、分区防控、污染监控、应急响应”的原则确定。</w:t>
      </w:r>
    </w:p>
    <w:p>
      <w:pPr>
        <w:pStyle w:val="7"/>
        <w:ind w:firstLine="480"/>
      </w:pPr>
      <w:r>
        <w:t>（1）污染源控制措施</w:t>
      </w:r>
    </w:p>
    <w:p>
      <w:pPr>
        <w:pStyle w:val="7"/>
        <w:ind w:firstLine="480"/>
      </w:pPr>
      <w:r>
        <w:t>本项目严格按照国家相关规范要求，对工艺、管道、设备、污水储存采取相应的措施，以防止和降低污染物的跑、冒、滴、漏，将污染物泄漏的环境风险事故降低到最低程度；本项目清洗废水循环使用不外排，管线敷设尽量采用“可视化”原则，即管道尽可能地上敷设，做到污染物“早发现、早处理”，以减少由于埋地管道泄漏而可能造成的地下水污染。</w:t>
      </w:r>
    </w:p>
    <w:p>
      <w:pPr>
        <w:pStyle w:val="7"/>
        <w:ind w:firstLine="480"/>
      </w:pPr>
      <w:r>
        <w:t>（2）分区防渗控制措施</w:t>
      </w:r>
    </w:p>
    <w:p>
      <w:pPr>
        <w:tabs>
          <w:tab w:val="left" w:pos="1440"/>
        </w:tabs>
        <w:adjustRightInd w:val="0"/>
        <w:spacing w:line="360" w:lineRule="auto"/>
        <w:ind w:firstLine="480" w:firstLineChars="200"/>
        <w:rPr>
          <w:rFonts w:ascii="Times New Roman" w:hAnsi="Times New Roman"/>
          <w:bCs/>
          <w:snapToGrid w:val="0"/>
          <w:sz w:val="24"/>
          <w:lang w:val="zh-CN"/>
        </w:rPr>
      </w:pPr>
      <w:r>
        <w:rPr>
          <w:rFonts w:ascii="Times New Roman" w:hAnsi="Times New Roman"/>
          <w:bCs/>
          <w:snapToGrid w:val="0"/>
          <w:sz w:val="24"/>
          <w:lang w:val="zh-CN"/>
        </w:rPr>
        <w:t>《环境影响评价技术导则</w:t>
      </w:r>
      <w:r>
        <w:rPr>
          <w:rFonts w:hint="eastAsia" w:ascii="Times New Roman" w:hAnsi="Times New Roman"/>
          <w:bCs/>
          <w:snapToGrid w:val="0"/>
          <w:sz w:val="24"/>
        </w:rPr>
        <w:t xml:space="preserve"> </w:t>
      </w:r>
      <w:r>
        <w:rPr>
          <w:rFonts w:ascii="Times New Roman" w:hAnsi="Times New Roman"/>
          <w:bCs/>
          <w:snapToGrid w:val="0"/>
          <w:sz w:val="24"/>
          <w:lang w:val="zh-CN"/>
        </w:rPr>
        <w:t>地下水环境》（HJ610-2016）将地下水污染防渗分区分为三个级别：重点防渗区、一般防渗区、简单防渗区，本项目地下水污染防渗区为</w:t>
      </w:r>
      <w:r>
        <w:rPr>
          <w:rFonts w:ascii="Times New Roman" w:hAnsi="Times New Roman"/>
          <w:bCs/>
          <w:snapToGrid w:val="0"/>
          <w:sz w:val="24"/>
        </w:rPr>
        <w:t>沉淀池</w:t>
      </w:r>
      <w:r>
        <w:rPr>
          <w:rFonts w:ascii="Times New Roman" w:hAnsi="Times New Roman"/>
          <w:bCs/>
          <w:snapToGrid w:val="0"/>
          <w:sz w:val="24"/>
          <w:lang w:val="zh-CN"/>
        </w:rPr>
        <w:t>，防渗分区判定如下。</w:t>
      </w:r>
    </w:p>
    <w:p>
      <w:pPr>
        <w:pStyle w:val="36"/>
        <w:spacing w:before="156"/>
        <w:rPr>
          <w:rFonts w:eastAsia="宋体"/>
          <w:bCs/>
        </w:rPr>
      </w:pPr>
      <w:r>
        <w:rPr>
          <w:rFonts w:eastAsia="宋体"/>
        </w:rPr>
        <w:t>表5.2-1</w:t>
      </w:r>
      <w:r>
        <w:rPr>
          <w:rFonts w:hint="eastAsia" w:eastAsia="宋体"/>
        </w:rPr>
        <w:t xml:space="preserve">0 </w:t>
      </w:r>
      <w:r>
        <w:rPr>
          <w:rFonts w:eastAsia="宋体"/>
        </w:rPr>
        <w:t xml:space="preserve"> 污染控制难易程度分级参照表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6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2" w:type="dxa"/>
            <w:tcBorders>
              <w:tl2br w:val="nil"/>
              <w:tr2bl w:val="nil"/>
            </w:tcBorders>
            <w:vAlign w:val="center"/>
          </w:tcPr>
          <w:p>
            <w:pPr>
              <w:pStyle w:val="34"/>
            </w:pPr>
            <w:r>
              <w:t>污染控制难易程度</w:t>
            </w:r>
          </w:p>
        </w:tc>
        <w:tc>
          <w:tcPr>
            <w:tcW w:w="6476" w:type="dxa"/>
            <w:tcBorders>
              <w:tl2br w:val="nil"/>
              <w:tr2bl w:val="nil"/>
            </w:tcBorders>
            <w:vAlign w:val="center"/>
          </w:tcPr>
          <w:p>
            <w:pPr>
              <w:pStyle w:val="34"/>
            </w:pPr>
            <w:r>
              <w:t>污染物类型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2" w:type="dxa"/>
            <w:tcBorders>
              <w:tl2br w:val="nil"/>
              <w:tr2bl w:val="nil"/>
            </w:tcBorders>
            <w:vAlign w:val="center"/>
          </w:tcPr>
          <w:p>
            <w:pPr>
              <w:pStyle w:val="34"/>
            </w:pPr>
            <w:r>
              <w:t>难</w:t>
            </w:r>
          </w:p>
        </w:tc>
        <w:tc>
          <w:tcPr>
            <w:tcW w:w="6476" w:type="dxa"/>
            <w:tcBorders>
              <w:tl2br w:val="nil"/>
              <w:tr2bl w:val="nil"/>
            </w:tcBorders>
            <w:vAlign w:val="center"/>
          </w:tcPr>
          <w:p>
            <w:pPr>
              <w:pStyle w:val="34"/>
            </w:pPr>
            <w:r>
              <w:t>对地下水环境有污染的物料或污染物泄漏后，不能及时发现和处理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2" w:type="dxa"/>
            <w:tcBorders>
              <w:tl2br w:val="nil"/>
              <w:tr2bl w:val="nil"/>
            </w:tcBorders>
            <w:vAlign w:val="center"/>
          </w:tcPr>
          <w:p>
            <w:pPr>
              <w:pStyle w:val="34"/>
            </w:pPr>
            <w:r>
              <w:t>易</w:t>
            </w:r>
          </w:p>
        </w:tc>
        <w:tc>
          <w:tcPr>
            <w:tcW w:w="6476" w:type="dxa"/>
            <w:tcBorders>
              <w:tl2br w:val="nil"/>
              <w:tr2bl w:val="nil"/>
            </w:tcBorders>
            <w:vAlign w:val="center"/>
          </w:tcPr>
          <w:p>
            <w:pPr>
              <w:pStyle w:val="34"/>
            </w:pPr>
            <w:r>
              <w:t>对地下水环境有污染的物料或污染物泄漏后，可及时发现和处理</w:t>
            </w:r>
          </w:p>
        </w:tc>
      </w:tr>
    </w:tbl>
    <w:p>
      <w:pPr>
        <w:pStyle w:val="36"/>
        <w:spacing w:before="156"/>
        <w:rPr>
          <w:rFonts w:eastAsia="宋体"/>
        </w:rPr>
      </w:pPr>
      <w:r>
        <w:rPr>
          <w:rFonts w:eastAsia="宋体"/>
        </w:rPr>
        <w:t>表5.2-1</w:t>
      </w:r>
      <w:r>
        <w:rPr>
          <w:rFonts w:hint="eastAsia" w:eastAsia="宋体"/>
        </w:rPr>
        <w:t>1</w:t>
      </w:r>
      <w:r>
        <w:rPr>
          <w:rFonts w:eastAsia="宋体"/>
        </w:rPr>
        <w:t xml:space="preserve">  天然包气带防污性能分级参照表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7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pPr>
              <w:pStyle w:val="34"/>
            </w:pPr>
            <w:r>
              <w:t>分级</w:t>
            </w:r>
          </w:p>
        </w:tc>
        <w:tc>
          <w:tcPr>
            <w:tcW w:w="7871" w:type="dxa"/>
            <w:tcBorders>
              <w:tl2br w:val="nil"/>
              <w:tr2bl w:val="nil"/>
            </w:tcBorders>
            <w:vAlign w:val="center"/>
          </w:tcPr>
          <w:p>
            <w:pPr>
              <w:pStyle w:val="34"/>
            </w:pPr>
            <w:r>
              <w:t>包气带岩土的渗透性能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pPr>
              <w:pStyle w:val="34"/>
            </w:pPr>
            <w:r>
              <w:t>强</w:t>
            </w:r>
          </w:p>
        </w:tc>
        <w:tc>
          <w:tcPr>
            <w:tcW w:w="7871" w:type="dxa"/>
            <w:tcBorders>
              <w:tl2br w:val="nil"/>
              <w:tr2bl w:val="nil"/>
            </w:tcBorders>
            <w:vAlign w:val="center"/>
          </w:tcPr>
          <w:p>
            <w:pPr>
              <w:pStyle w:val="34"/>
            </w:pPr>
            <w:r>
              <w:t>岩（土）层单层厚度Mb≥1.0m，渗透系数K≤1</w:t>
            </w:r>
            <w:r>
              <w:rPr>
                <w:spacing w:val="-4"/>
              </w:rPr>
              <w:t>×</w:t>
            </w:r>
            <w:r>
              <w:t>10</w:t>
            </w:r>
            <w:r>
              <w:rPr>
                <w:vertAlign w:val="superscript"/>
              </w:rPr>
              <w:t>-6</w:t>
            </w:r>
            <w: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pPr>
              <w:pStyle w:val="34"/>
            </w:pPr>
            <w:r>
              <w:t>中</w:t>
            </w:r>
          </w:p>
        </w:tc>
        <w:tc>
          <w:tcPr>
            <w:tcW w:w="7871" w:type="dxa"/>
            <w:tcBorders>
              <w:tl2br w:val="nil"/>
              <w:tr2bl w:val="nil"/>
            </w:tcBorders>
            <w:vAlign w:val="center"/>
          </w:tcPr>
          <w:p>
            <w:pPr>
              <w:pStyle w:val="34"/>
            </w:pPr>
            <w:r>
              <w:t>岩（土）层单层厚度0.5m≤Mb＜1.0m，渗透系数K≤1×10</w:t>
            </w:r>
            <w:r>
              <w:rPr>
                <w:vertAlign w:val="superscript"/>
              </w:rPr>
              <w:t>-6</w:t>
            </w:r>
            <w:r>
              <w:t>cm/s，且分布连续、稳定</w:t>
            </w:r>
          </w:p>
          <w:p>
            <w:pPr>
              <w:pStyle w:val="34"/>
            </w:pPr>
            <w:r>
              <w:t>岩（土）层单层厚度Mb≥1.0m，渗透系数1×10</w:t>
            </w:r>
            <w:r>
              <w:rPr>
                <w:vertAlign w:val="superscript"/>
              </w:rPr>
              <w:t>-6</w:t>
            </w:r>
            <w:r>
              <w:t>cm/s＜K≤1×10</w:t>
            </w:r>
            <w:r>
              <w:rPr>
                <w:vertAlign w:val="superscript"/>
              </w:rPr>
              <w:t>-4</w:t>
            </w:r>
            <w: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pPr>
              <w:pStyle w:val="34"/>
            </w:pPr>
            <w:r>
              <w:t>弱</w:t>
            </w:r>
          </w:p>
        </w:tc>
        <w:tc>
          <w:tcPr>
            <w:tcW w:w="7871" w:type="dxa"/>
            <w:tcBorders>
              <w:tl2br w:val="nil"/>
              <w:tr2bl w:val="nil"/>
            </w:tcBorders>
            <w:vAlign w:val="center"/>
          </w:tcPr>
          <w:p>
            <w:pPr>
              <w:pStyle w:val="34"/>
            </w:pPr>
            <w:r>
              <w:t>岩（土）层不满足上述“强”和“中”条件</w:t>
            </w:r>
          </w:p>
        </w:tc>
      </w:tr>
    </w:tbl>
    <w:p>
      <w:pPr>
        <w:pStyle w:val="36"/>
        <w:spacing w:before="156"/>
        <w:rPr>
          <w:rFonts w:eastAsia="宋体"/>
          <w:bCs/>
        </w:rPr>
      </w:pPr>
      <w:r>
        <w:rPr>
          <w:rFonts w:eastAsia="宋体"/>
        </w:rPr>
        <w:t>表5.2-1</w:t>
      </w:r>
      <w:r>
        <w:rPr>
          <w:rFonts w:hint="eastAsia" w:eastAsia="宋体"/>
        </w:rPr>
        <w:t>2</w:t>
      </w:r>
      <w:r>
        <w:rPr>
          <w:rFonts w:eastAsia="宋体"/>
        </w:rPr>
        <w:t xml:space="preserve">  地下水污染防渗分区参照表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480"/>
        <w:gridCol w:w="1347"/>
        <w:gridCol w:w="1748"/>
        <w:gridCol w:w="25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9" w:type="dxa"/>
            <w:tcBorders>
              <w:tl2br w:val="nil"/>
              <w:tr2bl w:val="nil"/>
            </w:tcBorders>
            <w:vAlign w:val="center"/>
          </w:tcPr>
          <w:p>
            <w:pPr>
              <w:pStyle w:val="34"/>
            </w:pPr>
            <w:r>
              <w:t>防渗分区</w:t>
            </w:r>
          </w:p>
        </w:tc>
        <w:tc>
          <w:tcPr>
            <w:tcW w:w="1480" w:type="dxa"/>
            <w:tcBorders>
              <w:tl2br w:val="nil"/>
              <w:tr2bl w:val="nil"/>
            </w:tcBorders>
            <w:vAlign w:val="center"/>
          </w:tcPr>
          <w:p>
            <w:pPr>
              <w:pStyle w:val="34"/>
            </w:pPr>
            <w:r>
              <w:t>天然包气带防污性能</w:t>
            </w:r>
          </w:p>
        </w:tc>
        <w:tc>
          <w:tcPr>
            <w:tcW w:w="1347" w:type="dxa"/>
            <w:tcBorders>
              <w:tl2br w:val="nil"/>
              <w:tr2bl w:val="nil"/>
            </w:tcBorders>
            <w:vAlign w:val="center"/>
          </w:tcPr>
          <w:p>
            <w:pPr>
              <w:pStyle w:val="34"/>
            </w:pPr>
            <w:r>
              <w:t>污染控制难易程度</w:t>
            </w:r>
          </w:p>
        </w:tc>
        <w:tc>
          <w:tcPr>
            <w:tcW w:w="1748" w:type="dxa"/>
            <w:tcBorders>
              <w:tl2br w:val="nil"/>
              <w:tr2bl w:val="nil"/>
            </w:tcBorders>
            <w:vAlign w:val="center"/>
          </w:tcPr>
          <w:p>
            <w:pPr>
              <w:pStyle w:val="34"/>
            </w:pPr>
            <w:r>
              <w:t>污染物类型</w:t>
            </w:r>
          </w:p>
        </w:tc>
        <w:tc>
          <w:tcPr>
            <w:tcW w:w="2504" w:type="dxa"/>
            <w:tcBorders>
              <w:tl2br w:val="nil"/>
              <w:tr2bl w:val="nil"/>
            </w:tcBorders>
            <w:vAlign w:val="center"/>
          </w:tcPr>
          <w:p>
            <w:pPr>
              <w:pStyle w:val="34"/>
            </w:pPr>
            <w: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vMerge w:val="restart"/>
            <w:tcBorders>
              <w:tl2br w:val="nil"/>
              <w:tr2bl w:val="nil"/>
            </w:tcBorders>
            <w:vAlign w:val="center"/>
          </w:tcPr>
          <w:p>
            <w:pPr>
              <w:pStyle w:val="34"/>
            </w:pPr>
            <w:r>
              <w:t>重点防渗区</w:t>
            </w:r>
          </w:p>
        </w:tc>
        <w:tc>
          <w:tcPr>
            <w:tcW w:w="1480" w:type="dxa"/>
            <w:tcBorders>
              <w:tl2br w:val="nil"/>
              <w:tr2bl w:val="nil"/>
            </w:tcBorders>
            <w:vAlign w:val="center"/>
          </w:tcPr>
          <w:p>
            <w:pPr>
              <w:pStyle w:val="34"/>
            </w:pPr>
            <w:r>
              <w:t>弱</w:t>
            </w:r>
          </w:p>
        </w:tc>
        <w:tc>
          <w:tcPr>
            <w:tcW w:w="1347" w:type="dxa"/>
            <w:tcBorders>
              <w:tl2br w:val="nil"/>
              <w:tr2bl w:val="nil"/>
            </w:tcBorders>
            <w:vAlign w:val="center"/>
          </w:tcPr>
          <w:p>
            <w:pPr>
              <w:pStyle w:val="34"/>
            </w:pPr>
            <w:r>
              <w:t>难</w:t>
            </w:r>
          </w:p>
        </w:tc>
        <w:tc>
          <w:tcPr>
            <w:tcW w:w="1748" w:type="dxa"/>
            <w:vMerge w:val="restart"/>
            <w:tcBorders>
              <w:tl2br w:val="nil"/>
              <w:tr2bl w:val="nil"/>
            </w:tcBorders>
            <w:vAlign w:val="center"/>
          </w:tcPr>
          <w:p>
            <w:pPr>
              <w:pStyle w:val="34"/>
            </w:pPr>
            <w:r>
              <w:t>重金属、持久性有机物污染物</w:t>
            </w:r>
          </w:p>
        </w:tc>
        <w:tc>
          <w:tcPr>
            <w:tcW w:w="2504" w:type="dxa"/>
            <w:vMerge w:val="restart"/>
            <w:tcBorders>
              <w:tl2br w:val="nil"/>
              <w:tr2bl w:val="nil"/>
            </w:tcBorders>
            <w:vAlign w:val="center"/>
          </w:tcPr>
          <w:p>
            <w:pPr>
              <w:pStyle w:val="34"/>
            </w:pPr>
            <w:r>
              <w:rPr>
                <w:lang w:val="zh-CN"/>
              </w:rPr>
              <w:t>等效黏土防渗层Mb≥</w:t>
            </w:r>
            <w:r>
              <w:t>6.0</w:t>
            </w:r>
            <w:r>
              <w:rPr>
                <w:lang w:val="zh-CN"/>
              </w:rPr>
              <w:t>m，K&lt;1×10</w:t>
            </w:r>
            <w:r>
              <w:rPr>
                <w:vertAlign w:val="superscript"/>
                <w:lang w:val="zh-CN"/>
              </w:rPr>
              <w:t>-7</w:t>
            </w:r>
            <w:r>
              <w:rPr>
                <w:lang w:val="zh-CN"/>
              </w:rPr>
              <w:t>cm/s，或参照GB</w:t>
            </w:r>
            <w:r>
              <w:t>18598</w:t>
            </w:r>
            <w:r>
              <w:rPr>
                <w:lang w:val="zh-CN"/>
              </w:rPr>
              <w:t>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vMerge w:val="continue"/>
            <w:tcBorders>
              <w:tl2br w:val="nil"/>
              <w:tr2bl w:val="nil"/>
            </w:tcBorders>
            <w:vAlign w:val="center"/>
          </w:tcPr>
          <w:p>
            <w:pPr>
              <w:pStyle w:val="34"/>
            </w:pPr>
          </w:p>
        </w:tc>
        <w:tc>
          <w:tcPr>
            <w:tcW w:w="1480" w:type="dxa"/>
            <w:tcBorders>
              <w:tl2br w:val="nil"/>
              <w:tr2bl w:val="nil"/>
            </w:tcBorders>
            <w:vAlign w:val="center"/>
          </w:tcPr>
          <w:p>
            <w:pPr>
              <w:pStyle w:val="34"/>
            </w:pPr>
            <w:r>
              <w:t>中-强</w:t>
            </w:r>
          </w:p>
        </w:tc>
        <w:tc>
          <w:tcPr>
            <w:tcW w:w="1347" w:type="dxa"/>
            <w:tcBorders>
              <w:tl2br w:val="nil"/>
              <w:tr2bl w:val="nil"/>
            </w:tcBorders>
            <w:vAlign w:val="center"/>
          </w:tcPr>
          <w:p>
            <w:pPr>
              <w:pStyle w:val="34"/>
            </w:pPr>
            <w:r>
              <w:t>难</w:t>
            </w:r>
          </w:p>
        </w:tc>
        <w:tc>
          <w:tcPr>
            <w:tcW w:w="1748" w:type="dxa"/>
            <w:vMerge w:val="continue"/>
            <w:tcBorders>
              <w:tl2br w:val="nil"/>
              <w:tr2bl w:val="nil"/>
            </w:tcBorders>
            <w:vAlign w:val="center"/>
          </w:tcPr>
          <w:p>
            <w:pPr>
              <w:pStyle w:val="34"/>
            </w:pPr>
          </w:p>
        </w:tc>
        <w:tc>
          <w:tcPr>
            <w:tcW w:w="2504" w:type="dxa"/>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vMerge w:val="continue"/>
            <w:tcBorders>
              <w:tl2br w:val="nil"/>
              <w:tr2bl w:val="nil"/>
            </w:tcBorders>
            <w:vAlign w:val="center"/>
          </w:tcPr>
          <w:p>
            <w:pPr>
              <w:pStyle w:val="34"/>
            </w:pPr>
          </w:p>
        </w:tc>
        <w:tc>
          <w:tcPr>
            <w:tcW w:w="1480" w:type="dxa"/>
            <w:tcBorders>
              <w:tl2br w:val="nil"/>
              <w:tr2bl w:val="nil"/>
            </w:tcBorders>
            <w:vAlign w:val="center"/>
          </w:tcPr>
          <w:p>
            <w:pPr>
              <w:pStyle w:val="34"/>
            </w:pPr>
            <w:r>
              <w:t>弱</w:t>
            </w:r>
          </w:p>
        </w:tc>
        <w:tc>
          <w:tcPr>
            <w:tcW w:w="1347" w:type="dxa"/>
            <w:tcBorders>
              <w:tl2br w:val="nil"/>
              <w:tr2bl w:val="nil"/>
            </w:tcBorders>
            <w:vAlign w:val="center"/>
          </w:tcPr>
          <w:p>
            <w:pPr>
              <w:pStyle w:val="34"/>
            </w:pPr>
            <w:r>
              <w:t>易</w:t>
            </w:r>
          </w:p>
        </w:tc>
        <w:tc>
          <w:tcPr>
            <w:tcW w:w="1748" w:type="dxa"/>
            <w:vMerge w:val="continue"/>
            <w:tcBorders>
              <w:tl2br w:val="nil"/>
              <w:tr2bl w:val="nil"/>
            </w:tcBorders>
            <w:vAlign w:val="center"/>
          </w:tcPr>
          <w:p>
            <w:pPr>
              <w:pStyle w:val="34"/>
            </w:pPr>
          </w:p>
        </w:tc>
        <w:tc>
          <w:tcPr>
            <w:tcW w:w="2504" w:type="dxa"/>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vMerge w:val="restart"/>
            <w:tcBorders>
              <w:tl2br w:val="nil"/>
              <w:tr2bl w:val="nil"/>
            </w:tcBorders>
            <w:vAlign w:val="center"/>
          </w:tcPr>
          <w:p>
            <w:pPr>
              <w:pStyle w:val="34"/>
            </w:pPr>
            <w:r>
              <w:t>一般防渗区</w:t>
            </w:r>
          </w:p>
        </w:tc>
        <w:tc>
          <w:tcPr>
            <w:tcW w:w="1480" w:type="dxa"/>
            <w:tcBorders>
              <w:tl2br w:val="nil"/>
              <w:tr2bl w:val="nil"/>
            </w:tcBorders>
            <w:vAlign w:val="center"/>
          </w:tcPr>
          <w:p>
            <w:pPr>
              <w:pStyle w:val="34"/>
            </w:pPr>
            <w:r>
              <w:t>弱</w:t>
            </w:r>
          </w:p>
        </w:tc>
        <w:tc>
          <w:tcPr>
            <w:tcW w:w="1347" w:type="dxa"/>
            <w:tcBorders>
              <w:tl2br w:val="nil"/>
              <w:tr2bl w:val="nil"/>
            </w:tcBorders>
            <w:vAlign w:val="center"/>
          </w:tcPr>
          <w:p>
            <w:pPr>
              <w:pStyle w:val="34"/>
            </w:pPr>
            <w:r>
              <w:t>易-难</w:t>
            </w:r>
          </w:p>
        </w:tc>
        <w:tc>
          <w:tcPr>
            <w:tcW w:w="1748" w:type="dxa"/>
            <w:vMerge w:val="restart"/>
            <w:tcBorders>
              <w:tl2br w:val="nil"/>
              <w:tr2bl w:val="nil"/>
            </w:tcBorders>
            <w:vAlign w:val="center"/>
          </w:tcPr>
          <w:p>
            <w:pPr>
              <w:pStyle w:val="34"/>
            </w:pPr>
            <w:r>
              <w:t>其他类型</w:t>
            </w:r>
          </w:p>
        </w:tc>
        <w:tc>
          <w:tcPr>
            <w:tcW w:w="2504" w:type="dxa"/>
            <w:vMerge w:val="restart"/>
            <w:tcBorders>
              <w:tl2br w:val="nil"/>
              <w:tr2bl w:val="nil"/>
            </w:tcBorders>
            <w:vAlign w:val="center"/>
          </w:tcPr>
          <w:p>
            <w:pPr>
              <w:pStyle w:val="34"/>
            </w:pPr>
            <w:r>
              <w:rPr>
                <w:lang w:val="zh-CN"/>
              </w:rPr>
              <w:t>等效黏土防渗层Mb&gt;1.5m，K&lt;1×10</w:t>
            </w:r>
            <w:r>
              <w:rPr>
                <w:vertAlign w:val="superscript"/>
                <w:lang w:val="zh-CN"/>
              </w:rPr>
              <w:t>-7</w:t>
            </w:r>
            <w:r>
              <w:rPr>
                <w:lang w:val="zh-CN"/>
              </w:rPr>
              <w:t>cm/s，或参照GB16889执行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vMerge w:val="continue"/>
            <w:tcBorders>
              <w:tl2br w:val="nil"/>
              <w:tr2bl w:val="nil"/>
            </w:tcBorders>
            <w:vAlign w:val="center"/>
          </w:tcPr>
          <w:p>
            <w:pPr>
              <w:pStyle w:val="34"/>
            </w:pPr>
          </w:p>
        </w:tc>
        <w:tc>
          <w:tcPr>
            <w:tcW w:w="1480" w:type="dxa"/>
            <w:tcBorders>
              <w:tl2br w:val="nil"/>
              <w:tr2bl w:val="nil"/>
            </w:tcBorders>
            <w:vAlign w:val="center"/>
          </w:tcPr>
          <w:p>
            <w:pPr>
              <w:pStyle w:val="34"/>
            </w:pPr>
            <w:r>
              <w:t>中-强</w:t>
            </w:r>
          </w:p>
        </w:tc>
        <w:tc>
          <w:tcPr>
            <w:tcW w:w="1347" w:type="dxa"/>
            <w:tcBorders>
              <w:tl2br w:val="nil"/>
              <w:tr2bl w:val="nil"/>
            </w:tcBorders>
            <w:vAlign w:val="center"/>
          </w:tcPr>
          <w:p>
            <w:pPr>
              <w:pStyle w:val="34"/>
            </w:pPr>
            <w:r>
              <w:t>难</w:t>
            </w:r>
          </w:p>
        </w:tc>
        <w:tc>
          <w:tcPr>
            <w:tcW w:w="1748" w:type="dxa"/>
            <w:vMerge w:val="continue"/>
            <w:tcBorders>
              <w:tl2br w:val="nil"/>
              <w:tr2bl w:val="nil"/>
            </w:tcBorders>
            <w:vAlign w:val="center"/>
          </w:tcPr>
          <w:p>
            <w:pPr>
              <w:pStyle w:val="34"/>
            </w:pPr>
          </w:p>
        </w:tc>
        <w:tc>
          <w:tcPr>
            <w:tcW w:w="2504" w:type="dxa"/>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vMerge w:val="continue"/>
            <w:tcBorders>
              <w:tl2br w:val="nil"/>
              <w:tr2bl w:val="nil"/>
            </w:tcBorders>
            <w:vAlign w:val="center"/>
          </w:tcPr>
          <w:p>
            <w:pPr>
              <w:pStyle w:val="34"/>
            </w:pPr>
          </w:p>
        </w:tc>
        <w:tc>
          <w:tcPr>
            <w:tcW w:w="1480" w:type="dxa"/>
            <w:tcBorders>
              <w:tl2br w:val="nil"/>
              <w:tr2bl w:val="nil"/>
            </w:tcBorders>
            <w:vAlign w:val="center"/>
          </w:tcPr>
          <w:p>
            <w:pPr>
              <w:pStyle w:val="34"/>
            </w:pPr>
            <w:r>
              <w:t>中</w:t>
            </w:r>
          </w:p>
        </w:tc>
        <w:tc>
          <w:tcPr>
            <w:tcW w:w="1347" w:type="dxa"/>
            <w:tcBorders>
              <w:tl2br w:val="nil"/>
              <w:tr2bl w:val="nil"/>
            </w:tcBorders>
            <w:vAlign w:val="center"/>
          </w:tcPr>
          <w:p>
            <w:pPr>
              <w:pStyle w:val="34"/>
            </w:pPr>
            <w:r>
              <w:t>易</w:t>
            </w:r>
          </w:p>
        </w:tc>
        <w:tc>
          <w:tcPr>
            <w:tcW w:w="1748" w:type="dxa"/>
            <w:vMerge w:val="restart"/>
            <w:tcBorders>
              <w:tl2br w:val="nil"/>
              <w:tr2bl w:val="nil"/>
            </w:tcBorders>
            <w:vAlign w:val="center"/>
          </w:tcPr>
          <w:p>
            <w:pPr>
              <w:pStyle w:val="34"/>
            </w:pPr>
            <w:r>
              <w:t>重金属、持久性有机物污染物</w:t>
            </w:r>
          </w:p>
        </w:tc>
        <w:tc>
          <w:tcPr>
            <w:tcW w:w="2504" w:type="dxa"/>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vMerge w:val="continue"/>
            <w:tcBorders>
              <w:tl2br w:val="nil"/>
              <w:tr2bl w:val="nil"/>
            </w:tcBorders>
            <w:vAlign w:val="center"/>
          </w:tcPr>
          <w:p>
            <w:pPr>
              <w:pStyle w:val="34"/>
            </w:pPr>
          </w:p>
        </w:tc>
        <w:tc>
          <w:tcPr>
            <w:tcW w:w="1480" w:type="dxa"/>
            <w:tcBorders>
              <w:tl2br w:val="nil"/>
              <w:tr2bl w:val="nil"/>
            </w:tcBorders>
            <w:vAlign w:val="center"/>
          </w:tcPr>
          <w:p>
            <w:pPr>
              <w:pStyle w:val="34"/>
            </w:pPr>
            <w:r>
              <w:t>强</w:t>
            </w:r>
          </w:p>
        </w:tc>
        <w:tc>
          <w:tcPr>
            <w:tcW w:w="1347" w:type="dxa"/>
            <w:tcBorders>
              <w:tl2br w:val="nil"/>
              <w:tr2bl w:val="nil"/>
            </w:tcBorders>
            <w:vAlign w:val="center"/>
          </w:tcPr>
          <w:p>
            <w:pPr>
              <w:pStyle w:val="34"/>
            </w:pPr>
            <w:r>
              <w:t>易</w:t>
            </w:r>
          </w:p>
        </w:tc>
        <w:tc>
          <w:tcPr>
            <w:tcW w:w="1748" w:type="dxa"/>
            <w:vMerge w:val="continue"/>
            <w:tcBorders>
              <w:tl2br w:val="nil"/>
              <w:tr2bl w:val="nil"/>
            </w:tcBorders>
            <w:vAlign w:val="center"/>
          </w:tcPr>
          <w:p>
            <w:pPr>
              <w:pStyle w:val="34"/>
            </w:pPr>
          </w:p>
        </w:tc>
        <w:tc>
          <w:tcPr>
            <w:tcW w:w="2504" w:type="dxa"/>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9" w:type="dxa"/>
            <w:tcBorders>
              <w:tl2br w:val="nil"/>
              <w:tr2bl w:val="nil"/>
            </w:tcBorders>
            <w:vAlign w:val="center"/>
          </w:tcPr>
          <w:p>
            <w:pPr>
              <w:pStyle w:val="34"/>
            </w:pPr>
            <w:r>
              <w:t>简单防渗区</w:t>
            </w:r>
          </w:p>
        </w:tc>
        <w:tc>
          <w:tcPr>
            <w:tcW w:w="1480" w:type="dxa"/>
            <w:tcBorders>
              <w:tl2br w:val="nil"/>
              <w:tr2bl w:val="nil"/>
            </w:tcBorders>
            <w:vAlign w:val="center"/>
          </w:tcPr>
          <w:p>
            <w:pPr>
              <w:pStyle w:val="34"/>
            </w:pPr>
            <w:r>
              <w:t>中-强</w:t>
            </w:r>
          </w:p>
        </w:tc>
        <w:tc>
          <w:tcPr>
            <w:tcW w:w="1347" w:type="dxa"/>
            <w:tcBorders>
              <w:tl2br w:val="nil"/>
              <w:tr2bl w:val="nil"/>
            </w:tcBorders>
            <w:vAlign w:val="center"/>
          </w:tcPr>
          <w:p>
            <w:pPr>
              <w:pStyle w:val="34"/>
            </w:pPr>
            <w:r>
              <w:t>易</w:t>
            </w:r>
          </w:p>
        </w:tc>
        <w:tc>
          <w:tcPr>
            <w:tcW w:w="1748" w:type="dxa"/>
            <w:tcBorders>
              <w:tl2br w:val="nil"/>
              <w:tr2bl w:val="nil"/>
            </w:tcBorders>
            <w:vAlign w:val="center"/>
          </w:tcPr>
          <w:p>
            <w:pPr>
              <w:pStyle w:val="34"/>
            </w:pPr>
            <w:r>
              <w:t>其他类型</w:t>
            </w:r>
          </w:p>
        </w:tc>
        <w:tc>
          <w:tcPr>
            <w:tcW w:w="2504" w:type="dxa"/>
            <w:tcBorders>
              <w:tl2br w:val="nil"/>
              <w:tr2bl w:val="nil"/>
            </w:tcBorders>
            <w:vAlign w:val="center"/>
          </w:tcPr>
          <w:p>
            <w:pPr>
              <w:pStyle w:val="34"/>
            </w:pPr>
            <w:r>
              <w:t>一般地面硬化</w:t>
            </w:r>
          </w:p>
        </w:tc>
      </w:tr>
    </w:tbl>
    <w:p>
      <w:pPr>
        <w:adjustRightInd w:val="0"/>
        <w:snapToGrid w:val="0"/>
        <w:spacing w:before="156" w:beforeLines="50" w:line="360" w:lineRule="auto"/>
        <w:ind w:firstLine="456" w:firstLineChars="200"/>
        <w:textAlignment w:val="baseline"/>
        <w:rPr>
          <w:rFonts w:ascii="Times New Roman" w:hAnsi="Times New Roman"/>
          <w:spacing w:val="-6"/>
          <w:sz w:val="24"/>
        </w:rPr>
      </w:pPr>
      <w:r>
        <w:rPr>
          <w:rFonts w:ascii="Cambria Math" w:hAnsi="Cambria Math" w:cs="Cambria Math"/>
          <w:spacing w:val="-6"/>
          <w:sz w:val="24"/>
        </w:rPr>
        <w:t>①</w:t>
      </w:r>
      <w:r>
        <w:rPr>
          <w:rFonts w:ascii="Times New Roman" w:hAnsi="Times New Roman"/>
          <w:spacing w:val="-6"/>
          <w:sz w:val="24"/>
        </w:rPr>
        <w:t>本项目三级循环沉淀池池体属于一般防渗区，对于一般防渗区，防渗技术要求为防渗层的防渗性能不低于1.5m厚、渗透系数不大于1×10</w:t>
      </w:r>
      <w:r>
        <w:rPr>
          <w:rFonts w:ascii="Times New Roman" w:hAnsi="Times New Roman"/>
          <w:spacing w:val="-6"/>
          <w:sz w:val="24"/>
          <w:vertAlign w:val="superscript"/>
        </w:rPr>
        <w:t>-7</w:t>
      </w:r>
      <w:r>
        <w:rPr>
          <w:rFonts w:ascii="Times New Roman" w:hAnsi="Times New Roman"/>
          <w:spacing w:val="-6"/>
          <w:sz w:val="24"/>
        </w:rPr>
        <w:t>cm/s的黏土防渗层的防渗性能。车间地面属于简单防渗区，一般采取地面硬化措施即可。</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清洗、造粒、生产车间地面采用水泥硬化防渗，车间生产废水收集后排入循环水池，循环水池属于一般防渗区，池底池内壁进行混凝土浇筑、并用防渗材料进行防渗。</w:t>
      </w:r>
    </w:p>
    <w:p>
      <w:pPr>
        <w:adjustRightInd w:val="0"/>
        <w:snapToGrid w:val="0"/>
        <w:spacing w:line="360" w:lineRule="auto"/>
        <w:ind w:firstLine="480" w:firstLineChars="200"/>
        <w:textAlignment w:val="baseline"/>
        <w:rPr>
          <w:rFonts w:ascii="Times New Roman" w:hAnsi="Times New Roman"/>
          <w:sz w:val="24"/>
        </w:rPr>
      </w:pPr>
      <w:r>
        <w:rPr>
          <w:rFonts w:ascii="Cambria Math" w:hAnsi="Cambria Math" w:cs="Cambria Math"/>
          <w:sz w:val="24"/>
        </w:rPr>
        <w:t>②</w:t>
      </w:r>
      <w:r>
        <w:rPr>
          <w:rFonts w:ascii="Times New Roman" w:hAnsi="Times New Roman"/>
          <w:sz w:val="24"/>
        </w:rPr>
        <w:t>本项目危废</w:t>
      </w:r>
      <w:r>
        <w:rPr>
          <w:rFonts w:hint="eastAsia" w:ascii="Times New Roman" w:hAnsi="Times New Roman"/>
          <w:sz w:val="24"/>
        </w:rPr>
        <w:t>贮存库</w:t>
      </w:r>
      <w:r>
        <w:rPr>
          <w:rFonts w:ascii="Times New Roman" w:hAnsi="Times New Roman"/>
          <w:sz w:val="24"/>
        </w:rPr>
        <w:t>属于重点防渗区，必须进行严格的防渗处理，防渗技术要求为防渗层的防渗性能不低于6.0m厚、渗透系数不大于1.0×10</w:t>
      </w:r>
      <w:r>
        <w:rPr>
          <w:rFonts w:ascii="Times New Roman" w:hAnsi="Times New Roman"/>
          <w:sz w:val="24"/>
          <w:vertAlign w:val="superscript"/>
        </w:rPr>
        <w:t>-7</w:t>
      </w:r>
      <w:r>
        <w:rPr>
          <w:rFonts w:ascii="Times New Roman" w:hAnsi="Times New Roman"/>
          <w:sz w:val="24"/>
        </w:rPr>
        <w:t>cm/s的黏土层的防渗性能。</w:t>
      </w:r>
    </w:p>
    <w:p>
      <w:pPr>
        <w:adjustRightInd w:val="0"/>
        <w:snapToGrid w:val="0"/>
        <w:spacing w:line="360" w:lineRule="auto"/>
        <w:ind w:firstLine="480" w:firstLineChars="200"/>
        <w:textAlignment w:val="baseline"/>
        <w:rPr>
          <w:rFonts w:ascii="Times New Roman" w:hAnsi="Times New Roman"/>
          <w:sz w:val="24"/>
        </w:rPr>
      </w:pPr>
      <w:r>
        <w:rPr>
          <w:rFonts w:ascii="Cambria Math" w:hAnsi="Cambria Math" w:cs="Cambria Math"/>
          <w:sz w:val="24"/>
        </w:rPr>
        <w:t>③</w:t>
      </w:r>
      <w:r>
        <w:rPr>
          <w:rFonts w:ascii="Times New Roman" w:hAnsi="Times New Roman"/>
          <w:sz w:val="24"/>
        </w:rPr>
        <w:t>废水管道采取的防渗措施如下：地下管道选用钢管，焊接连接，在管道壁厚设计上加大腐蚀裕量，并且采用最高级别的外防腐层。防渗结构采用封闭钢筋混凝土管沟防渗结构。最大限度地预防“跑冒滴漏”现象的发生。</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4 \* GB3 \* MERGEFORMAT </w:instrText>
      </w:r>
      <w:r>
        <w:rPr>
          <w:rFonts w:ascii="Times New Roman" w:hAnsi="Times New Roman"/>
          <w:sz w:val="24"/>
        </w:rPr>
        <w:fldChar w:fldCharType="separate"/>
      </w:r>
      <w:r>
        <w:rPr>
          <w:rFonts w:ascii="Cambria Math" w:hAnsi="Cambria Math" w:cs="Cambria Math"/>
          <w:sz w:val="24"/>
        </w:rPr>
        <w:t>④</w:t>
      </w:r>
      <w:r>
        <w:rPr>
          <w:rFonts w:ascii="Times New Roman" w:hAnsi="Times New Roman"/>
          <w:sz w:val="24"/>
        </w:rPr>
        <w:fldChar w:fldCharType="end"/>
      </w:r>
      <w:r>
        <w:rPr>
          <w:rFonts w:ascii="Times New Roman" w:hAnsi="Times New Roman"/>
          <w:sz w:val="24"/>
        </w:rPr>
        <w:t>项目运行后，配备专兼职技术人员，加强地下水环境管理及巡查，定期对车间、冷却水设施等环节进行检漏工作，确保各防渗漏措施运行的长期性、稳定性和可靠性。</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采取上述防渗措施后，确保项目地下水环境不会因项目的建设而受到影响。项目</w:t>
      </w:r>
      <w:r>
        <w:rPr>
          <w:rFonts w:hint="eastAsia" w:ascii="Times New Roman" w:hAnsi="Times New Roman"/>
          <w:sz w:val="24"/>
        </w:rPr>
        <w:t>生活污水</w:t>
      </w:r>
      <w:r>
        <w:rPr>
          <w:rFonts w:ascii="Times New Roman" w:hAnsi="Times New Roman"/>
          <w:sz w:val="24"/>
        </w:rPr>
        <w:t>排入下水管网，不会对地下水造成不利影响。</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（3）地下水影响分析与评价</w:t>
      </w:r>
    </w:p>
    <w:p>
      <w:pPr>
        <w:adjustRightInd w:val="0"/>
        <w:snapToGrid w:val="0"/>
        <w:spacing w:line="360" w:lineRule="auto"/>
        <w:ind w:firstLine="482" w:firstLineChars="200"/>
        <w:textAlignment w:val="baseline"/>
        <w:rPr>
          <w:rFonts w:ascii="Times New Roman" w:hAnsi="Times New Roman"/>
          <w:b/>
          <w:bCs/>
          <w:sz w:val="24"/>
        </w:rPr>
      </w:pPr>
      <w:r>
        <w:rPr>
          <w:rFonts w:ascii="Times New Roman" w:hAnsi="Times New Roman"/>
          <w:b/>
          <w:bCs/>
          <w:sz w:val="24"/>
        </w:rPr>
        <w:t>正常状况下地下水环境影响分析与评价：</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正常情况下，项目严格按照报告中提出的“源头控制、分区防控、污染监控、应急响应”原则，采取地下防渗措施，厂区地面进行硬化的基础上，一般情况下污水不会渗漏并进入地下，对地下水不会造成污染。</w:t>
      </w:r>
    </w:p>
    <w:p>
      <w:pPr>
        <w:adjustRightInd w:val="0"/>
        <w:snapToGrid w:val="0"/>
        <w:spacing w:line="360" w:lineRule="auto"/>
        <w:ind w:firstLine="482" w:firstLineChars="200"/>
        <w:textAlignment w:val="baseline"/>
        <w:rPr>
          <w:rFonts w:ascii="Times New Roman" w:hAnsi="Times New Roman"/>
          <w:b/>
          <w:bCs/>
          <w:sz w:val="24"/>
        </w:rPr>
      </w:pPr>
      <w:r>
        <w:rPr>
          <w:rFonts w:ascii="Times New Roman" w:hAnsi="Times New Roman"/>
          <w:b/>
          <w:bCs/>
          <w:sz w:val="24"/>
        </w:rPr>
        <w:t>非正常状况下地下水环境影响分析与评价：</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影响途径：考虑到非正常情况下，建设项目的工艺设备或地下水环境保护措施因系统老化、腐蚀等原因不能正常运行或保护效果达不到设计要求时的运行状况，导致污水或物料“跑冒滴漏”对第四系松散岩类孔隙潜水的影响。</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包气带是连接地面污染与地下含水层的主要通道，也是过渡带，既是污染物媒介体。又是污染物的净化地带和防护层，地下水能否被污染以及污染程度的大小，取决于包气带的岩性、组成及其污染物的种类与性质。</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本项目评价范围内无地下水敏感点、无饮用水水源保护区。发生渗漏后，只要及时采取补救措施，则可将污染控制在污染源附近的小范围内，避免对地下水环境造成明显影响。</w:t>
      </w:r>
    </w:p>
    <w:p>
      <w:pPr>
        <w:pStyle w:val="5"/>
        <w:rPr>
          <w:rFonts w:cs="Times New Roman"/>
        </w:rPr>
      </w:pPr>
      <w:r>
        <w:rPr>
          <w:rFonts w:cs="Times New Roman"/>
        </w:rPr>
        <w:t>运营期声环境影响预测与评价</w:t>
      </w:r>
    </w:p>
    <w:p>
      <w:pPr>
        <w:pStyle w:val="6"/>
      </w:pPr>
      <w:r>
        <w:t>预测模型</w:t>
      </w:r>
    </w:p>
    <w:p>
      <w:pPr>
        <w:pStyle w:val="7"/>
        <w:ind w:firstLine="480"/>
        <w:rPr>
          <w:rFonts w:cs="Times New Roman"/>
          <w:lang w:val="zh-CN"/>
        </w:rPr>
      </w:pPr>
      <w:r>
        <w:rPr>
          <w:rFonts w:cs="Times New Roman"/>
          <w:lang w:val="zh-CN"/>
        </w:rPr>
        <w:t>根据项目建设内容及《环境影响评价技术导则 声环境》（HJ2.4-2021）的要求，本评价采用的模型为《环境影响评价技术导则 声环境》（HJ2.4-2021）附录A（规范性附录）户外声传播的衰减和附录B（规范性附录）中“B.1工业噪声预测计算模型”。</w:t>
      </w:r>
    </w:p>
    <w:p>
      <w:pPr>
        <w:pStyle w:val="6"/>
      </w:pPr>
      <w:r>
        <w:t>预测参数</w:t>
      </w:r>
    </w:p>
    <w:p>
      <w:pPr>
        <w:pStyle w:val="7"/>
        <w:ind w:firstLine="480"/>
        <w:rPr>
          <w:rFonts w:cs="Times New Roman"/>
          <w:lang w:val="zh-CN"/>
        </w:rPr>
      </w:pPr>
      <w:r>
        <w:rPr>
          <w:rFonts w:cs="Times New Roman"/>
          <w:lang w:val="zh-CN"/>
        </w:rPr>
        <w:t>（1）噪声源强</w:t>
      </w:r>
    </w:p>
    <w:p>
      <w:pPr>
        <w:pStyle w:val="7"/>
        <w:ind w:firstLine="480"/>
        <w:rPr>
          <w:rFonts w:cs="Times New Roman"/>
          <w:lang w:val="zh-CN"/>
        </w:rPr>
      </w:pPr>
      <w:r>
        <w:rPr>
          <w:rFonts w:cs="Times New Roman"/>
          <w:lang w:val="zh-CN"/>
        </w:rPr>
        <w:t>项目在生产过程中产生的噪声主要源自</w:t>
      </w:r>
      <w:r>
        <w:rPr>
          <w:rFonts w:hint="eastAsia" w:cs="Times New Roman"/>
          <w:lang w:val="zh-CN"/>
        </w:rPr>
        <w:t>破碎机、洗料机、提料机、造粒机、双螺杆挤出机、水带生产线成套设备</w:t>
      </w:r>
      <w:r>
        <w:rPr>
          <w:rFonts w:cs="Times New Roman"/>
          <w:lang w:val="zh-CN"/>
        </w:rPr>
        <w:t>等，这些设备产生的噪声声级一般在65dB以上。项目噪声源强调查清单</w:t>
      </w:r>
      <w:r>
        <w:rPr>
          <w:rFonts w:hint="eastAsia" w:cs="Times New Roman"/>
          <w:lang w:val="zh-CN"/>
        </w:rPr>
        <w:t>表5.2-13</w:t>
      </w:r>
      <w:r>
        <w:rPr>
          <w:rFonts w:cs="Times New Roman"/>
          <w:lang w:val="zh-CN"/>
        </w:rPr>
        <w:t>。</w:t>
      </w:r>
    </w:p>
    <w:p>
      <w:pPr>
        <w:pStyle w:val="36"/>
        <w:spacing w:before="156"/>
        <w:rPr>
          <w:rFonts w:eastAsia="宋体"/>
        </w:rPr>
      </w:pPr>
      <w:bookmarkStart w:id="80" w:name="_Ref111549361"/>
      <w:bookmarkStart w:id="81" w:name="_Ref108016547"/>
      <w:r>
        <w:rPr>
          <w:rFonts w:eastAsia="宋体"/>
        </w:rPr>
        <w:t>表</w:t>
      </w:r>
      <w:r>
        <w:rPr>
          <w:rFonts w:hint="eastAsia" w:eastAsia="宋体"/>
        </w:rPr>
        <w:t>5.2-13</w:t>
      </w:r>
      <w:bookmarkEnd w:id="80"/>
      <w:bookmarkEnd w:id="81"/>
      <w:r>
        <w:rPr>
          <w:rFonts w:eastAsia="宋体"/>
        </w:rPr>
        <w:t xml:space="preserve">  工业企业噪声源强调查清单（室内声源）</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436"/>
        <w:gridCol w:w="436"/>
        <w:gridCol w:w="833"/>
        <w:gridCol w:w="653"/>
        <w:gridCol w:w="599"/>
        <w:gridCol w:w="599"/>
        <w:gridCol w:w="708"/>
        <w:gridCol w:w="449"/>
        <w:gridCol w:w="839"/>
        <w:gridCol w:w="437"/>
        <w:gridCol w:w="833"/>
        <w:gridCol w:w="833"/>
        <w:gridCol w:w="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exact"/>
          <w:tblHeader/>
        </w:trPr>
        <w:tc>
          <w:tcPr>
            <w:tcW w:w="256" w:type="pct"/>
            <w:vMerge w:val="restart"/>
            <w:tcBorders>
              <w:tl2br w:val="nil"/>
              <w:tr2bl w:val="nil"/>
            </w:tcBorders>
          </w:tcPr>
          <w:p>
            <w:pPr>
              <w:pStyle w:val="34"/>
            </w:pPr>
            <w:r>
              <w:t>序号</w:t>
            </w:r>
          </w:p>
        </w:tc>
        <w:tc>
          <w:tcPr>
            <w:tcW w:w="256" w:type="pct"/>
            <w:vMerge w:val="restart"/>
            <w:tcBorders>
              <w:tl2br w:val="nil"/>
              <w:tr2bl w:val="nil"/>
            </w:tcBorders>
          </w:tcPr>
          <w:p>
            <w:pPr>
              <w:pStyle w:val="34"/>
            </w:pPr>
            <w:r>
              <w:t>建筑物名称</w:t>
            </w:r>
          </w:p>
        </w:tc>
        <w:tc>
          <w:tcPr>
            <w:tcW w:w="256" w:type="pct"/>
            <w:vMerge w:val="restart"/>
            <w:tcBorders>
              <w:tl2br w:val="nil"/>
              <w:tr2bl w:val="nil"/>
            </w:tcBorders>
          </w:tcPr>
          <w:p>
            <w:pPr>
              <w:pStyle w:val="34"/>
            </w:pPr>
            <w:r>
              <w:t>声源名称</w:t>
            </w:r>
          </w:p>
        </w:tc>
        <w:tc>
          <w:tcPr>
            <w:tcW w:w="488" w:type="pct"/>
            <w:vMerge w:val="restart"/>
            <w:tcBorders>
              <w:tl2br w:val="nil"/>
              <w:tr2bl w:val="nil"/>
            </w:tcBorders>
          </w:tcPr>
          <w:p>
            <w:pPr>
              <w:pStyle w:val="34"/>
            </w:pPr>
            <w:r>
              <w:t>声功率级/dB(A)</w:t>
            </w:r>
          </w:p>
        </w:tc>
        <w:tc>
          <w:tcPr>
            <w:tcW w:w="383" w:type="pct"/>
            <w:vMerge w:val="restart"/>
            <w:tcBorders>
              <w:tl2br w:val="nil"/>
              <w:tr2bl w:val="nil"/>
            </w:tcBorders>
          </w:tcPr>
          <w:p>
            <w:pPr>
              <w:pStyle w:val="34"/>
            </w:pPr>
            <w:r>
              <w:t>声源控制措施</w:t>
            </w:r>
          </w:p>
        </w:tc>
        <w:tc>
          <w:tcPr>
            <w:tcW w:w="1117" w:type="pct"/>
            <w:gridSpan w:val="3"/>
            <w:tcBorders>
              <w:tl2br w:val="nil"/>
              <w:tr2bl w:val="nil"/>
            </w:tcBorders>
          </w:tcPr>
          <w:p>
            <w:pPr>
              <w:pStyle w:val="34"/>
            </w:pPr>
            <w:r>
              <w:t>空间相对位置/m</w:t>
            </w:r>
          </w:p>
        </w:tc>
        <w:tc>
          <w:tcPr>
            <w:tcW w:w="263" w:type="pct"/>
            <w:vMerge w:val="restart"/>
            <w:tcBorders>
              <w:tl2br w:val="nil"/>
              <w:tr2bl w:val="nil"/>
            </w:tcBorders>
          </w:tcPr>
          <w:p>
            <w:pPr>
              <w:pStyle w:val="34"/>
            </w:pPr>
            <w:r>
              <w:t>距室内边界距离/m</w:t>
            </w:r>
          </w:p>
        </w:tc>
        <w:tc>
          <w:tcPr>
            <w:tcW w:w="492" w:type="pct"/>
            <w:vMerge w:val="restart"/>
            <w:tcBorders>
              <w:tl2br w:val="nil"/>
              <w:tr2bl w:val="nil"/>
            </w:tcBorders>
          </w:tcPr>
          <w:p>
            <w:pPr>
              <w:pStyle w:val="34"/>
            </w:pPr>
            <w:r>
              <w:t>室内边界声级/dB(A)</w:t>
            </w:r>
          </w:p>
        </w:tc>
        <w:tc>
          <w:tcPr>
            <w:tcW w:w="256" w:type="pct"/>
            <w:vMerge w:val="restart"/>
            <w:tcBorders>
              <w:tl2br w:val="nil"/>
              <w:tr2bl w:val="nil"/>
            </w:tcBorders>
          </w:tcPr>
          <w:p>
            <w:pPr>
              <w:pStyle w:val="34"/>
            </w:pPr>
            <w:r>
              <w:t>运行时段</w:t>
            </w:r>
          </w:p>
        </w:tc>
        <w:tc>
          <w:tcPr>
            <w:tcW w:w="488" w:type="pct"/>
            <w:vMerge w:val="restart"/>
            <w:tcBorders>
              <w:tl2br w:val="nil"/>
              <w:tr2bl w:val="nil"/>
            </w:tcBorders>
          </w:tcPr>
          <w:p>
            <w:pPr>
              <w:pStyle w:val="34"/>
            </w:pPr>
            <w:r>
              <w:t>建筑物插入损失/dB(A)</w:t>
            </w:r>
          </w:p>
        </w:tc>
        <w:tc>
          <w:tcPr>
            <w:tcW w:w="744" w:type="pct"/>
            <w:gridSpan w:val="2"/>
            <w:tcBorders>
              <w:tl2br w:val="nil"/>
              <w:tr2bl w:val="nil"/>
            </w:tcBorders>
          </w:tcPr>
          <w:p>
            <w:pPr>
              <w:pStyle w:val="34"/>
            </w:pPr>
            <w: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56" w:type="pct"/>
            <w:vMerge w:val="continue"/>
            <w:tcBorders>
              <w:tl2br w:val="nil"/>
              <w:tr2bl w:val="nil"/>
            </w:tcBorders>
          </w:tcPr>
          <w:p>
            <w:pPr>
              <w:pStyle w:val="34"/>
            </w:pPr>
          </w:p>
        </w:tc>
        <w:tc>
          <w:tcPr>
            <w:tcW w:w="256" w:type="pct"/>
            <w:vMerge w:val="continue"/>
            <w:tcBorders>
              <w:tl2br w:val="nil"/>
              <w:tr2bl w:val="nil"/>
            </w:tcBorders>
          </w:tcPr>
          <w:p>
            <w:pPr>
              <w:pStyle w:val="34"/>
            </w:pPr>
          </w:p>
        </w:tc>
        <w:tc>
          <w:tcPr>
            <w:tcW w:w="256" w:type="pct"/>
            <w:vMerge w:val="continue"/>
            <w:tcBorders>
              <w:tl2br w:val="nil"/>
              <w:tr2bl w:val="nil"/>
            </w:tcBorders>
          </w:tcPr>
          <w:p>
            <w:pPr>
              <w:pStyle w:val="34"/>
            </w:pPr>
          </w:p>
        </w:tc>
        <w:tc>
          <w:tcPr>
            <w:tcW w:w="488" w:type="pct"/>
            <w:vMerge w:val="continue"/>
            <w:tcBorders>
              <w:tl2br w:val="nil"/>
              <w:tr2bl w:val="nil"/>
            </w:tcBorders>
          </w:tcPr>
          <w:p>
            <w:pPr>
              <w:pStyle w:val="34"/>
            </w:pPr>
          </w:p>
        </w:tc>
        <w:tc>
          <w:tcPr>
            <w:tcW w:w="383" w:type="pct"/>
            <w:vMerge w:val="continue"/>
            <w:tcBorders>
              <w:tl2br w:val="nil"/>
              <w:tr2bl w:val="nil"/>
            </w:tcBorders>
          </w:tcPr>
          <w:p>
            <w:pPr>
              <w:pStyle w:val="34"/>
            </w:pPr>
          </w:p>
        </w:tc>
        <w:tc>
          <w:tcPr>
            <w:tcW w:w="351" w:type="pct"/>
            <w:tcBorders>
              <w:tl2br w:val="nil"/>
              <w:tr2bl w:val="nil"/>
            </w:tcBorders>
          </w:tcPr>
          <w:p>
            <w:pPr>
              <w:pStyle w:val="34"/>
            </w:pPr>
            <w:r>
              <w:t>X</w:t>
            </w:r>
          </w:p>
        </w:tc>
        <w:tc>
          <w:tcPr>
            <w:tcW w:w="351" w:type="pct"/>
            <w:tcBorders>
              <w:tl2br w:val="nil"/>
              <w:tr2bl w:val="nil"/>
            </w:tcBorders>
          </w:tcPr>
          <w:p>
            <w:pPr>
              <w:pStyle w:val="34"/>
            </w:pPr>
            <w:r>
              <w:t>Y</w:t>
            </w:r>
          </w:p>
        </w:tc>
        <w:tc>
          <w:tcPr>
            <w:tcW w:w="414" w:type="pct"/>
            <w:tcBorders>
              <w:tl2br w:val="nil"/>
              <w:tr2bl w:val="nil"/>
            </w:tcBorders>
          </w:tcPr>
          <w:p>
            <w:pPr>
              <w:pStyle w:val="34"/>
            </w:pPr>
            <w:r>
              <w:t>Z</w:t>
            </w:r>
          </w:p>
        </w:tc>
        <w:tc>
          <w:tcPr>
            <w:tcW w:w="263" w:type="pct"/>
            <w:vMerge w:val="continue"/>
            <w:tcBorders>
              <w:tl2br w:val="nil"/>
              <w:tr2bl w:val="nil"/>
            </w:tcBorders>
          </w:tcPr>
          <w:p>
            <w:pPr>
              <w:pStyle w:val="34"/>
            </w:pPr>
          </w:p>
        </w:tc>
        <w:tc>
          <w:tcPr>
            <w:tcW w:w="492" w:type="pct"/>
            <w:vMerge w:val="continue"/>
            <w:tcBorders>
              <w:tl2br w:val="nil"/>
              <w:tr2bl w:val="nil"/>
            </w:tcBorders>
          </w:tcPr>
          <w:p>
            <w:pPr>
              <w:pStyle w:val="34"/>
            </w:pPr>
          </w:p>
        </w:tc>
        <w:tc>
          <w:tcPr>
            <w:tcW w:w="256" w:type="pct"/>
            <w:vMerge w:val="continue"/>
            <w:tcBorders>
              <w:tl2br w:val="nil"/>
              <w:tr2bl w:val="nil"/>
            </w:tcBorders>
          </w:tcPr>
          <w:p>
            <w:pPr>
              <w:pStyle w:val="34"/>
            </w:pPr>
          </w:p>
        </w:tc>
        <w:tc>
          <w:tcPr>
            <w:tcW w:w="488" w:type="pct"/>
            <w:vMerge w:val="continue"/>
            <w:tcBorders>
              <w:tl2br w:val="nil"/>
              <w:tr2bl w:val="nil"/>
            </w:tcBorders>
          </w:tcPr>
          <w:p>
            <w:pPr>
              <w:pStyle w:val="34"/>
            </w:pPr>
          </w:p>
        </w:tc>
        <w:tc>
          <w:tcPr>
            <w:tcW w:w="488" w:type="pct"/>
            <w:tcBorders>
              <w:tl2br w:val="nil"/>
              <w:tr2bl w:val="nil"/>
            </w:tcBorders>
          </w:tcPr>
          <w:p>
            <w:pPr>
              <w:pStyle w:val="34"/>
            </w:pPr>
            <w:r>
              <w:t>声压级/dB(A)</w:t>
            </w:r>
          </w:p>
        </w:tc>
        <w:tc>
          <w:tcPr>
            <w:tcW w:w="256" w:type="pct"/>
            <w:tcBorders>
              <w:tl2br w:val="nil"/>
              <w:tr2bl w:val="nil"/>
            </w:tcBorders>
          </w:tcPr>
          <w:p>
            <w:pPr>
              <w:pStyle w:val="34"/>
            </w:pPr>
            <w: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tcBorders>
              <w:tl2br w:val="nil"/>
              <w:tr2bl w:val="nil"/>
            </w:tcBorders>
          </w:tcPr>
          <w:p>
            <w:pPr>
              <w:pStyle w:val="34"/>
            </w:pPr>
            <w:r>
              <w:t>1</w:t>
            </w:r>
          </w:p>
        </w:tc>
        <w:tc>
          <w:tcPr>
            <w:tcW w:w="256" w:type="pct"/>
            <w:vMerge w:val="restart"/>
            <w:tcBorders>
              <w:tl2br w:val="nil"/>
              <w:tr2bl w:val="nil"/>
            </w:tcBorders>
          </w:tcPr>
          <w:p>
            <w:pPr>
              <w:pStyle w:val="34"/>
            </w:pPr>
            <w:r>
              <w:rPr>
                <w:rFonts w:hint="eastAsia"/>
              </w:rPr>
              <w:t>粉碎</w:t>
            </w:r>
            <w:r>
              <w:t>造粒间</w:t>
            </w:r>
          </w:p>
        </w:tc>
        <w:tc>
          <w:tcPr>
            <w:tcW w:w="256" w:type="pct"/>
            <w:tcBorders>
              <w:tl2br w:val="nil"/>
              <w:tr2bl w:val="nil"/>
            </w:tcBorders>
          </w:tcPr>
          <w:p>
            <w:pPr>
              <w:pStyle w:val="34"/>
            </w:pPr>
            <w:r>
              <w:t>破碎机</w:t>
            </w:r>
          </w:p>
        </w:tc>
        <w:tc>
          <w:tcPr>
            <w:tcW w:w="488" w:type="pct"/>
            <w:tcBorders>
              <w:tl2br w:val="nil"/>
              <w:tr2bl w:val="nil"/>
            </w:tcBorders>
          </w:tcPr>
          <w:p>
            <w:pPr>
              <w:pStyle w:val="34"/>
            </w:pPr>
            <w:r>
              <w:t>75</w:t>
            </w:r>
          </w:p>
        </w:tc>
        <w:tc>
          <w:tcPr>
            <w:tcW w:w="383" w:type="pct"/>
            <w:vMerge w:val="restart"/>
            <w:tcBorders>
              <w:tl2br w:val="nil"/>
              <w:tr2bl w:val="nil"/>
            </w:tcBorders>
          </w:tcPr>
          <w:p>
            <w:pPr>
              <w:pStyle w:val="34"/>
            </w:pPr>
            <w:r>
              <w:t>基础减振、</w:t>
            </w:r>
            <w:r>
              <w:rPr>
                <w:rFonts w:hint="eastAsia"/>
              </w:rPr>
              <w:t>厂房隔声</w:t>
            </w:r>
          </w:p>
        </w:tc>
        <w:tc>
          <w:tcPr>
            <w:tcW w:w="351" w:type="pct"/>
            <w:tcBorders>
              <w:tl2br w:val="nil"/>
              <w:tr2bl w:val="nil"/>
            </w:tcBorders>
          </w:tcPr>
          <w:p>
            <w:pPr>
              <w:pStyle w:val="34"/>
            </w:pPr>
            <w:r>
              <w:t>-</w:t>
            </w:r>
            <w:r>
              <w:rPr>
                <w:rFonts w:hint="eastAsia"/>
              </w:rPr>
              <w:t>3</w:t>
            </w:r>
          </w:p>
        </w:tc>
        <w:tc>
          <w:tcPr>
            <w:tcW w:w="351" w:type="pct"/>
            <w:tcBorders>
              <w:tl2br w:val="nil"/>
              <w:tr2bl w:val="nil"/>
            </w:tcBorders>
          </w:tcPr>
          <w:p>
            <w:pPr>
              <w:pStyle w:val="34"/>
            </w:pPr>
            <w:r>
              <w:rPr>
                <w:rFonts w:hint="eastAsia"/>
                <w:lang w:val="zh-CN"/>
              </w:rPr>
              <w:t>-42</w:t>
            </w:r>
          </w:p>
        </w:tc>
        <w:tc>
          <w:tcPr>
            <w:tcW w:w="414" w:type="pct"/>
            <w:tcBorders>
              <w:tl2br w:val="nil"/>
              <w:tr2bl w:val="nil"/>
            </w:tcBorders>
          </w:tcPr>
          <w:p>
            <w:pPr>
              <w:pStyle w:val="34"/>
            </w:pPr>
            <w:r>
              <w:rPr>
                <w:lang w:val="zh-CN"/>
              </w:rPr>
              <w:t>6</w:t>
            </w:r>
            <w:r>
              <w:rPr>
                <w:rFonts w:hint="eastAsia"/>
                <w:lang w:val="zh-CN"/>
              </w:rPr>
              <w:t>43</w:t>
            </w:r>
          </w:p>
        </w:tc>
        <w:tc>
          <w:tcPr>
            <w:tcW w:w="263" w:type="pct"/>
            <w:tcBorders>
              <w:tl2br w:val="nil"/>
              <w:tr2bl w:val="nil"/>
            </w:tcBorders>
          </w:tcPr>
          <w:p>
            <w:pPr>
              <w:pStyle w:val="34"/>
            </w:pPr>
            <w:r>
              <w:t>1</w:t>
            </w:r>
          </w:p>
        </w:tc>
        <w:tc>
          <w:tcPr>
            <w:tcW w:w="492" w:type="pct"/>
            <w:tcBorders>
              <w:tl2br w:val="nil"/>
              <w:tr2bl w:val="nil"/>
            </w:tcBorders>
          </w:tcPr>
          <w:p>
            <w:pPr>
              <w:pStyle w:val="34"/>
            </w:pPr>
            <w:r>
              <w:t>71</w:t>
            </w:r>
          </w:p>
        </w:tc>
        <w:tc>
          <w:tcPr>
            <w:tcW w:w="256" w:type="pct"/>
            <w:tcBorders>
              <w:tl2br w:val="nil"/>
              <w:tr2bl w:val="nil"/>
            </w:tcBorders>
          </w:tcPr>
          <w:p>
            <w:pPr>
              <w:pStyle w:val="34"/>
            </w:pPr>
            <w:r>
              <w:t>昼间</w:t>
            </w:r>
          </w:p>
        </w:tc>
        <w:tc>
          <w:tcPr>
            <w:tcW w:w="488" w:type="pct"/>
            <w:tcBorders>
              <w:tl2br w:val="nil"/>
              <w:tr2bl w:val="nil"/>
            </w:tcBorders>
          </w:tcPr>
          <w:p>
            <w:pPr>
              <w:pStyle w:val="34"/>
            </w:pPr>
            <w:r>
              <w:t>20</w:t>
            </w:r>
          </w:p>
        </w:tc>
        <w:tc>
          <w:tcPr>
            <w:tcW w:w="488" w:type="pct"/>
            <w:tcBorders>
              <w:tl2br w:val="nil"/>
              <w:tr2bl w:val="nil"/>
            </w:tcBorders>
          </w:tcPr>
          <w:p>
            <w:pPr>
              <w:pStyle w:val="34"/>
            </w:pPr>
            <w:r>
              <w:rPr>
                <w:rFonts w:hint="eastAsia"/>
              </w:rPr>
              <w:t>51</w:t>
            </w:r>
          </w:p>
        </w:tc>
        <w:tc>
          <w:tcPr>
            <w:tcW w:w="256" w:type="pct"/>
            <w:tcBorders>
              <w:tl2br w:val="nil"/>
              <w:tr2bl w:val="nil"/>
            </w:tcBorders>
          </w:tcPr>
          <w:p>
            <w:pPr>
              <w:pStyle w:val="34"/>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tcBorders>
              <w:tl2br w:val="nil"/>
              <w:tr2bl w:val="nil"/>
            </w:tcBorders>
          </w:tcPr>
          <w:p>
            <w:pPr>
              <w:pStyle w:val="34"/>
            </w:pPr>
            <w:r>
              <w:t>2</w:t>
            </w:r>
          </w:p>
        </w:tc>
        <w:tc>
          <w:tcPr>
            <w:tcW w:w="256" w:type="pct"/>
            <w:vMerge w:val="continue"/>
            <w:tcBorders>
              <w:tl2br w:val="nil"/>
              <w:tr2bl w:val="nil"/>
            </w:tcBorders>
          </w:tcPr>
          <w:p>
            <w:pPr>
              <w:pStyle w:val="34"/>
            </w:pPr>
          </w:p>
        </w:tc>
        <w:tc>
          <w:tcPr>
            <w:tcW w:w="256" w:type="pct"/>
            <w:tcBorders>
              <w:tl2br w:val="nil"/>
              <w:tr2bl w:val="nil"/>
            </w:tcBorders>
          </w:tcPr>
          <w:p>
            <w:pPr>
              <w:pStyle w:val="34"/>
            </w:pPr>
            <w:r>
              <w:t>洗料机</w:t>
            </w:r>
          </w:p>
        </w:tc>
        <w:tc>
          <w:tcPr>
            <w:tcW w:w="488" w:type="pct"/>
            <w:tcBorders>
              <w:tl2br w:val="nil"/>
              <w:tr2bl w:val="nil"/>
            </w:tcBorders>
          </w:tcPr>
          <w:p>
            <w:pPr>
              <w:pStyle w:val="34"/>
            </w:pPr>
            <w:r>
              <w:t>65</w:t>
            </w:r>
          </w:p>
        </w:tc>
        <w:tc>
          <w:tcPr>
            <w:tcW w:w="383" w:type="pct"/>
            <w:vMerge w:val="continue"/>
            <w:tcBorders>
              <w:tl2br w:val="nil"/>
              <w:tr2bl w:val="nil"/>
            </w:tcBorders>
          </w:tcPr>
          <w:p>
            <w:pPr>
              <w:pStyle w:val="34"/>
            </w:pPr>
          </w:p>
        </w:tc>
        <w:tc>
          <w:tcPr>
            <w:tcW w:w="351" w:type="pct"/>
            <w:tcBorders>
              <w:tl2br w:val="nil"/>
              <w:tr2bl w:val="nil"/>
            </w:tcBorders>
          </w:tcPr>
          <w:p>
            <w:pPr>
              <w:pStyle w:val="34"/>
            </w:pPr>
            <w:r>
              <w:t>-</w:t>
            </w:r>
            <w:r>
              <w:rPr>
                <w:rFonts w:hint="eastAsia"/>
              </w:rPr>
              <w:t>3</w:t>
            </w:r>
          </w:p>
        </w:tc>
        <w:tc>
          <w:tcPr>
            <w:tcW w:w="351" w:type="pct"/>
            <w:tcBorders>
              <w:tl2br w:val="nil"/>
              <w:tr2bl w:val="nil"/>
            </w:tcBorders>
          </w:tcPr>
          <w:p>
            <w:pPr>
              <w:pStyle w:val="34"/>
            </w:pPr>
            <w:r>
              <w:rPr>
                <w:rFonts w:hint="eastAsia"/>
                <w:lang w:val="zh-CN"/>
              </w:rPr>
              <w:t>-42</w:t>
            </w:r>
          </w:p>
        </w:tc>
        <w:tc>
          <w:tcPr>
            <w:tcW w:w="414" w:type="pct"/>
            <w:tcBorders>
              <w:tl2br w:val="nil"/>
              <w:tr2bl w:val="nil"/>
            </w:tcBorders>
          </w:tcPr>
          <w:p>
            <w:pPr>
              <w:pStyle w:val="34"/>
            </w:pPr>
            <w:r>
              <w:rPr>
                <w:lang w:val="zh-CN"/>
              </w:rPr>
              <w:t>6</w:t>
            </w:r>
            <w:r>
              <w:rPr>
                <w:rFonts w:hint="eastAsia"/>
                <w:lang w:val="zh-CN"/>
              </w:rPr>
              <w:t>43</w:t>
            </w:r>
          </w:p>
        </w:tc>
        <w:tc>
          <w:tcPr>
            <w:tcW w:w="263" w:type="pct"/>
            <w:tcBorders>
              <w:tl2br w:val="nil"/>
              <w:tr2bl w:val="nil"/>
            </w:tcBorders>
          </w:tcPr>
          <w:p>
            <w:pPr>
              <w:pStyle w:val="34"/>
            </w:pPr>
            <w:r>
              <w:t>1</w:t>
            </w:r>
          </w:p>
        </w:tc>
        <w:tc>
          <w:tcPr>
            <w:tcW w:w="492" w:type="pct"/>
            <w:tcBorders>
              <w:tl2br w:val="nil"/>
              <w:tr2bl w:val="nil"/>
            </w:tcBorders>
          </w:tcPr>
          <w:p>
            <w:pPr>
              <w:pStyle w:val="34"/>
            </w:pPr>
            <w:r>
              <w:t>61</w:t>
            </w:r>
          </w:p>
        </w:tc>
        <w:tc>
          <w:tcPr>
            <w:tcW w:w="256" w:type="pct"/>
            <w:tcBorders>
              <w:tl2br w:val="nil"/>
              <w:tr2bl w:val="nil"/>
            </w:tcBorders>
          </w:tcPr>
          <w:p>
            <w:pPr>
              <w:pStyle w:val="34"/>
            </w:pPr>
            <w:r>
              <w:t>昼夜</w:t>
            </w:r>
          </w:p>
        </w:tc>
        <w:tc>
          <w:tcPr>
            <w:tcW w:w="488" w:type="pct"/>
            <w:tcBorders>
              <w:tl2br w:val="nil"/>
              <w:tr2bl w:val="nil"/>
            </w:tcBorders>
          </w:tcPr>
          <w:p>
            <w:pPr>
              <w:pStyle w:val="34"/>
            </w:pPr>
            <w:r>
              <w:t>20</w:t>
            </w:r>
          </w:p>
        </w:tc>
        <w:tc>
          <w:tcPr>
            <w:tcW w:w="488" w:type="pct"/>
            <w:tcBorders>
              <w:tl2br w:val="nil"/>
              <w:tr2bl w:val="nil"/>
            </w:tcBorders>
          </w:tcPr>
          <w:p>
            <w:pPr>
              <w:pStyle w:val="34"/>
            </w:pPr>
            <w:r>
              <w:rPr>
                <w:rFonts w:hint="eastAsia"/>
              </w:rPr>
              <w:t>41</w:t>
            </w:r>
          </w:p>
        </w:tc>
        <w:tc>
          <w:tcPr>
            <w:tcW w:w="256" w:type="pct"/>
            <w:tcBorders>
              <w:tl2br w:val="nil"/>
              <w:tr2bl w:val="nil"/>
            </w:tcBorders>
          </w:tcPr>
          <w:p>
            <w:pPr>
              <w:pStyle w:val="34"/>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tcBorders>
              <w:tl2br w:val="nil"/>
              <w:tr2bl w:val="nil"/>
            </w:tcBorders>
          </w:tcPr>
          <w:p>
            <w:pPr>
              <w:pStyle w:val="34"/>
            </w:pPr>
            <w:r>
              <w:t>3</w:t>
            </w:r>
          </w:p>
        </w:tc>
        <w:tc>
          <w:tcPr>
            <w:tcW w:w="256" w:type="pct"/>
            <w:vMerge w:val="continue"/>
            <w:tcBorders>
              <w:tl2br w:val="nil"/>
              <w:tr2bl w:val="nil"/>
            </w:tcBorders>
          </w:tcPr>
          <w:p>
            <w:pPr>
              <w:pStyle w:val="34"/>
            </w:pPr>
          </w:p>
        </w:tc>
        <w:tc>
          <w:tcPr>
            <w:tcW w:w="256" w:type="pct"/>
            <w:tcBorders>
              <w:tl2br w:val="nil"/>
              <w:tr2bl w:val="nil"/>
            </w:tcBorders>
          </w:tcPr>
          <w:p>
            <w:pPr>
              <w:pStyle w:val="34"/>
            </w:pPr>
            <w:r>
              <w:t>提料机</w:t>
            </w:r>
          </w:p>
        </w:tc>
        <w:tc>
          <w:tcPr>
            <w:tcW w:w="488" w:type="pct"/>
            <w:tcBorders>
              <w:tl2br w:val="nil"/>
              <w:tr2bl w:val="nil"/>
            </w:tcBorders>
          </w:tcPr>
          <w:p>
            <w:pPr>
              <w:pStyle w:val="34"/>
            </w:pPr>
            <w:r>
              <w:t>70</w:t>
            </w:r>
          </w:p>
        </w:tc>
        <w:tc>
          <w:tcPr>
            <w:tcW w:w="383" w:type="pct"/>
            <w:vMerge w:val="continue"/>
            <w:tcBorders>
              <w:tl2br w:val="nil"/>
              <w:tr2bl w:val="nil"/>
            </w:tcBorders>
          </w:tcPr>
          <w:p>
            <w:pPr>
              <w:pStyle w:val="34"/>
            </w:pPr>
          </w:p>
        </w:tc>
        <w:tc>
          <w:tcPr>
            <w:tcW w:w="351" w:type="pct"/>
            <w:tcBorders>
              <w:tl2br w:val="nil"/>
              <w:tr2bl w:val="nil"/>
            </w:tcBorders>
          </w:tcPr>
          <w:p>
            <w:pPr>
              <w:pStyle w:val="34"/>
            </w:pPr>
            <w:r>
              <w:t>-</w:t>
            </w:r>
            <w:r>
              <w:rPr>
                <w:rFonts w:hint="eastAsia"/>
              </w:rPr>
              <w:t>3</w:t>
            </w:r>
          </w:p>
        </w:tc>
        <w:tc>
          <w:tcPr>
            <w:tcW w:w="351" w:type="pct"/>
            <w:tcBorders>
              <w:tl2br w:val="nil"/>
              <w:tr2bl w:val="nil"/>
            </w:tcBorders>
          </w:tcPr>
          <w:p>
            <w:pPr>
              <w:pStyle w:val="34"/>
            </w:pPr>
            <w:r>
              <w:rPr>
                <w:rFonts w:hint="eastAsia"/>
                <w:lang w:val="zh-CN"/>
              </w:rPr>
              <w:t>-42</w:t>
            </w:r>
          </w:p>
        </w:tc>
        <w:tc>
          <w:tcPr>
            <w:tcW w:w="414" w:type="pct"/>
            <w:tcBorders>
              <w:tl2br w:val="nil"/>
              <w:tr2bl w:val="nil"/>
            </w:tcBorders>
          </w:tcPr>
          <w:p>
            <w:pPr>
              <w:pStyle w:val="34"/>
            </w:pPr>
            <w:r>
              <w:rPr>
                <w:lang w:val="zh-CN"/>
              </w:rPr>
              <w:t>6</w:t>
            </w:r>
            <w:r>
              <w:rPr>
                <w:rFonts w:hint="eastAsia"/>
                <w:lang w:val="zh-CN"/>
              </w:rPr>
              <w:t>43</w:t>
            </w:r>
          </w:p>
        </w:tc>
        <w:tc>
          <w:tcPr>
            <w:tcW w:w="263" w:type="pct"/>
            <w:tcBorders>
              <w:tl2br w:val="nil"/>
              <w:tr2bl w:val="nil"/>
            </w:tcBorders>
          </w:tcPr>
          <w:p>
            <w:pPr>
              <w:pStyle w:val="34"/>
            </w:pPr>
            <w:r>
              <w:t>1</w:t>
            </w:r>
          </w:p>
        </w:tc>
        <w:tc>
          <w:tcPr>
            <w:tcW w:w="492" w:type="pct"/>
            <w:tcBorders>
              <w:tl2br w:val="nil"/>
              <w:tr2bl w:val="nil"/>
            </w:tcBorders>
          </w:tcPr>
          <w:p>
            <w:pPr>
              <w:pStyle w:val="34"/>
            </w:pPr>
            <w:r>
              <w:t>66</w:t>
            </w:r>
          </w:p>
        </w:tc>
        <w:tc>
          <w:tcPr>
            <w:tcW w:w="256" w:type="pct"/>
            <w:tcBorders>
              <w:tl2br w:val="nil"/>
              <w:tr2bl w:val="nil"/>
            </w:tcBorders>
          </w:tcPr>
          <w:p>
            <w:pPr>
              <w:pStyle w:val="34"/>
            </w:pPr>
            <w:r>
              <w:t>昼夜</w:t>
            </w:r>
          </w:p>
        </w:tc>
        <w:tc>
          <w:tcPr>
            <w:tcW w:w="488" w:type="pct"/>
            <w:tcBorders>
              <w:tl2br w:val="nil"/>
              <w:tr2bl w:val="nil"/>
            </w:tcBorders>
          </w:tcPr>
          <w:p>
            <w:pPr>
              <w:pStyle w:val="34"/>
            </w:pPr>
            <w:r>
              <w:t>20</w:t>
            </w:r>
          </w:p>
        </w:tc>
        <w:tc>
          <w:tcPr>
            <w:tcW w:w="488" w:type="pct"/>
            <w:tcBorders>
              <w:tl2br w:val="nil"/>
              <w:tr2bl w:val="nil"/>
            </w:tcBorders>
          </w:tcPr>
          <w:p>
            <w:pPr>
              <w:pStyle w:val="34"/>
            </w:pPr>
            <w:r>
              <w:rPr>
                <w:rFonts w:hint="eastAsia"/>
              </w:rPr>
              <w:t>46</w:t>
            </w:r>
          </w:p>
        </w:tc>
        <w:tc>
          <w:tcPr>
            <w:tcW w:w="256" w:type="pct"/>
            <w:tcBorders>
              <w:tl2br w:val="nil"/>
              <w:tr2bl w:val="nil"/>
            </w:tcBorders>
          </w:tcPr>
          <w:p>
            <w:pPr>
              <w:pStyle w:val="34"/>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56" w:type="pct"/>
            <w:tcBorders>
              <w:tl2br w:val="nil"/>
              <w:tr2bl w:val="nil"/>
            </w:tcBorders>
          </w:tcPr>
          <w:p>
            <w:pPr>
              <w:pStyle w:val="34"/>
            </w:pPr>
            <w:r>
              <w:t>4</w:t>
            </w:r>
          </w:p>
        </w:tc>
        <w:tc>
          <w:tcPr>
            <w:tcW w:w="256" w:type="pct"/>
            <w:vMerge w:val="continue"/>
            <w:tcBorders>
              <w:tl2br w:val="nil"/>
              <w:tr2bl w:val="nil"/>
            </w:tcBorders>
          </w:tcPr>
          <w:p>
            <w:pPr>
              <w:pStyle w:val="34"/>
            </w:pPr>
          </w:p>
        </w:tc>
        <w:tc>
          <w:tcPr>
            <w:tcW w:w="256" w:type="pct"/>
            <w:tcBorders>
              <w:tl2br w:val="nil"/>
              <w:tr2bl w:val="nil"/>
            </w:tcBorders>
          </w:tcPr>
          <w:p>
            <w:pPr>
              <w:pStyle w:val="34"/>
            </w:pPr>
            <w:r>
              <w:t>造粒机</w:t>
            </w:r>
          </w:p>
        </w:tc>
        <w:tc>
          <w:tcPr>
            <w:tcW w:w="488" w:type="pct"/>
            <w:tcBorders>
              <w:tl2br w:val="nil"/>
              <w:tr2bl w:val="nil"/>
            </w:tcBorders>
          </w:tcPr>
          <w:p>
            <w:pPr>
              <w:pStyle w:val="34"/>
            </w:pPr>
            <w:r>
              <w:t>80</w:t>
            </w:r>
          </w:p>
        </w:tc>
        <w:tc>
          <w:tcPr>
            <w:tcW w:w="383" w:type="pct"/>
            <w:vMerge w:val="continue"/>
            <w:tcBorders>
              <w:tl2br w:val="nil"/>
              <w:tr2bl w:val="nil"/>
            </w:tcBorders>
          </w:tcPr>
          <w:p>
            <w:pPr>
              <w:pStyle w:val="34"/>
            </w:pPr>
          </w:p>
        </w:tc>
        <w:tc>
          <w:tcPr>
            <w:tcW w:w="351" w:type="pct"/>
            <w:tcBorders>
              <w:tl2br w:val="nil"/>
              <w:tr2bl w:val="nil"/>
            </w:tcBorders>
          </w:tcPr>
          <w:p>
            <w:pPr>
              <w:pStyle w:val="34"/>
            </w:pPr>
            <w:r>
              <w:t>-</w:t>
            </w:r>
            <w:r>
              <w:rPr>
                <w:rFonts w:hint="eastAsia"/>
              </w:rPr>
              <w:t>3</w:t>
            </w:r>
          </w:p>
        </w:tc>
        <w:tc>
          <w:tcPr>
            <w:tcW w:w="351" w:type="pct"/>
            <w:tcBorders>
              <w:tl2br w:val="nil"/>
              <w:tr2bl w:val="nil"/>
            </w:tcBorders>
          </w:tcPr>
          <w:p>
            <w:pPr>
              <w:pStyle w:val="34"/>
            </w:pPr>
            <w:r>
              <w:rPr>
                <w:rFonts w:hint="eastAsia"/>
                <w:lang w:val="zh-CN"/>
              </w:rPr>
              <w:t>-42</w:t>
            </w:r>
          </w:p>
        </w:tc>
        <w:tc>
          <w:tcPr>
            <w:tcW w:w="414" w:type="pct"/>
            <w:tcBorders>
              <w:tl2br w:val="nil"/>
              <w:tr2bl w:val="nil"/>
            </w:tcBorders>
          </w:tcPr>
          <w:p>
            <w:pPr>
              <w:pStyle w:val="34"/>
            </w:pPr>
            <w:r>
              <w:rPr>
                <w:lang w:val="zh-CN"/>
              </w:rPr>
              <w:t>6</w:t>
            </w:r>
            <w:r>
              <w:rPr>
                <w:rFonts w:hint="eastAsia"/>
                <w:lang w:val="zh-CN"/>
              </w:rPr>
              <w:t>43</w:t>
            </w:r>
          </w:p>
        </w:tc>
        <w:tc>
          <w:tcPr>
            <w:tcW w:w="263" w:type="pct"/>
            <w:tcBorders>
              <w:tl2br w:val="nil"/>
              <w:tr2bl w:val="nil"/>
            </w:tcBorders>
          </w:tcPr>
          <w:p>
            <w:pPr>
              <w:pStyle w:val="34"/>
            </w:pPr>
            <w:r>
              <w:t>1</w:t>
            </w:r>
          </w:p>
        </w:tc>
        <w:tc>
          <w:tcPr>
            <w:tcW w:w="492" w:type="pct"/>
            <w:tcBorders>
              <w:tl2br w:val="nil"/>
              <w:tr2bl w:val="nil"/>
            </w:tcBorders>
          </w:tcPr>
          <w:p>
            <w:pPr>
              <w:pStyle w:val="34"/>
            </w:pPr>
            <w:r>
              <w:t>76</w:t>
            </w:r>
          </w:p>
        </w:tc>
        <w:tc>
          <w:tcPr>
            <w:tcW w:w="256" w:type="pct"/>
            <w:tcBorders>
              <w:tl2br w:val="nil"/>
              <w:tr2bl w:val="nil"/>
            </w:tcBorders>
          </w:tcPr>
          <w:p>
            <w:pPr>
              <w:pStyle w:val="34"/>
            </w:pPr>
            <w:r>
              <w:t>昼夜</w:t>
            </w:r>
          </w:p>
        </w:tc>
        <w:tc>
          <w:tcPr>
            <w:tcW w:w="488" w:type="pct"/>
            <w:tcBorders>
              <w:tl2br w:val="nil"/>
              <w:tr2bl w:val="nil"/>
            </w:tcBorders>
          </w:tcPr>
          <w:p>
            <w:pPr>
              <w:pStyle w:val="34"/>
            </w:pPr>
            <w:r>
              <w:t>20</w:t>
            </w:r>
          </w:p>
        </w:tc>
        <w:tc>
          <w:tcPr>
            <w:tcW w:w="488" w:type="pct"/>
            <w:tcBorders>
              <w:tl2br w:val="nil"/>
              <w:tr2bl w:val="nil"/>
            </w:tcBorders>
          </w:tcPr>
          <w:p>
            <w:pPr>
              <w:pStyle w:val="34"/>
            </w:pPr>
            <w:r>
              <w:rPr>
                <w:rFonts w:hint="eastAsia"/>
              </w:rPr>
              <w:t>56</w:t>
            </w:r>
          </w:p>
        </w:tc>
        <w:tc>
          <w:tcPr>
            <w:tcW w:w="256" w:type="pct"/>
            <w:tcBorders>
              <w:tl2br w:val="nil"/>
              <w:tr2bl w:val="nil"/>
            </w:tcBorders>
          </w:tcPr>
          <w:p>
            <w:pPr>
              <w:pStyle w:val="34"/>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tcBorders>
              <w:tl2br w:val="nil"/>
              <w:tr2bl w:val="nil"/>
            </w:tcBorders>
          </w:tcPr>
          <w:p>
            <w:pPr>
              <w:pStyle w:val="34"/>
            </w:pPr>
            <w:r>
              <w:t>5</w:t>
            </w:r>
          </w:p>
        </w:tc>
        <w:tc>
          <w:tcPr>
            <w:tcW w:w="256" w:type="pct"/>
            <w:vMerge w:val="restart"/>
            <w:tcBorders>
              <w:tl2br w:val="nil"/>
              <w:tr2bl w:val="nil"/>
            </w:tcBorders>
          </w:tcPr>
          <w:p>
            <w:pPr>
              <w:pStyle w:val="34"/>
            </w:pPr>
            <w:r>
              <w:t>成品生产车间</w:t>
            </w:r>
          </w:p>
        </w:tc>
        <w:tc>
          <w:tcPr>
            <w:tcW w:w="256" w:type="pct"/>
            <w:tcBorders>
              <w:tl2br w:val="nil"/>
              <w:tr2bl w:val="nil"/>
            </w:tcBorders>
          </w:tcPr>
          <w:p>
            <w:pPr>
              <w:pStyle w:val="34"/>
            </w:pPr>
            <w:r>
              <w:rPr>
                <w:rFonts w:hint="eastAsia"/>
              </w:rPr>
              <w:t>双螺杆挤出机</w:t>
            </w:r>
          </w:p>
        </w:tc>
        <w:tc>
          <w:tcPr>
            <w:tcW w:w="488" w:type="pct"/>
            <w:tcBorders>
              <w:tl2br w:val="nil"/>
              <w:tr2bl w:val="nil"/>
            </w:tcBorders>
          </w:tcPr>
          <w:p>
            <w:pPr>
              <w:pStyle w:val="34"/>
            </w:pPr>
            <w:r>
              <w:t>70</w:t>
            </w:r>
          </w:p>
        </w:tc>
        <w:tc>
          <w:tcPr>
            <w:tcW w:w="383" w:type="pct"/>
            <w:vMerge w:val="continue"/>
            <w:tcBorders>
              <w:tl2br w:val="nil"/>
              <w:tr2bl w:val="nil"/>
            </w:tcBorders>
          </w:tcPr>
          <w:p>
            <w:pPr>
              <w:pStyle w:val="34"/>
            </w:pPr>
          </w:p>
        </w:tc>
        <w:tc>
          <w:tcPr>
            <w:tcW w:w="351" w:type="pct"/>
            <w:tcBorders>
              <w:tl2br w:val="nil"/>
              <w:tr2bl w:val="nil"/>
            </w:tcBorders>
          </w:tcPr>
          <w:p>
            <w:pPr>
              <w:pStyle w:val="34"/>
            </w:pPr>
            <w:r>
              <w:rPr>
                <w:rFonts w:hint="eastAsia"/>
              </w:rPr>
              <w:t>21</w:t>
            </w:r>
          </w:p>
        </w:tc>
        <w:tc>
          <w:tcPr>
            <w:tcW w:w="351" w:type="pct"/>
            <w:tcBorders>
              <w:tl2br w:val="nil"/>
              <w:tr2bl w:val="nil"/>
            </w:tcBorders>
          </w:tcPr>
          <w:p>
            <w:pPr>
              <w:pStyle w:val="34"/>
            </w:pPr>
            <w:r>
              <w:rPr>
                <w:rFonts w:hint="eastAsia"/>
              </w:rPr>
              <w:t>-31</w:t>
            </w:r>
          </w:p>
        </w:tc>
        <w:tc>
          <w:tcPr>
            <w:tcW w:w="414" w:type="pct"/>
            <w:tcBorders>
              <w:tl2br w:val="nil"/>
              <w:tr2bl w:val="nil"/>
            </w:tcBorders>
          </w:tcPr>
          <w:p>
            <w:pPr>
              <w:pStyle w:val="34"/>
            </w:pPr>
            <w:r>
              <w:rPr>
                <w:lang w:val="zh-CN"/>
              </w:rPr>
              <w:t>6</w:t>
            </w:r>
            <w:r>
              <w:rPr>
                <w:rFonts w:hint="eastAsia"/>
                <w:lang w:val="zh-CN"/>
              </w:rPr>
              <w:t>43</w:t>
            </w:r>
          </w:p>
        </w:tc>
        <w:tc>
          <w:tcPr>
            <w:tcW w:w="263" w:type="pct"/>
            <w:tcBorders>
              <w:tl2br w:val="nil"/>
              <w:tr2bl w:val="nil"/>
            </w:tcBorders>
          </w:tcPr>
          <w:p>
            <w:pPr>
              <w:pStyle w:val="34"/>
            </w:pPr>
            <w:r>
              <w:t>1</w:t>
            </w:r>
          </w:p>
        </w:tc>
        <w:tc>
          <w:tcPr>
            <w:tcW w:w="492" w:type="pct"/>
            <w:tcBorders>
              <w:tl2br w:val="nil"/>
              <w:tr2bl w:val="nil"/>
            </w:tcBorders>
          </w:tcPr>
          <w:p>
            <w:pPr>
              <w:pStyle w:val="34"/>
            </w:pPr>
            <w:r>
              <w:t>66</w:t>
            </w:r>
          </w:p>
        </w:tc>
        <w:tc>
          <w:tcPr>
            <w:tcW w:w="256" w:type="pct"/>
            <w:tcBorders>
              <w:tl2br w:val="nil"/>
              <w:tr2bl w:val="nil"/>
            </w:tcBorders>
          </w:tcPr>
          <w:p>
            <w:pPr>
              <w:pStyle w:val="34"/>
            </w:pPr>
            <w:r>
              <w:t>昼夜</w:t>
            </w:r>
          </w:p>
        </w:tc>
        <w:tc>
          <w:tcPr>
            <w:tcW w:w="488" w:type="pct"/>
            <w:tcBorders>
              <w:tl2br w:val="nil"/>
              <w:tr2bl w:val="nil"/>
            </w:tcBorders>
          </w:tcPr>
          <w:p>
            <w:pPr>
              <w:pStyle w:val="34"/>
            </w:pPr>
            <w:r>
              <w:t>20</w:t>
            </w:r>
          </w:p>
        </w:tc>
        <w:tc>
          <w:tcPr>
            <w:tcW w:w="488" w:type="pct"/>
            <w:tcBorders>
              <w:tl2br w:val="nil"/>
              <w:tr2bl w:val="nil"/>
            </w:tcBorders>
          </w:tcPr>
          <w:p>
            <w:pPr>
              <w:pStyle w:val="34"/>
            </w:pPr>
            <w:r>
              <w:rPr>
                <w:rFonts w:hint="eastAsia"/>
              </w:rPr>
              <w:t>46</w:t>
            </w:r>
          </w:p>
        </w:tc>
        <w:tc>
          <w:tcPr>
            <w:tcW w:w="256" w:type="pct"/>
            <w:tcBorders>
              <w:tl2br w:val="nil"/>
              <w:tr2bl w:val="nil"/>
            </w:tcBorders>
          </w:tcPr>
          <w:p>
            <w:pPr>
              <w:pStyle w:val="34"/>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tcBorders>
              <w:tl2br w:val="nil"/>
              <w:tr2bl w:val="nil"/>
            </w:tcBorders>
          </w:tcPr>
          <w:p>
            <w:pPr>
              <w:pStyle w:val="34"/>
            </w:pPr>
            <w:r>
              <w:t>7</w:t>
            </w:r>
          </w:p>
        </w:tc>
        <w:tc>
          <w:tcPr>
            <w:tcW w:w="256" w:type="pct"/>
            <w:vMerge w:val="continue"/>
            <w:tcBorders>
              <w:tl2br w:val="nil"/>
              <w:tr2bl w:val="nil"/>
            </w:tcBorders>
          </w:tcPr>
          <w:p>
            <w:pPr>
              <w:pStyle w:val="34"/>
            </w:pPr>
          </w:p>
        </w:tc>
        <w:tc>
          <w:tcPr>
            <w:tcW w:w="256" w:type="pct"/>
            <w:tcBorders>
              <w:tl2br w:val="nil"/>
              <w:tr2bl w:val="nil"/>
            </w:tcBorders>
          </w:tcPr>
          <w:p>
            <w:pPr>
              <w:pStyle w:val="34"/>
            </w:pPr>
            <w:r>
              <w:rPr>
                <w:rFonts w:hint="eastAsia"/>
              </w:rPr>
              <w:t>水带生产线成套设备</w:t>
            </w:r>
          </w:p>
        </w:tc>
        <w:tc>
          <w:tcPr>
            <w:tcW w:w="488" w:type="pct"/>
            <w:tcBorders>
              <w:tl2br w:val="nil"/>
              <w:tr2bl w:val="nil"/>
            </w:tcBorders>
          </w:tcPr>
          <w:p>
            <w:pPr>
              <w:pStyle w:val="34"/>
            </w:pPr>
            <w:r>
              <w:t>75</w:t>
            </w:r>
          </w:p>
        </w:tc>
        <w:tc>
          <w:tcPr>
            <w:tcW w:w="383" w:type="pct"/>
            <w:vMerge w:val="continue"/>
            <w:tcBorders>
              <w:tl2br w:val="nil"/>
              <w:tr2bl w:val="nil"/>
            </w:tcBorders>
          </w:tcPr>
          <w:p>
            <w:pPr>
              <w:pStyle w:val="34"/>
            </w:pPr>
          </w:p>
        </w:tc>
        <w:tc>
          <w:tcPr>
            <w:tcW w:w="351" w:type="pct"/>
            <w:tcBorders>
              <w:tl2br w:val="nil"/>
              <w:tr2bl w:val="nil"/>
            </w:tcBorders>
          </w:tcPr>
          <w:p>
            <w:pPr>
              <w:pStyle w:val="34"/>
            </w:pPr>
            <w:r>
              <w:rPr>
                <w:rFonts w:hint="eastAsia"/>
              </w:rPr>
              <w:t>21</w:t>
            </w:r>
          </w:p>
        </w:tc>
        <w:tc>
          <w:tcPr>
            <w:tcW w:w="351" w:type="pct"/>
            <w:tcBorders>
              <w:tl2br w:val="nil"/>
              <w:tr2bl w:val="nil"/>
            </w:tcBorders>
          </w:tcPr>
          <w:p>
            <w:pPr>
              <w:pStyle w:val="34"/>
            </w:pPr>
            <w:r>
              <w:rPr>
                <w:rFonts w:hint="eastAsia"/>
              </w:rPr>
              <w:t>-31</w:t>
            </w:r>
          </w:p>
        </w:tc>
        <w:tc>
          <w:tcPr>
            <w:tcW w:w="414" w:type="pct"/>
            <w:tcBorders>
              <w:tl2br w:val="nil"/>
              <w:tr2bl w:val="nil"/>
            </w:tcBorders>
          </w:tcPr>
          <w:p>
            <w:pPr>
              <w:pStyle w:val="34"/>
            </w:pPr>
            <w:r>
              <w:rPr>
                <w:lang w:val="zh-CN"/>
              </w:rPr>
              <w:t>6</w:t>
            </w:r>
            <w:r>
              <w:rPr>
                <w:rFonts w:hint="eastAsia"/>
                <w:lang w:val="zh-CN"/>
              </w:rPr>
              <w:t>43</w:t>
            </w:r>
          </w:p>
        </w:tc>
        <w:tc>
          <w:tcPr>
            <w:tcW w:w="263" w:type="pct"/>
            <w:tcBorders>
              <w:tl2br w:val="nil"/>
              <w:tr2bl w:val="nil"/>
            </w:tcBorders>
          </w:tcPr>
          <w:p>
            <w:pPr>
              <w:pStyle w:val="34"/>
            </w:pPr>
            <w:r>
              <w:t>1</w:t>
            </w:r>
          </w:p>
        </w:tc>
        <w:tc>
          <w:tcPr>
            <w:tcW w:w="492" w:type="pct"/>
            <w:tcBorders>
              <w:tl2br w:val="nil"/>
              <w:tr2bl w:val="nil"/>
            </w:tcBorders>
          </w:tcPr>
          <w:p>
            <w:pPr>
              <w:pStyle w:val="34"/>
            </w:pPr>
            <w:r>
              <w:t>71</w:t>
            </w:r>
          </w:p>
        </w:tc>
        <w:tc>
          <w:tcPr>
            <w:tcW w:w="256" w:type="pct"/>
            <w:tcBorders>
              <w:tl2br w:val="nil"/>
              <w:tr2bl w:val="nil"/>
            </w:tcBorders>
          </w:tcPr>
          <w:p>
            <w:pPr>
              <w:pStyle w:val="34"/>
            </w:pPr>
            <w:r>
              <w:t>昼夜</w:t>
            </w:r>
          </w:p>
        </w:tc>
        <w:tc>
          <w:tcPr>
            <w:tcW w:w="488" w:type="pct"/>
            <w:tcBorders>
              <w:tl2br w:val="nil"/>
              <w:tr2bl w:val="nil"/>
            </w:tcBorders>
          </w:tcPr>
          <w:p>
            <w:pPr>
              <w:pStyle w:val="34"/>
            </w:pPr>
            <w:r>
              <w:t>20</w:t>
            </w:r>
          </w:p>
        </w:tc>
        <w:tc>
          <w:tcPr>
            <w:tcW w:w="488" w:type="pct"/>
            <w:tcBorders>
              <w:tl2br w:val="nil"/>
              <w:tr2bl w:val="nil"/>
            </w:tcBorders>
          </w:tcPr>
          <w:p>
            <w:pPr>
              <w:pStyle w:val="34"/>
            </w:pPr>
            <w:r>
              <w:rPr>
                <w:rFonts w:hint="eastAsia"/>
              </w:rPr>
              <w:t>51</w:t>
            </w:r>
          </w:p>
        </w:tc>
        <w:tc>
          <w:tcPr>
            <w:tcW w:w="256" w:type="pct"/>
            <w:tcBorders>
              <w:tl2br w:val="nil"/>
              <w:tr2bl w:val="nil"/>
            </w:tcBorders>
          </w:tcPr>
          <w:p>
            <w:pPr>
              <w:pStyle w:val="34"/>
            </w:pPr>
            <w:r>
              <w:t>1</w:t>
            </w:r>
          </w:p>
        </w:tc>
      </w:tr>
    </w:tbl>
    <w:p>
      <w:pPr>
        <w:pStyle w:val="7"/>
        <w:ind w:firstLine="480"/>
        <w:rPr>
          <w:rFonts w:cs="Times New Roman"/>
          <w:lang w:val="zh-CN"/>
        </w:rPr>
      </w:pPr>
      <w:r>
        <w:rPr>
          <w:rFonts w:cs="Times New Roman"/>
          <w:lang w:val="zh-CN"/>
        </w:rPr>
        <w:t>（2）基础数据</w:t>
      </w:r>
    </w:p>
    <w:p>
      <w:pPr>
        <w:pStyle w:val="7"/>
        <w:ind w:firstLine="480"/>
        <w:rPr>
          <w:rFonts w:cs="Times New Roman"/>
          <w:lang w:val="zh-CN"/>
        </w:rPr>
      </w:pPr>
      <w:r>
        <w:rPr>
          <w:rFonts w:cs="Times New Roman"/>
          <w:lang w:val="zh-CN"/>
        </w:rPr>
        <w:t>项目噪声环境影响预测基础数据见</w:t>
      </w:r>
      <w:r>
        <w:rPr>
          <w:rFonts w:hint="eastAsia" w:cs="Times New Roman"/>
          <w:lang w:val="zh-CN"/>
        </w:rPr>
        <w:t>表5.2-14</w:t>
      </w:r>
      <w:r>
        <w:rPr>
          <w:rFonts w:cs="Times New Roman"/>
          <w:lang w:val="zh-CN"/>
        </w:rPr>
        <w:t>。</w:t>
      </w:r>
    </w:p>
    <w:p>
      <w:pPr>
        <w:pStyle w:val="36"/>
        <w:spacing w:before="156"/>
        <w:rPr>
          <w:rFonts w:eastAsia="宋体"/>
        </w:rPr>
      </w:pPr>
      <w:bookmarkStart w:id="82" w:name="_Ref107915810"/>
      <w:r>
        <w:rPr>
          <w:rFonts w:eastAsia="宋体"/>
        </w:rPr>
        <w:t>表</w:t>
      </w:r>
      <w:r>
        <w:rPr>
          <w:rFonts w:hint="eastAsia" w:eastAsia="宋体"/>
        </w:rPr>
        <w:t>5.2-14</w:t>
      </w:r>
      <w:bookmarkEnd w:id="82"/>
      <w:r>
        <w:rPr>
          <w:rFonts w:eastAsia="宋体"/>
        </w:rPr>
        <w:t xml:space="preserve">  项目噪声环境影响预测基础数据表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2794"/>
        <w:gridCol w:w="2132"/>
        <w:gridCol w:w="2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exact"/>
        </w:trPr>
        <w:tc>
          <w:tcPr>
            <w:tcW w:w="862" w:type="pct"/>
            <w:tcBorders>
              <w:tl2br w:val="nil"/>
              <w:tr2bl w:val="nil"/>
            </w:tcBorders>
          </w:tcPr>
          <w:p>
            <w:pPr>
              <w:pStyle w:val="34"/>
            </w:pPr>
            <w:r>
              <w:t>序号</w:t>
            </w:r>
          </w:p>
        </w:tc>
        <w:tc>
          <w:tcPr>
            <w:tcW w:w="1638" w:type="pct"/>
            <w:tcBorders>
              <w:tl2br w:val="nil"/>
              <w:tr2bl w:val="nil"/>
            </w:tcBorders>
          </w:tcPr>
          <w:p>
            <w:pPr>
              <w:pStyle w:val="34"/>
            </w:pPr>
            <w:r>
              <w:t>名称</w:t>
            </w:r>
          </w:p>
        </w:tc>
        <w:tc>
          <w:tcPr>
            <w:tcW w:w="1250" w:type="pct"/>
            <w:tcBorders>
              <w:tl2br w:val="nil"/>
              <w:tr2bl w:val="nil"/>
            </w:tcBorders>
          </w:tcPr>
          <w:p>
            <w:pPr>
              <w:pStyle w:val="34"/>
            </w:pPr>
            <w:r>
              <w:t>单位</w:t>
            </w:r>
          </w:p>
        </w:tc>
        <w:tc>
          <w:tcPr>
            <w:tcW w:w="1250" w:type="pct"/>
            <w:tcBorders>
              <w:tl2br w:val="nil"/>
              <w:tr2bl w:val="nil"/>
            </w:tcBorders>
          </w:tcPr>
          <w:p>
            <w:pPr>
              <w:pStyle w:val="34"/>
            </w:pPr>
            <w:r>
              <w:t>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tcPr>
          <w:p>
            <w:pPr>
              <w:pStyle w:val="34"/>
            </w:pPr>
            <w:r>
              <w:t>1</w:t>
            </w:r>
          </w:p>
        </w:tc>
        <w:tc>
          <w:tcPr>
            <w:tcW w:w="1638" w:type="pct"/>
            <w:tcBorders>
              <w:tl2br w:val="nil"/>
              <w:tr2bl w:val="nil"/>
            </w:tcBorders>
          </w:tcPr>
          <w:p>
            <w:pPr>
              <w:pStyle w:val="34"/>
            </w:pPr>
            <w:r>
              <w:t>年平均风速</w:t>
            </w:r>
          </w:p>
        </w:tc>
        <w:tc>
          <w:tcPr>
            <w:tcW w:w="1250" w:type="pct"/>
            <w:tcBorders>
              <w:tl2br w:val="nil"/>
              <w:tr2bl w:val="nil"/>
            </w:tcBorders>
          </w:tcPr>
          <w:p>
            <w:pPr>
              <w:pStyle w:val="34"/>
            </w:pPr>
            <w:r>
              <w:t>m/s</w:t>
            </w:r>
          </w:p>
        </w:tc>
        <w:tc>
          <w:tcPr>
            <w:tcW w:w="1250" w:type="pct"/>
            <w:tcBorders>
              <w:tl2br w:val="nil"/>
              <w:tr2bl w:val="nil"/>
            </w:tcBorders>
          </w:tcPr>
          <w:p>
            <w:pPr>
              <w:pStyle w:val="34"/>
            </w:pPr>
            <w: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tcPr>
          <w:p>
            <w:pPr>
              <w:pStyle w:val="34"/>
            </w:pPr>
            <w:r>
              <w:t>2</w:t>
            </w:r>
          </w:p>
        </w:tc>
        <w:tc>
          <w:tcPr>
            <w:tcW w:w="1638" w:type="pct"/>
            <w:tcBorders>
              <w:tl2br w:val="nil"/>
              <w:tr2bl w:val="nil"/>
            </w:tcBorders>
          </w:tcPr>
          <w:p>
            <w:pPr>
              <w:pStyle w:val="34"/>
            </w:pPr>
            <w:r>
              <w:t>主导风向</w:t>
            </w:r>
          </w:p>
        </w:tc>
        <w:tc>
          <w:tcPr>
            <w:tcW w:w="1250" w:type="pct"/>
            <w:tcBorders>
              <w:tl2br w:val="nil"/>
              <w:tr2bl w:val="nil"/>
            </w:tcBorders>
          </w:tcPr>
          <w:p>
            <w:pPr>
              <w:pStyle w:val="34"/>
            </w:pPr>
            <w:r>
              <w:t>/</w:t>
            </w:r>
          </w:p>
        </w:tc>
        <w:tc>
          <w:tcPr>
            <w:tcW w:w="1250" w:type="pct"/>
            <w:tcBorders>
              <w:tl2br w:val="nil"/>
              <w:tr2bl w:val="nil"/>
            </w:tcBorders>
          </w:tcPr>
          <w:p>
            <w:pPr>
              <w:pStyle w:val="34"/>
            </w:pPr>
            <w: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tcPr>
          <w:p>
            <w:pPr>
              <w:pStyle w:val="34"/>
            </w:pPr>
            <w:r>
              <w:t>3</w:t>
            </w:r>
          </w:p>
        </w:tc>
        <w:tc>
          <w:tcPr>
            <w:tcW w:w="1638" w:type="pct"/>
            <w:tcBorders>
              <w:tl2br w:val="nil"/>
              <w:tr2bl w:val="nil"/>
            </w:tcBorders>
          </w:tcPr>
          <w:p>
            <w:pPr>
              <w:pStyle w:val="34"/>
            </w:pPr>
            <w:r>
              <w:t>年平均气温</w:t>
            </w:r>
          </w:p>
        </w:tc>
        <w:tc>
          <w:tcPr>
            <w:tcW w:w="1250" w:type="pct"/>
            <w:tcBorders>
              <w:tl2br w:val="nil"/>
              <w:tr2bl w:val="nil"/>
            </w:tcBorders>
          </w:tcPr>
          <w:p>
            <w:pPr>
              <w:pStyle w:val="34"/>
            </w:pPr>
            <w:r>
              <w:t>℃</w:t>
            </w:r>
          </w:p>
        </w:tc>
        <w:tc>
          <w:tcPr>
            <w:tcW w:w="1250" w:type="pct"/>
            <w:tcBorders>
              <w:tl2br w:val="nil"/>
              <w:tr2bl w:val="nil"/>
            </w:tcBorders>
          </w:tcPr>
          <w:p>
            <w:pPr>
              <w:pStyle w:val="34"/>
            </w:pPr>
            <w: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tcPr>
          <w:p>
            <w:pPr>
              <w:pStyle w:val="34"/>
            </w:pPr>
            <w:r>
              <w:t>4</w:t>
            </w:r>
          </w:p>
        </w:tc>
        <w:tc>
          <w:tcPr>
            <w:tcW w:w="1638" w:type="pct"/>
            <w:tcBorders>
              <w:tl2br w:val="nil"/>
              <w:tr2bl w:val="nil"/>
            </w:tcBorders>
          </w:tcPr>
          <w:p>
            <w:pPr>
              <w:pStyle w:val="34"/>
            </w:pPr>
            <w:r>
              <w:t>年平均相对湿度</w:t>
            </w:r>
          </w:p>
        </w:tc>
        <w:tc>
          <w:tcPr>
            <w:tcW w:w="1250" w:type="pct"/>
            <w:tcBorders>
              <w:tl2br w:val="nil"/>
              <w:tr2bl w:val="nil"/>
            </w:tcBorders>
          </w:tcPr>
          <w:p>
            <w:pPr>
              <w:pStyle w:val="34"/>
            </w:pPr>
            <w:r>
              <w:t>%</w:t>
            </w:r>
          </w:p>
        </w:tc>
        <w:tc>
          <w:tcPr>
            <w:tcW w:w="1250" w:type="pct"/>
            <w:tcBorders>
              <w:tl2br w:val="nil"/>
              <w:tr2bl w:val="nil"/>
            </w:tcBorders>
          </w:tcPr>
          <w:p>
            <w:pPr>
              <w:pStyle w:val="34"/>
            </w:pPr>
            <w: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pct"/>
            <w:tcBorders>
              <w:tl2br w:val="nil"/>
              <w:tr2bl w:val="nil"/>
            </w:tcBorders>
          </w:tcPr>
          <w:p>
            <w:pPr>
              <w:pStyle w:val="34"/>
            </w:pPr>
            <w:r>
              <w:t>5</w:t>
            </w:r>
          </w:p>
        </w:tc>
        <w:tc>
          <w:tcPr>
            <w:tcW w:w="1638" w:type="pct"/>
            <w:tcBorders>
              <w:tl2br w:val="nil"/>
              <w:tr2bl w:val="nil"/>
            </w:tcBorders>
          </w:tcPr>
          <w:p>
            <w:pPr>
              <w:pStyle w:val="34"/>
            </w:pPr>
            <w:r>
              <w:t>大气压强</w:t>
            </w:r>
          </w:p>
        </w:tc>
        <w:tc>
          <w:tcPr>
            <w:tcW w:w="1250" w:type="pct"/>
            <w:tcBorders>
              <w:tl2br w:val="nil"/>
              <w:tr2bl w:val="nil"/>
            </w:tcBorders>
          </w:tcPr>
          <w:p>
            <w:pPr>
              <w:pStyle w:val="34"/>
            </w:pPr>
            <w:r>
              <w:t>atm</w:t>
            </w:r>
          </w:p>
        </w:tc>
        <w:tc>
          <w:tcPr>
            <w:tcW w:w="1250" w:type="pct"/>
            <w:tcBorders>
              <w:tl2br w:val="nil"/>
              <w:tr2bl w:val="nil"/>
            </w:tcBorders>
          </w:tcPr>
          <w:p>
            <w:pPr>
              <w:pStyle w:val="34"/>
            </w:pPr>
            <w:r>
              <w:t>1</w:t>
            </w:r>
          </w:p>
        </w:tc>
      </w:tr>
    </w:tbl>
    <w:p>
      <w:pPr>
        <w:pStyle w:val="6"/>
      </w:pPr>
      <w:r>
        <w:t>预测结果</w:t>
      </w:r>
    </w:p>
    <w:p>
      <w:pPr>
        <w:pStyle w:val="7"/>
        <w:ind w:firstLine="480"/>
        <w:rPr>
          <w:rFonts w:cs="Times New Roman"/>
          <w:lang w:val="zh-CN"/>
        </w:rPr>
      </w:pPr>
      <w:r>
        <w:rPr>
          <w:rFonts w:cs="Times New Roman"/>
          <w:lang w:val="zh-CN"/>
        </w:rPr>
        <w:t>通过预测模型计算，项目厂界噪声预测结果与达标分析见</w:t>
      </w:r>
      <w:r>
        <w:rPr>
          <w:rFonts w:hint="eastAsia" w:cs="Times New Roman"/>
          <w:lang w:val="zh-CN"/>
        </w:rPr>
        <w:t>表5.2-15</w:t>
      </w:r>
      <w:r>
        <w:rPr>
          <w:rFonts w:cs="Times New Roman"/>
          <w:lang w:val="zh-CN"/>
        </w:rPr>
        <w:t>。</w:t>
      </w:r>
    </w:p>
    <w:p>
      <w:pPr>
        <w:pStyle w:val="36"/>
        <w:spacing w:before="156"/>
        <w:rPr>
          <w:rFonts w:eastAsia="宋体"/>
        </w:rPr>
      </w:pPr>
      <w:bookmarkStart w:id="83" w:name="_Ref13406352"/>
      <w:r>
        <w:rPr>
          <w:rFonts w:eastAsia="宋体"/>
        </w:rPr>
        <w:t>表</w:t>
      </w:r>
      <w:r>
        <w:rPr>
          <w:rFonts w:hint="eastAsia" w:eastAsia="宋体"/>
        </w:rPr>
        <w:t>5.2-15</w:t>
      </w:r>
      <w:bookmarkEnd w:id="83"/>
      <w:r>
        <w:rPr>
          <w:rFonts w:eastAsia="宋体"/>
        </w:rPr>
        <w:t xml:space="preserve">  厂界噪声预测结果与达标分析表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926"/>
        <w:gridCol w:w="928"/>
        <w:gridCol w:w="1083"/>
        <w:gridCol w:w="1545"/>
        <w:gridCol w:w="1549"/>
        <w:gridCol w:w="12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exact"/>
          <w:tblHeader/>
        </w:trPr>
        <w:tc>
          <w:tcPr>
            <w:tcW w:w="705" w:type="pct"/>
            <w:vMerge w:val="restart"/>
            <w:tcBorders>
              <w:tl2br w:val="nil"/>
              <w:tr2bl w:val="nil"/>
            </w:tcBorders>
          </w:tcPr>
          <w:p>
            <w:pPr>
              <w:pStyle w:val="34"/>
            </w:pPr>
            <w:r>
              <w:t>预测方位</w:t>
            </w:r>
          </w:p>
        </w:tc>
        <w:tc>
          <w:tcPr>
            <w:tcW w:w="1087" w:type="pct"/>
            <w:gridSpan w:val="2"/>
            <w:tcBorders>
              <w:tl2br w:val="nil"/>
              <w:tr2bl w:val="nil"/>
            </w:tcBorders>
          </w:tcPr>
          <w:p>
            <w:pPr>
              <w:pStyle w:val="34"/>
            </w:pPr>
            <w:r>
              <w:t>空间相对位置/m</w:t>
            </w:r>
          </w:p>
        </w:tc>
        <w:tc>
          <w:tcPr>
            <w:tcW w:w="635" w:type="pct"/>
            <w:vMerge w:val="restart"/>
            <w:tcBorders>
              <w:tl2br w:val="nil"/>
              <w:tr2bl w:val="nil"/>
            </w:tcBorders>
          </w:tcPr>
          <w:p>
            <w:pPr>
              <w:pStyle w:val="34"/>
            </w:pPr>
            <w:r>
              <w:t>时段</w:t>
            </w:r>
          </w:p>
        </w:tc>
        <w:tc>
          <w:tcPr>
            <w:tcW w:w="906" w:type="pct"/>
            <w:vMerge w:val="restart"/>
            <w:tcBorders>
              <w:tl2br w:val="nil"/>
              <w:tr2bl w:val="nil"/>
            </w:tcBorders>
          </w:tcPr>
          <w:p>
            <w:pPr>
              <w:pStyle w:val="34"/>
            </w:pPr>
            <w:r>
              <w:t>贡献值[dB(A)]</w:t>
            </w:r>
          </w:p>
        </w:tc>
        <w:tc>
          <w:tcPr>
            <w:tcW w:w="908" w:type="pct"/>
            <w:vMerge w:val="restart"/>
            <w:tcBorders>
              <w:tl2br w:val="nil"/>
              <w:tr2bl w:val="nil"/>
            </w:tcBorders>
          </w:tcPr>
          <w:p>
            <w:pPr>
              <w:pStyle w:val="34"/>
            </w:pPr>
            <w:r>
              <w:t>标准限值[dB(A)]</w:t>
            </w:r>
          </w:p>
        </w:tc>
        <w:tc>
          <w:tcPr>
            <w:tcW w:w="759" w:type="pct"/>
            <w:vMerge w:val="restart"/>
            <w:tcBorders>
              <w:tl2br w:val="nil"/>
              <w:tr2bl w:val="nil"/>
            </w:tcBorders>
          </w:tcPr>
          <w:p>
            <w:pPr>
              <w:pStyle w:val="34"/>
            </w:pPr>
            <w: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705" w:type="pct"/>
            <w:vMerge w:val="continue"/>
            <w:tcBorders>
              <w:tl2br w:val="nil"/>
              <w:tr2bl w:val="nil"/>
            </w:tcBorders>
          </w:tcPr>
          <w:p>
            <w:pPr>
              <w:pStyle w:val="34"/>
            </w:pPr>
          </w:p>
        </w:tc>
        <w:tc>
          <w:tcPr>
            <w:tcW w:w="543" w:type="pct"/>
            <w:tcBorders>
              <w:tl2br w:val="nil"/>
              <w:tr2bl w:val="nil"/>
            </w:tcBorders>
          </w:tcPr>
          <w:p>
            <w:pPr>
              <w:pStyle w:val="34"/>
            </w:pPr>
            <w:r>
              <w:t>X</w:t>
            </w:r>
          </w:p>
        </w:tc>
        <w:tc>
          <w:tcPr>
            <w:tcW w:w="544" w:type="pct"/>
            <w:tcBorders>
              <w:tl2br w:val="nil"/>
              <w:tr2bl w:val="nil"/>
            </w:tcBorders>
          </w:tcPr>
          <w:p>
            <w:pPr>
              <w:pStyle w:val="34"/>
            </w:pPr>
            <w:r>
              <w:t>Y</w:t>
            </w:r>
          </w:p>
        </w:tc>
        <w:tc>
          <w:tcPr>
            <w:tcW w:w="635" w:type="pct"/>
            <w:vMerge w:val="continue"/>
            <w:tcBorders>
              <w:tl2br w:val="nil"/>
              <w:tr2bl w:val="nil"/>
            </w:tcBorders>
          </w:tcPr>
          <w:p>
            <w:pPr>
              <w:pStyle w:val="34"/>
            </w:pPr>
          </w:p>
        </w:tc>
        <w:tc>
          <w:tcPr>
            <w:tcW w:w="906" w:type="pct"/>
            <w:vMerge w:val="continue"/>
            <w:tcBorders>
              <w:tl2br w:val="nil"/>
              <w:tr2bl w:val="nil"/>
            </w:tcBorders>
          </w:tcPr>
          <w:p>
            <w:pPr>
              <w:pStyle w:val="34"/>
            </w:pPr>
          </w:p>
        </w:tc>
        <w:tc>
          <w:tcPr>
            <w:tcW w:w="908" w:type="pct"/>
            <w:vMerge w:val="continue"/>
            <w:tcBorders>
              <w:tl2br w:val="nil"/>
              <w:tr2bl w:val="nil"/>
            </w:tcBorders>
          </w:tcPr>
          <w:p>
            <w:pPr>
              <w:pStyle w:val="34"/>
            </w:pPr>
          </w:p>
        </w:tc>
        <w:tc>
          <w:tcPr>
            <w:tcW w:w="759" w:type="pct"/>
            <w:vMerge w:val="continue"/>
            <w:tcBorders>
              <w:tl2br w:val="nil"/>
              <w:tr2bl w:val="nil"/>
            </w:tcBorders>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restart"/>
            <w:tcBorders>
              <w:tl2br w:val="nil"/>
              <w:tr2bl w:val="nil"/>
            </w:tcBorders>
          </w:tcPr>
          <w:p>
            <w:pPr>
              <w:pStyle w:val="34"/>
            </w:pPr>
            <w:r>
              <w:t>东侧</w:t>
            </w:r>
          </w:p>
        </w:tc>
        <w:tc>
          <w:tcPr>
            <w:tcW w:w="543" w:type="pct"/>
            <w:tcBorders>
              <w:tl2br w:val="nil"/>
              <w:tr2bl w:val="nil"/>
            </w:tcBorders>
          </w:tcPr>
          <w:p>
            <w:pPr>
              <w:pStyle w:val="34"/>
            </w:pPr>
            <w:r>
              <w:t>53</w:t>
            </w:r>
          </w:p>
        </w:tc>
        <w:tc>
          <w:tcPr>
            <w:tcW w:w="544" w:type="pct"/>
            <w:tcBorders>
              <w:tl2br w:val="nil"/>
              <w:tr2bl w:val="nil"/>
            </w:tcBorders>
          </w:tcPr>
          <w:p>
            <w:pPr>
              <w:pStyle w:val="34"/>
            </w:pPr>
            <w:r>
              <w:t>0.1</w:t>
            </w:r>
          </w:p>
        </w:tc>
        <w:tc>
          <w:tcPr>
            <w:tcW w:w="635" w:type="pct"/>
            <w:tcBorders>
              <w:tl2br w:val="nil"/>
              <w:tr2bl w:val="nil"/>
            </w:tcBorders>
          </w:tcPr>
          <w:p>
            <w:pPr>
              <w:pStyle w:val="34"/>
            </w:pPr>
            <w:r>
              <w:t>昼间</w:t>
            </w:r>
          </w:p>
        </w:tc>
        <w:tc>
          <w:tcPr>
            <w:tcW w:w="906" w:type="pct"/>
            <w:tcBorders>
              <w:tl2br w:val="nil"/>
              <w:tr2bl w:val="nil"/>
            </w:tcBorders>
          </w:tcPr>
          <w:p>
            <w:pPr>
              <w:pStyle w:val="34"/>
            </w:pPr>
            <w:r>
              <w:t>46</w:t>
            </w:r>
          </w:p>
        </w:tc>
        <w:tc>
          <w:tcPr>
            <w:tcW w:w="908" w:type="pct"/>
            <w:tcBorders>
              <w:tl2br w:val="nil"/>
              <w:tr2bl w:val="nil"/>
            </w:tcBorders>
          </w:tcPr>
          <w:p>
            <w:pPr>
              <w:pStyle w:val="34"/>
            </w:pPr>
            <w:r>
              <w:t>60</w:t>
            </w:r>
          </w:p>
        </w:tc>
        <w:tc>
          <w:tcPr>
            <w:tcW w:w="759" w:type="pct"/>
            <w:tcBorders>
              <w:tl2br w:val="nil"/>
              <w:tr2bl w:val="nil"/>
            </w:tcBorders>
          </w:tcPr>
          <w:p>
            <w:pPr>
              <w:pStyle w:val="34"/>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continue"/>
            <w:tcBorders>
              <w:tl2br w:val="nil"/>
              <w:tr2bl w:val="nil"/>
            </w:tcBorders>
          </w:tcPr>
          <w:p>
            <w:pPr>
              <w:pStyle w:val="34"/>
            </w:pPr>
          </w:p>
        </w:tc>
        <w:tc>
          <w:tcPr>
            <w:tcW w:w="543" w:type="pct"/>
            <w:tcBorders>
              <w:tl2br w:val="nil"/>
              <w:tr2bl w:val="nil"/>
            </w:tcBorders>
          </w:tcPr>
          <w:p>
            <w:pPr>
              <w:pStyle w:val="34"/>
            </w:pPr>
            <w:r>
              <w:t>53</w:t>
            </w:r>
          </w:p>
        </w:tc>
        <w:tc>
          <w:tcPr>
            <w:tcW w:w="544" w:type="pct"/>
            <w:tcBorders>
              <w:tl2br w:val="nil"/>
              <w:tr2bl w:val="nil"/>
            </w:tcBorders>
          </w:tcPr>
          <w:p>
            <w:pPr>
              <w:pStyle w:val="34"/>
            </w:pPr>
            <w:r>
              <w:t>0.1</w:t>
            </w:r>
          </w:p>
        </w:tc>
        <w:tc>
          <w:tcPr>
            <w:tcW w:w="635" w:type="pct"/>
            <w:tcBorders>
              <w:tl2br w:val="nil"/>
              <w:tr2bl w:val="nil"/>
            </w:tcBorders>
          </w:tcPr>
          <w:p>
            <w:pPr>
              <w:pStyle w:val="34"/>
            </w:pPr>
            <w:r>
              <w:t>夜间</w:t>
            </w:r>
          </w:p>
        </w:tc>
        <w:tc>
          <w:tcPr>
            <w:tcW w:w="906" w:type="pct"/>
            <w:tcBorders>
              <w:tl2br w:val="nil"/>
              <w:tr2bl w:val="nil"/>
            </w:tcBorders>
          </w:tcPr>
          <w:p>
            <w:pPr>
              <w:pStyle w:val="34"/>
            </w:pPr>
            <w:r>
              <w:t>46</w:t>
            </w:r>
          </w:p>
        </w:tc>
        <w:tc>
          <w:tcPr>
            <w:tcW w:w="908" w:type="pct"/>
            <w:tcBorders>
              <w:tl2br w:val="nil"/>
              <w:tr2bl w:val="nil"/>
            </w:tcBorders>
          </w:tcPr>
          <w:p>
            <w:pPr>
              <w:pStyle w:val="34"/>
            </w:pPr>
            <w:r>
              <w:t>50</w:t>
            </w:r>
          </w:p>
        </w:tc>
        <w:tc>
          <w:tcPr>
            <w:tcW w:w="759" w:type="pct"/>
            <w:tcBorders>
              <w:tl2br w:val="nil"/>
              <w:tr2bl w:val="nil"/>
            </w:tcBorders>
          </w:tcPr>
          <w:p>
            <w:pPr>
              <w:pStyle w:val="34"/>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restart"/>
            <w:tcBorders>
              <w:tl2br w:val="nil"/>
              <w:tr2bl w:val="nil"/>
            </w:tcBorders>
          </w:tcPr>
          <w:p>
            <w:pPr>
              <w:pStyle w:val="34"/>
            </w:pPr>
            <w:r>
              <w:t>南侧</w:t>
            </w:r>
          </w:p>
        </w:tc>
        <w:tc>
          <w:tcPr>
            <w:tcW w:w="543" w:type="pct"/>
            <w:tcBorders>
              <w:tl2br w:val="nil"/>
              <w:tr2bl w:val="nil"/>
            </w:tcBorders>
          </w:tcPr>
          <w:p>
            <w:pPr>
              <w:pStyle w:val="34"/>
            </w:pPr>
            <w:r>
              <w:t>0.2</w:t>
            </w:r>
          </w:p>
        </w:tc>
        <w:tc>
          <w:tcPr>
            <w:tcW w:w="544" w:type="pct"/>
            <w:tcBorders>
              <w:tl2br w:val="nil"/>
              <w:tr2bl w:val="nil"/>
            </w:tcBorders>
          </w:tcPr>
          <w:p>
            <w:pPr>
              <w:pStyle w:val="34"/>
            </w:pPr>
            <w:r>
              <w:t>-</w:t>
            </w:r>
            <w:r>
              <w:rPr>
                <w:rFonts w:hint="eastAsia"/>
              </w:rPr>
              <w:t>44</w:t>
            </w:r>
          </w:p>
        </w:tc>
        <w:tc>
          <w:tcPr>
            <w:tcW w:w="635" w:type="pct"/>
            <w:tcBorders>
              <w:tl2br w:val="nil"/>
              <w:tr2bl w:val="nil"/>
            </w:tcBorders>
          </w:tcPr>
          <w:p>
            <w:pPr>
              <w:pStyle w:val="34"/>
            </w:pPr>
            <w:r>
              <w:t>昼间</w:t>
            </w:r>
          </w:p>
        </w:tc>
        <w:tc>
          <w:tcPr>
            <w:tcW w:w="906" w:type="pct"/>
            <w:tcBorders>
              <w:tl2br w:val="nil"/>
              <w:tr2bl w:val="nil"/>
            </w:tcBorders>
          </w:tcPr>
          <w:p>
            <w:pPr>
              <w:pStyle w:val="34"/>
            </w:pPr>
            <w:r>
              <w:t>47</w:t>
            </w:r>
          </w:p>
        </w:tc>
        <w:tc>
          <w:tcPr>
            <w:tcW w:w="908" w:type="pct"/>
            <w:tcBorders>
              <w:tl2br w:val="nil"/>
              <w:tr2bl w:val="nil"/>
            </w:tcBorders>
          </w:tcPr>
          <w:p>
            <w:pPr>
              <w:pStyle w:val="34"/>
            </w:pPr>
            <w:r>
              <w:t>60</w:t>
            </w:r>
          </w:p>
        </w:tc>
        <w:tc>
          <w:tcPr>
            <w:tcW w:w="759" w:type="pct"/>
            <w:tcBorders>
              <w:tl2br w:val="nil"/>
              <w:tr2bl w:val="nil"/>
            </w:tcBorders>
          </w:tcPr>
          <w:p>
            <w:pPr>
              <w:pStyle w:val="34"/>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continue"/>
            <w:tcBorders>
              <w:tl2br w:val="nil"/>
              <w:tr2bl w:val="nil"/>
            </w:tcBorders>
          </w:tcPr>
          <w:p>
            <w:pPr>
              <w:pStyle w:val="34"/>
            </w:pPr>
          </w:p>
        </w:tc>
        <w:tc>
          <w:tcPr>
            <w:tcW w:w="543" w:type="pct"/>
            <w:tcBorders>
              <w:tl2br w:val="nil"/>
              <w:tr2bl w:val="nil"/>
            </w:tcBorders>
          </w:tcPr>
          <w:p>
            <w:pPr>
              <w:pStyle w:val="34"/>
            </w:pPr>
            <w:r>
              <w:t>0.2</w:t>
            </w:r>
          </w:p>
        </w:tc>
        <w:tc>
          <w:tcPr>
            <w:tcW w:w="544" w:type="pct"/>
            <w:tcBorders>
              <w:tl2br w:val="nil"/>
              <w:tr2bl w:val="nil"/>
            </w:tcBorders>
          </w:tcPr>
          <w:p>
            <w:pPr>
              <w:pStyle w:val="34"/>
            </w:pPr>
            <w:r>
              <w:t>-</w:t>
            </w:r>
            <w:r>
              <w:rPr>
                <w:rFonts w:hint="eastAsia"/>
              </w:rPr>
              <w:t>44</w:t>
            </w:r>
          </w:p>
        </w:tc>
        <w:tc>
          <w:tcPr>
            <w:tcW w:w="635" w:type="pct"/>
            <w:tcBorders>
              <w:tl2br w:val="nil"/>
              <w:tr2bl w:val="nil"/>
            </w:tcBorders>
          </w:tcPr>
          <w:p>
            <w:pPr>
              <w:pStyle w:val="34"/>
            </w:pPr>
            <w:r>
              <w:t>夜间</w:t>
            </w:r>
          </w:p>
        </w:tc>
        <w:tc>
          <w:tcPr>
            <w:tcW w:w="906" w:type="pct"/>
            <w:tcBorders>
              <w:tl2br w:val="nil"/>
              <w:tr2bl w:val="nil"/>
            </w:tcBorders>
          </w:tcPr>
          <w:p>
            <w:pPr>
              <w:pStyle w:val="34"/>
            </w:pPr>
            <w:r>
              <w:t>47</w:t>
            </w:r>
          </w:p>
        </w:tc>
        <w:tc>
          <w:tcPr>
            <w:tcW w:w="908" w:type="pct"/>
            <w:tcBorders>
              <w:tl2br w:val="nil"/>
              <w:tr2bl w:val="nil"/>
            </w:tcBorders>
          </w:tcPr>
          <w:p>
            <w:pPr>
              <w:pStyle w:val="34"/>
            </w:pPr>
            <w:r>
              <w:t>50</w:t>
            </w:r>
          </w:p>
        </w:tc>
        <w:tc>
          <w:tcPr>
            <w:tcW w:w="759" w:type="pct"/>
            <w:tcBorders>
              <w:tl2br w:val="nil"/>
              <w:tr2bl w:val="nil"/>
            </w:tcBorders>
          </w:tcPr>
          <w:p>
            <w:pPr>
              <w:pStyle w:val="34"/>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restart"/>
            <w:tcBorders>
              <w:tl2br w:val="nil"/>
              <w:tr2bl w:val="nil"/>
            </w:tcBorders>
          </w:tcPr>
          <w:p>
            <w:pPr>
              <w:pStyle w:val="34"/>
            </w:pPr>
            <w:r>
              <w:t>西侧</w:t>
            </w:r>
          </w:p>
        </w:tc>
        <w:tc>
          <w:tcPr>
            <w:tcW w:w="543" w:type="pct"/>
            <w:tcBorders>
              <w:tl2br w:val="nil"/>
              <w:tr2bl w:val="nil"/>
            </w:tcBorders>
          </w:tcPr>
          <w:p>
            <w:pPr>
              <w:pStyle w:val="34"/>
            </w:pPr>
            <w:r>
              <w:t>-53</w:t>
            </w:r>
          </w:p>
        </w:tc>
        <w:tc>
          <w:tcPr>
            <w:tcW w:w="544" w:type="pct"/>
            <w:tcBorders>
              <w:tl2br w:val="nil"/>
              <w:tr2bl w:val="nil"/>
            </w:tcBorders>
          </w:tcPr>
          <w:p>
            <w:pPr>
              <w:pStyle w:val="34"/>
            </w:pPr>
            <w:r>
              <w:t>0.3</w:t>
            </w:r>
          </w:p>
        </w:tc>
        <w:tc>
          <w:tcPr>
            <w:tcW w:w="635" w:type="pct"/>
            <w:tcBorders>
              <w:tl2br w:val="nil"/>
              <w:tr2bl w:val="nil"/>
            </w:tcBorders>
          </w:tcPr>
          <w:p>
            <w:pPr>
              <w:pStyle w:val="34"/>
            </w:pPr>
            <w:r>
              <w:t>昼间</w:t>
            </w:r>
          </w:p>
        </w:tc>
        <w:tc>
          <w:tcPr>
            <w:tcW w:w="906" w:type="pct"/>
            <w:tcBorders>
              <w:tl2br w:val="nil"/>
              <w:tr2bl w:val="nil"/>
            </w:tcBorders>
          </w:tcPr>
          <w:p>
            <w:pPr>
              <w:pStyle w:val="34"/>
            </w:pPr>
            <w:r>
              <w:t>42</w:t>
            </w:r>
          </w:p>
        </w:tc>
        <w:tc>
          <w:tcPr>
            <w:tcW w:w="908" w:type="pct"/>
            <w:tcBorders>
              <w:tl2br w:val="nil"/>
              <w:tr2bl w:val="nil"/>
            </w:tcBorders>
          </w:tcPr>
          <w:p>
            <w:pPr>
              <w:pStyle w:val="34"/>
            </w:pPr>
            <w:r>
              <w:t>60</w:t>
            </w:r>
          </w:p>
        </w:tc>
        <w:tc>
          <w:tcPr>
            <w:tcW w:w="759" w:type="pct"/>
            <w:tcBorders>
              <w:tl2br w:val="nil"/>
              <w:tr2bl w:val="nil"/>
            </w:tcBorders>
          </w:tcPr>
          <w:p>
            <w:pPr>
              <w:pStyle w:val="34"/>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continue"/>
            <w:tcBorders>
              <w:tl2br w:val="nil"/>
              <w:tr2bl w:val="nil"/>
            </w:tcBorders>
          </w:tcPr>
          <w:p>
            <w:pPr>
              <w:pStyle w:val="34"/>
            </w:pPr>
          </w:p>
        </w:tc>
        <w:tc>
          <w:tcPr>
            <w:tcW w:w="543" w:type="pct"/>
            <w:tcBorders>
              <w:tl2br w:val="nil"/>
              <w:tr2bl w:val="nil"/>
            </w:tcBorders>
          </w:tcPr>
          <w:p>
            <w:pPr>
              <w:pStyle w:val="34"/>
            </w:pPr>
            <w:r>
              <w:t>-53</w:t>
            </w:r>
          </w:p>
        </w:tc>
        <w:tc>
          <w:tcPr>
            <w:tcW w:w="544" w:type="pct"/>
            <w:tcBorders>
              <w:tl2br w:val="nil"/>
              <w:tr2bl w:val="nil"/>
            </w:tcBorders>
          </w:tcPr>
          <w:p>
            <w:pPr>
              <w:pStyle w:val="34"/>
            </w:pPr>
            <w:r>
              <w:t>0.3</w:t>
            </w:r>
          </w:p>
        </w:tc>
        <w:tc>
          <w:tcPr>
            <w:tcW w:w="635" w:type="pct"/>
            <w:tcBorders>
              <w:tl2br w:val="nil"/>
              <w:tr2bl w:val="nil"/>
            </w:tcBorders>
          </w:tcPr>
          <w:p>
            <w:pPr>
              <w:pStyle w:val="34"/>
            </w:pPr>
            <w:r>
              <w:t>夜间</w:t>
            </w:r>
          </w:p>
        </w:tc>
        <w:tc>
          <w:tcPr>
            <w:tcW w:w="906" w:type="pct"/>
            <w:tcBorders>
              <w:tl2br w:val="nil"/>
              <w:tr2bl w:val="nil"/>
            </w:tcBorders>
          </w:tcPr>
          <w:p>
            <w:pPr>
              <w:pStyle w:val="34"/>
            </w:pPr>
            <w:r>
              <w:t>42</w:t>
            </w:r>
          </w:p>
        </w:tc>
        <w:tc>
          <w:tcPr>
            <w:tcW w:w="908" w:type="pct"/>
            <w:tcBorders>
              <w:tl2br w:val="nil"/>
              <w:tr2bl w:val="nil"/>
            </w:tcBorders>
          </w:tcPr>
          <w:p>
            <w:pPr>
              <w:pStyle w:val="34"/>
            </w:pPr>
            <w:r>
              <w:t>50</w:t>
            </w:r>
          </w:p>
        </w:tc>
        <w:tc>
          <w:tcPr>
            <w:tcW w:w="759" w:type="pct"/>
            <w:tcBorders>
              <w:tl2br w:val="nil"/>
              <w:tr2bl w:val="nil"/>
            </w:tcBorders>
          </w:tcPr>
          <w:p>
            <w:pPr>
              <w:pStyle w:val="34"/>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restart"/>
            <w:tcBorders>
              <w:tl2br w:val="nil"/>
              <w:tr2bl w:val="nil"/>
            </w:tcBorders>
          </w:tcPr>
          <w:p>
            <w:pPr>
              <w:pStyle w:val="34"/>
            </w:pPr>
            <w:r>
              <w:t>北侧</w:t>
            </w:r>
          </w:p>
        </w:tc>
        <w:tc>
          <w:tcPr>
            <w:tcW w:w="543" w:type="pct"/>
            <w:tcBorders>
              <w:tl2br w:val="nil"/>
              <w:tr2bl w:val="nil"/>
            </w:tcBorders>
          </w:tcPr>
          <w:p>
            <w:pPr>
              <w:pStyle w:val="34"/>
            </w:pPr>
            <w:r>
              <w:t>0</w:t>
            </w:r>
          </w:p>
        </w:tc>
        <w:tc>
          <w:tcPr>
            <w:tcW w:w="544" w:type="pct"/>
            <w:tcBorders>
              <w:tl2br w:val="nil"/>
              <w:tr2bl w:val="nil"/>
            </w:tcBorders>
          </w:tcPr>
          <w:p>
            <w:pPr>
              <w:pStyle w:val="34"/>
            </w:pPr>
            <w:r>
              <w:rPr>
                <w:rFonts w:hint="eastAsia"/>
              </w:rPr>
              <w:t>50</w:t>
            </w:r>
          </w:p>
        </w:tc>
        <w:tc>
          <w:tcPr>
            <w:tcW w:w="635" w:type="pct"/>
            <w:tcBorders>
              <w:tl2br w:val="nil"/>
              <w:tr2bl w:val="nil"/>
            </w:tcBorders>
          </w:tcPr>
          <w:p>
            <w:pPr>
              <w:pStyle w:val="34"/>
            </w:pPr>
            <w:r>
              <w:t>昼间</w:t>
            </w:r>
          </w:p>
        </w:tc>
        <w:tc>
          <w:tcPr>
            <w:tcW w:w="906" w:type="pct"/>
            <w:tcBorders>
              <w:tl2br w:val="nil"/>
              <w:tr2bl w:val="nil"/>
            </w:tcBorders>
          </w:tcPr>
          <w:p>
            <w:pPr>
              <w:pStyle w:val="34"/>
            </w:pPr>
            <w:r>
              <w:t>35</w:t>
            </w:r>
          </w:p>
        </w:tc>
        <w:tc>
          <w:tcPr>
            <w:tcW w:w="908" w:type="pct"/>
            <w:tcBorders>
              <w:tl2br w:val="nil"/>
              <w:tr2bl w:val="nil"/>
            </w:tcBorders>
          </w:tcPr>
          <w:p>
            <w:pPr>
              <w:pStyle w:val="34"/>
            </w:pPr>
            <w:r>
              <w:t>60</w:t>
            </w:r>
          </w:p>
        </w:tc>
        <w:tc>
          <w:tcPr>
            <w:tcW w:w="759" w:type="pct"/>
            <w:tcBorders>
              <w:tl2br w:val="nil"/>
              <w:tr2bl w:val="nil"/>
            </w:tcBorders>
          </w:tcPr>
          <w:p>
            <w:pPr>
              <w:pStyle w:val="34"/>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05" w:type="pct"/>
            <w:vMerge w:val="continue"/>
            <w:tcBorders>
              <w:tl2br w:val="nil"/>
              <w:tr2bl w:val="nil"/>
            </w:tcBorders>
          </w:tcPr>
          <w:p>
            <w:pPr>
              <w:pStyle w:val="34"/>
            </w:pPr>
          </w:p>
        </w:tc>
        <w:tc>
          <w:tcPr>
            <w:tcW w:w="543" w:type="pct"/>
            <w:tcBorders>
              <w:tl2br w:val="nil"/>
              <w:tr2bl w:val="nil"/>
            </w:tcBorders>
          </w:tcPr>
          <w:p>
            <w:pPr>
              <w:pStyle w:val="34"/>
            </w:pPr>
            <w:r>
              <w:t>0</w:t>
            </w:r>
          </w:p>
        </w:tc>
        <w:tc>
          <w:tcPr>
            <w:tcW w:w="544" w:type="pct"/>
            <w:tcBorders>
              <w:tl2br w:val="nil"/>
              <w:tr2bl w:val="nil"/>
            </w:tcBorders>
          </w:tcPr>
          <w:p>
            <w:pPr>
              <w:pStyle w:val="34"/>
            </w:pPr>
            <w:r>
              <w:rPr>
                <w:rFonts w:hint="eastAsia"/>
              </w:rPr>
              <w:t>50</w:t>
            </w:r>
          </w:p>
        </w:tc>
        <w:tc>
          <w:tcPr>
            <w:tcW w:w="635" w:type="pct"/>
            <w:tcBorders>
              <w:tl2br w:val="nil"/>
              <w:tr2bl w:val="nil"/>
            </w:tcBorders>
          </w:tcPr>
          <w:p>
            <w:pPr>
              <w:pStyle w:val="34"/>
            </w:pPr>
            <w:r>
              <w:t>夜间</w:t>
            </w:r>
          </w:p>
        </w:tc>
        <w:tc>
          <w:tcPr>
            <w:tcW w:w="906" w:type="pct"/>
            <w:tcBorders>
              <w:tl2br w:val="nil"/>
              <w:tr2bl w:val="nil"/>
            </w:tcBorders>
          </w:tcPr>
          <w:p>
            <w:pPr>
              <w:pStyle w:val="34"/>
            </w:pPr>
            <w:r>
              <w:t>35</w:t>
            </w:r>
          </w:p>
        </w:tc>
        <w:tc>
          <w:tcPr>
            <w:tcW w:w="908" w:type="pct"/>
            <w:tcBorders>
              <w:tl2br w:val="nil"/>
              <w:tr2bl w:val="nil"/>
            </w:tcBorders>
          </w:tcPr>
          <w:p>
            <w:pPr>
              <w:pStyle w:val="34"/>
            </w:pPr>
            <w:r>
              <w:t>50</w:t>
            </w:r>
          </w:p>
        </w:tc>
        <w:tc>
          <w:tcPr>
            <w:tcW w:w="759" w:type="pct"/>
            <w:tcBorders>
              <w:tl2br w:val="nil"/>
              <w:tr2bl w:val="nil"/>
            </w:tcBorders>
          </w:tcPr>
          <w:p>
            <w:pPr>
              <w:pStyle w:val="34"/>
            </w:pPr>
            <w:r>
              <w:t>达标</w:t>
            </w:r>
          </w:p>
        </w:tc>
      </w:tr>
    </w:tbl>
    <w:p>
      <w:pPr>
        <w:pStyle w:val="7"/>
        <w:ind w:firstLine="480"/>
        <w:rPr>
          <w:rFonts w:cs="Times New Roman"/>
          <w:lang w:val="zh-CN"/>
        </w:rPr>
      </w:pPr>
      <w:r>
        <w:rPr>
          <w:rFonts w:cs="Times New Roman"/>
          <w:lang w:val="zh-CN"/>
        </w:rPr>
        <w:t>由上表可知，正常工况下，项目厂界噪声满足《工业企业厂界环境噪声排放标准》(GB12348-2008) 2类标准。</w:t>
      </w:r>
    </w:p>
    <w:p>
      <w:pPr>
        <w:pStyle w:val="6"/>
      </w:pPr>
      <w:r>
        <w:t>声环境自查表</w:t>
      </w:r>
    </w:p>
    <w:p>
      <w:pPr>
        <w:pStyle w:val="7"/>
        <w:ind w:firstLine="480"/>
        <w:rPr>
          <w:rFonts w:cs="Times New Roman"/>
          <w:lang w:val="zh-CN"/>
        </w:rPr>
      </w:pPr>
      <w:r>
        <w:rPr>
          <w:rFonts w:cs="Times New Roman"/>
          <w:lang w:val="zh-CN"/>
        </w:rPr>
        <w:t>项目声环境影响评价自查见</w:t>
      </w:r>
      <w:r>
        <w:rPr>
          <w:rFonts w:hint="eastAsia" w:cs="Times New Roman"/>
          <w:lang w:val="zh-CN"/>
        </w:rPr>
        <w:t>表5.2-16</w:t>
      </w:r>
      <w:r>
        <w:rPr>
          <w:rFonts w:cs="Times New Roman"/>
          <w:lang w:val="zh-CN"/>
        </w:rPr>
        <w:t>。</w:t>
      </w:r>
    </w:p>
    <w:p>
      <w:pPr>
        <w:pStyle w:val="36"/>
        <w:spacing w:before="156"/>
        <w:rPr>
          <w:rFonts w:eastAsia="宋体"/>
        </w:rPr>
      </w:pPr>
      <w:bookmarkStart w:id="84" w:name="_Ref107916829"/>
      <w:r>
        <w:rPr>
          <w:rFonts w:eastAsia="宋体"/>
        </w:rPr>
        <w:t>表</w:t>
      </w:r>
      <w:r>
        <w:rPr>
          <w:rFonts w:hint="eastAsia" w:eastAsia="宋体"/>
        </w:rPr>
        <w:t>5.2-16</w:t>
      </w:r>
      <w:bookmarkEnd w:id="84"/>
      <w:r>
        <w:rPr>
          <w:rFonts w:eastAsia="宋体"/>
        </w:rPr>
        <w:t xml:space="preserve">  声环境影响评价自查表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506"/>
        <w:gridCol w:w="877"/>
        <w:gridCol w:w="449"/>
        <w:gridCol w:w="278"/>
        <w:gridCol w:w="205"/>
        <w:gridCol w:w="948"/>
        <w:gridCol w:w="600"/>
        <w:gridCol w:w="392"/>
        <w:gridCol w:w="484"/>
        <w:gridCol w:w="450"/>
        <w:gridCol w:w="208"/>
        <w:gridCol w:w="1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470" w:type="pct"/>
            <w:gridSpan w:val="2"/>
            <w:tcBorders>
              <w:tl2br w:val="nil"/>
              <w:tr2bl w:val="nil"/>
            </w:tcBorders>
            <w:vAlign w:val="center"/>
          </w:tcPr>
          <w:p>
            <w:pPr>
              <w:pStyle w:val="34"/>
              <w:rPr>
                <w:lang w:val="zh-CN" w:bidi="zh-CN"/>
              </w:rPr>
            </w:pPr>
            <w:r>
              <w:t>工作内容</w:t>
            </w:r>
          </w:p>
        </w:tc>
        <w:tc>
          <w:tcPr>
            <w:tcW w:w="3529" w:type="pct"/>
            <w:gridSpan w:val="11"/>
            <w:tcBorders>
              <w:tl2br w:val="nil"/>
              <w:tr2bl w:val="nil"/>
            </w:tcBorders>
            <w:vAlign w:val="center"/>
          </w:tcPr>
          <w:p>
            <w:pPr>
              <w:pStyle w:val="34"/>
              <w:rPr>
                <w:lang w:val="zh-CN" w:bidi="zh-CN"/>
              </w:rPr>
            </w:pPr>
            <w: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restart"/>
            <w:tcBorders>
              <w:tl2br w:val="nil"/>
              <w:tr2bl w:val="nil"/>
            </w:tcBorders>
            <w:vAlign w:val="center"/>
          </w:tcPr>
          <w:p>
            <w:pPr>
              <w:pStyle w:val="34"/>
              <w:rPr>
                <w:lang w:val="zh-CN" w:bidi="zh-CN"/>
              </w:rPr>
            </w:pPr>
            <w:r>
              <w:t>评价等级与范围</w:t>
            </w:r>
          </w:p>
        </w:tc>
        <w:tc>
          <w:tcPr>
            <w:tcW w:w="883" w:type="pct"/>
            <w:tcBorders>
              <w:tl2br w:val="nil"/>
              <w:tr2bl w:val="nil"/>
            </w:tcBorders>
            <w:vAlign w:val="center"/>
          </w:tcPr>
          <w:p>
            <w:pPr>
              <w:pStyle w:val="34"/>
              <w:rPr>
                <w:lang w:val="zh-CN" w:bidi="zh-CN"/>
              </w:rPr>
            </w:pPr>
            <w:r>
              <w:t>评价等级</w:t>
            </w:r>
          </w:p>
        </w:tc>
        <w:tc>
          <w:tcPr>
            <w:tcW w:w="3529" w:type="pct"/>
            <w:gridSpan w:val="11"/>
            <w:tcBorders>
              <w:tl2br w:val="nil"/>
              <w:tr2bl w:val="nil"/>
            </w:tcBorders>
            <w:vAlign w:val="center"/>
          </w:tcPr>
          <w:p>
            <w:pPr>
              <w:pStyle w:val="34"/>
              <w:rPr>
                <w:lang w:val="zh-CN" w:bidi="zh-CN"/>
              </w:rPr>
            </w:pPr>
            <w:r>
              <w:t>一级□</w:t>
            </w:r>
            <w:r>
              <w:tab/>
            </w:r>
            <w:r>
              <w:t xml:space="preserve">      二</w:t>
            </w:r>
            <w:r>
              <w:rPr>
                <w:spacing w:val="-3"/>
              </w:rPr>
              <w:t>级</w:t>
            </w:r>
            <w:r>
              <w:rPr>
                <w:rFonts w:ascii="Segoe UI Symbol" w:hAnsi="Segoe UI Symbol" w:cs="Segoe UI Symbol"/>
              </w:rPr>
              <w:t>☑</w:t>
            </w:r>
            <w:r>
              <w:tab/>
            </w:r>
            <w:r>
              <w:t xml:space="preserve">      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评价范围</w:t>
            </w:r>
          </w:p>
        </w:tc>
        <w:tc>
          <w:tcPr>
            <w:tcW w:w="3529" w:type="pct"/>
            <w:gridSpan w:val="11"/>
            <w:tcBorders>
              <w:tl2br w:val="nil"/>
              <w:tr2bl w:val="nil"/>
            </w:tcBorders>
            <w:vAlign w:val="center"/>
          </w:tcPr>
          <w:p>
            <w:pPr>
              <w:pStyle w:val="34"/>
              <w:rPr>
                <w:lang w:val="zh-CN" w:bidi="zh-CN"/>
              </w:rPr>
            </w:pPr>
            <w:r>
              <w:t>200m</w:t>
            </w:r>
            <w:r>
              <w:rPr>
                <w:rFonts w:ascii="Segoe UI Symbol" w:hAnsi="Segoe UI Symbol" w:cs="Segoe UI Symbol"/>
              </w:rPr>
              <w:t>☑</w:t>
            </w:r>
            <w:r>
              <w:tab/>
            </w:r>
            <w:r>
              <w:t xml:space="preserve">            </w:t>
            </w:r>
            <w:r>
              <w:rPr>
                <w:spacing w:val="-3"/>
              </w:rPr>
              <w:t>大</w:t>
            </w:r>
            <w:r>
              <w:t>于</w:t>
            </w:r>
            <w:r>
              <w:rPr>
                <w:spacing w:val="-46"/>
              </w:rPr>
              <w:t xml:space="preserve"> </w:t>
            </w:r>
            <w:r>
              <w:t>200m            小于</w:t>
            </w:r>
            <w:r>
              <w:rPr>
                <w:spacing w:val="-48"/>
              </w:rPr>
              <w:t xml:space="preserve"> </w:t>
            </w:r>
            <w:r>
              <w:t>200m□</w:t>
            </w:r>
            <w:r>
              <w:tab/>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tcBorders>
              <w:tl2br w:val="nil"/>
              <w:tr2bl w:val="nil"/>
            </w:tcBorders>
            <w:vAlign w:val="center"/>
          </w:tcPr>
          <w:p>
            <w:pPr>
              <w:pStyle w:val="34"/>
              <w:rPr>
                <w:lang w:val="zh-CN" w:bidi="zh-CN"/>
              </w:rPr>
            </w:pPr>
            <w:r>
              <w:t>评价因子</w:t>
            </w:r>
          </w:p>
        </w:tc>
        <w:tc>
          <w:tcPr>
            <w:tcW w:w="883" w:type="pct"/>
            <w:tcBorders>
              <w:tl2br w:val="nil"/>
              <w:tr2bl w:val="nil"/>
            </w:tcBorders>
            <w:vAlign w:val="center"/>
          </w:tcPr>
          <w:p>
            <w:pPr>
              <w:pStyle w:val="34"/>
              <w:rPr>
                <w:lang w:val="zh-CN" w:bidi="zh-CN"/>
              </w:rPr>
            </w:pPr>
            <w:r>
              <w:t>评价因子</w:t>
            </w:r>
          </w:p>
        </w:tc>
        <w:tc>
          <w:tcPr>
            <w:tcW w:w="3529" w:type="pct"/>
            <w:gridSpan w:val="11"/>
            <w:tcBorders>
              <w:tl2br w:val="nil"/>
              <w:tr2bl w:val="nil"/>
            </w:tcBorders>
            <w:vAlign w:val="center"/>
          </w:tcPr>
          <w:p>
            <w:pPr>
              <w:pStyle w:val="34"/>
              <w:rPr>
                <w:lang w:val="zh-CN" w:bidi="zh-CN"/>
              </w:rPr>
            </w:pPr>
            <w:r>
              <w:t>等效连续A声级</w:t>
            </w:r>
            <w:r>
              <w:rPr>
                <w:rFonts w:ascii="Segoe UI Symbol" w:hAnsi="Segoe UI Symbol" w:cs="Segoe UI Symbol"/>
              </w:rPr>
              <w:t>☑</w:t>
            </w:r>
            <w:r>
              <w:t xml:space="preserve">  最大A声级□ 计权等效连续感觉噪声级□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tcBorders>
              <w:tl2br w:val="nil"/>
              <w:tr2bl w:val="nil"/>
            </w:tcBorders>
            <w:vAlign w:val="center"/>
          </w:tcPr>
          <w:p>
            <w:pPr>
              <w:pStyle w:val="34"/>
              <w:rPr>
                <w:lang w:val="zh-CN" w:bidi="zh-CN"/>
              </w:rPr>
            </w:pPr>
            <w:r>
              <w:t>评价标准</w:t>
            </w:r>
          </w:p>
        </w:tc>
        <w:tc>
          <w:tcPr>
            <w:tcW w:w="883" w:type="pct"/>
            <w:tcBorders>
              <w:tl2br w:val="nil"/>
              <w:tr2bl w:val="nil"/>
            </w:tcBorders>
            <w:vAlign w:val="center"/>
          </w:tcPr>
          <w:p>
            <w:pPr>
              <w:pStyle w:val="34"/>
              <w:rPr>
                <w:lang w:val="zh-CN" w:bidi="zh-CN"/>
              </w:rPr>
            </w:pPr>
            <w:r>
              <w:t>评价标准</w:t>
            </w:r>
          </w:p>
        </w:tc>
        <w:tc>
          <w:tcPr>
            <w:tcW w:w="3529" w:type="pct"/>
            <w:gridSpan w:val="11"/>
            <w:tcBorders>
              <w:tl2br w:val="nil"/>
              <w:tr2bl w:val="nil"/>
            </w:tcBorders>
            <w:vAlign w:val="center"/>
          </w:tcPr>
          <w:p>
            <w:pPr>
              <w:pStyle w:val="34"/>
              <w:rPr>
                <w:lang w:val="zh-CN" w:bidi="zh-CN"/>
              </w:rPr>
            </w:pPr>
            <w:r>
              <w:t>国家标准</w:t>
            </w:r>
            <w:r>
              <w:rPr>
                <w:rFonts w:ascii="Segoe UI Symbol" w:hAnsi="Segoe UI Symbol" w:cs="Segoe UI Symbol"/>
              </w:rPr>
              <w:t>☑</w:t>
            </w:r>
            <w:r>
              <w:t xml:space="preserve">             地方标准□            国外标准□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restart"/>
            <w:tcBorders>
              <w:tl2br w:val="nil"/>
              <w:tr2bl w:val="nil"/>
            </w:tcBorders>
            <w:vAlign w:val="center"/>
          </w:tcPr>
          <w:p>
            <w:pPr>
              <w:pStyle w:val="34"/>
              <w:rPr>
                <w:lang w:val="zh-CN" w:bidi="zh-CN"/>
              </w:rPr>
            </w:pPr>
            <w:r>
              <w:t>现状评价</w:t>
            </w:r>
          </w:p>
        </w:tc>
        <w:tc>
          <w:tcPr>
            <w:tcW w:w="883" w:type="pct"/>
            <w:tcBorders>
              <w:tl2br w:val="nil"/>
              <w:tr2bl w:val="nil"/>
            </w:tcBorders>
            <w:vAlign w:val="center"/>
          </w:tcPr>
          <w:p>
            <w:pPr>
              <w:pStyle w:val="34"/>
              <w:rPr>
                <w:lang w:val="zh-CN" w:bidi="zh-CN"/>
              </w:rPr>
            </w:pPr>
            <w:r>
              <w:t>环境功能区</w:t>
            </w:r>
          </w:p>
        </w:tc>
        <w:tc>
          <w:tcPr>
            <w:tcW w:w="514" w:type="pct"/>
            <w:tcBorders>
              <w:tl2br w:val="nil"/>
              <w:tr2bl w:val="nil"/>
            </w:tcBorders>
            <w:vAlign w:val="center"/>
          </w:tcPr>
          <w:p>
            <w:pPr>
              <w:pStyle w:val="34"/>
              <w:rPr>
                <w:lang w:val="zh-CN" w:bidi="zh-CN"/>
              </w:rPr>
            </w:pPr>
            <w:r>
              <w:t>0 类区□</w:t>
            </w:r>
          </w:p>
        </w:tc>
        <w:tc>
          <w:tcPr>
            <w:tcW w:w="546" w:type="pct"/>
            <w:gridSpan w:val="3"/>
            <w:tcBorders>
              <w:tl2br w:val="nil"/>
              <w:tr2bl w:val="nil"/>
            </w:tcBorders>
            <w:vAlign w:val="center"/>
          </w:tcPr>
          <w:p>
            <w:pPr>
              <w:pStyle w:val="34"/>
              <w:rPr>
                <w:lang w:val="zh-CN" w:bidi="zh-CN"/>
              </w:rPr>
            </w:pPr>
            <w:r>
              <w:t>1 类区□</w:t>
            </w:r>
          </w:p>
        </w:tc>
        <w:tc>
          <w:tcPr>
            <w:tcW w:w="555" w:type="pct"/>
            <w:tcBorders>
              <w:tl2br w:val="nil"/>
              <w:tr2bl w:val="nil"/>
            </w:tcBorders>
            <w:vAlign w:val="center"/>
          </w:tcPr>
          <w:p>
            <w:pPr>
              <w:pStyle w:val="34"/>
              <w:rPr>
                <w:lang w:val="zh-CN" w:bidi="zh-CN"/>
              </w:rPr>
            </w:pPr>
            <w:r>
              <w:t>2 类区</w:t>
            </w:r>
            <w:r>
              <w:rPr>
                <w:rFonts w:ascii="Segoe UI Symbol" w:hAnsi="Segoe UI Symbol" w:cs="Segoe UI Symbol"/>
              </w:rPr>
              <w:t>☑</w:t>
            </w:r>
          </w:p>
        </w:tc>
        <w:tc>
          <w:tcPr>
            <w:tcW w:w="582" w:type="pct"/>
            <w:gridSpan w:val="2"/>
            <w:tcBorders>
              <w:tl2br w:val="nil"/>
              <w:tr2bl w:val="nil"/>
            </w:tcBorders>
            <w:vAlign w:val="center"/>
          </w:tcPr>
          <w:p>
            <w:pPr>
              <w:pStyle w:val="34"/>
              <w:rPr>
                <w:lang w:val="zh-CN" w:bidi="zh-CN"/>
              </w:rPr>
            </w:pPr>
            <w:r>
              <w:t>3 类区□</w:t>
            </w:r>
          </w:p>
        </w:tc>
        <w:tc>
          <w:tcPr>
            <w:tcW w:w="670" w:type="pct"/>
            <w:gridSpan w:val="3"/>
            <w:tcBorders>
              <w:tl2br w:val="nil"/>
              <w:tr2bl w:val="nil"/>
            </w:tcBorders>
            <w:vAlign w:val="center"/>
          </w:tcPr>
          <w:p>
            <w:pPr>
              <w:pStyle w:val="34"/>
              <w:rPr>
                <w:lang w:val="zh-CN" w:bidi="zh-CN"/>
              </w:rPr>
            </w:pPr>
            <w:r>
              <w:t>4a 类区□</w:t>
            </w:r>
          </w:p>
        </w:tc>
        <w:tc>
          <w:tcPr>
            <w:tcW w:w="659" w:type="pct"/>
            <w:tcBorders>
              <w:tl2br w:val="nil"/>
              <w:tr2bl w:val="nil"/>
            </w:tcBorders>
            <w:vAlign w:val="center"/>
          </w:tcPr>
          <w:p>
            <w:pPr>
              <w:pStyle w:val="34"/>
              <w:rPr>
                <w:lang w:val="zh-CN" w:bidi="zh-CN"/>
              </w:rPr>
            </w:pPr>
            <w:r>
              <w:t>4b 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评价年度</w:t>
            </w:r>
          </w:p>
        </w:tc>
        <w:tc>
          <w:tcPr>
            <w:tcW w:w="777" w:type="pct"/>
            <w:gridSpan w:val="2"/>
            <w:tcBorders>
              <w:tl2br w:val="nil"/>
              <w:tr2bl w:val="nil"/>
            </w:tcBorders>
            <w:vAlign w:val="center"/>
          </w:tcPr>
          <w:p>
            <w:pPr>
              <w:pStyle w:val="34"/>
              <w:rPr>
                <w:lang w:val="zh-CN" w:bidi="zh-CN"/>
              </w:rPr>
            </w:pPr>
            <w:r>
              <w:t>初期</w:t>
            </w:r>
            <w:r>
              <w:rPr>
                <w:rFonts w:ascii="Segoe UI Symbol" w:hAnsi="Segoe UI Symbol" w:cs="Segoe UI Symbol"/>
              </w:rPr>
              <w:t>☑</w:t>
            </w:r>
          </w:p>
        </w:tc>
        <w:tc>
          <w:tcPr>
            <w:tcW w:w="839" w:type="pct"/>
            <w:gridSpan w:val="3"/>
            <w:tcBorders>
              <w:tl2br w:val="nil"/>
              <w:tr2bl w:val="nil"/>
            </w:tcBorders>
            <w:vAlign w:val="center"/>
          </w:tcPr>
          <w:p>
            <w:pPr>
              <w:pStyle w:val="34"/>
              <w:rPr>
                <w:lang w:val="zh-CN" w:bidi="zh-CN"/>
              </w:rPr>
            </w:pPr>
            <w:r>
              <w:t>近期□</w:t>
            </w:r>
          </w:p>
        </w:tc>
        <w:tc>
          <w:tcPr>
            <w:tcW w:w="866" w:type="pct"/>
            <w:gridSpan w:val="3"/>
            <w:tcBorders>
              <w:tl2br w:val="nil"/>
              <w:tr2bl w:val="nil"/>
            </w:tcBorders>
            <w:vAlign w:val="center"/>
          </w:tcPr>
          <w:p>
            <w:pPr>
              <w:pStyle w:val="34"/>
              <w:rPr>
                <w:lang w:val="zh-CN" w:bidi="zh-CN"/>
              </w:rPr>
            </w:pPr>
            <w:r>
              <w:t>中期□</w:t>
            </w:r>
          </w:p>
        </w:tc>
        <w:tc>
          <w:tcPr>
            <w:tcW w:w="1046" w:type="pct"/>
            <w:gridSpan w:val="3"/>
            <w:tcBorders>
              <w:tl2br w:val="nil"/>
              <w:tr2bl w:val="nil"/>
            </w:tcBorders>
            <w:vAlign w:val="center"/>
          </w:tcPr>
          <w:p>
            <w:pPr>
              <w:pStyle w:val="34"/>
              <w:rPr>
                <w:lang w:val="zh-CN" w:bidi="zh-CN"/>
              </w:rPr>
            </w:pPr>
            <w:r>
              <w:t>远期□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现状调查方法</w:t>
            </w:r>
          </w:p>
        </w:tc>
        <w:tc>
          <w:tcPr>
            <w:tcW w:w="3529" w:type="pct"/>
            <w:gridSpan w:val="11"/>
            <w:tcBorders>
              <w:tl2br w:val="nil"/>
              <w:tr2bl w:val="nil"/>
            </w:tcBorders>
            <w:vAlign w:val="center"/>
          </w:tcPr>
          <w:p>
            <w:pPr>
              <w:pStyle w:val="34"/>
              <w:rPr>
                <w:lang w:val="zh-CN" w:bidi="zh-CN"/>
              </w:rPr>
            </w:pPr>
            <w:r>
              <w:t>现场实测法</w:t>
            </w:r>
            <w:r>
              <w:rPr>
                <w:rFonts w:ascii="Segoe UI Symbol" w:hAnsi="Segoe UI Symbol" w:cs="Segoe UI Symbol"/>
              </w:rPr>
              <w:t>☑</w:t>
            </w:r>
            <w:r>
              <w:t xml:space="preserve">     现场实测加模型计算法□    收集资料□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现状评价</w:t>
            </w:r>
          </w:p>
        </w:tc>
        <w:tc>
          <w:tcPr>
            <w:tcW w:w="940" w:type="pct"/>
            <w:gridSpan w:val="3"/>
            <w:tcBorders>
              <w:tl2br w:val="nil"/>
              <w:tr2bl w:val="nil"/>
            </w:tcBorders>
            <w:vAlign w:val="center"/>
          </w:tcPr>
          <w:p>
            <w:pPr>
              <w:pStyle w:val="34"/>
              <w:rPr>
                <w:lang w:val="zh-CN" w:bidi="zh-CN"/>
              </w:rPr>
            </w:pPr>
            <w:r>
              <w:t>达标百分比</w:t>
            </w:r>
          </w:p>
        </w:tc>
        <w:tc>
          <w:tcPr>
            <w:tcW w:w="2589" w:type="pct"/>
            <w:gridSpan w:val="8"/>
            <w:tcBorders>
              <w:tl2br w:val="nil"/>
              <w:tr2bl w:val="nil"/>
            </w:tcBorders>
            <w:vAlign w:val="center"/>
          </w:tcPr>
          <w:p>
            <w:pPr>
              <w:pStyle w:val="34"/>
              <w:rPr>
                <w:lang w:val="zh-CN" w:bidi="zh-CN"/>
              </w:rPr>
            </w:pPr>
            <w:r>
              <w:rPr>
                <w:lang w:val="zh-CN" w:bidi="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tcBorders>
              <w:tl2br w:val="nil"/>
              <w:tr2bl w:val="nil"/>
            </w:tcBorders>
            <w:vAlign w:val="center"/>
          </w:tcPr>
          <w:p>
            <w:pPr>
              <w:pStyle w:val="34"/>
              <w:rPr>
                <w:lang w:val="zh-CN" w:bidi="zh-CN"/>
              </w:rPr>
            </w:pPr>
            <w:r>
              <w:t>噪声源调查</w:t>
            </w:r>
          </w:p>
        </w:tc>
        <w:tc>
          <w:tcPr>
            <w:tcW w:w="883" w:type="pct"/>
            <w:tcBorders>
              <w:tl2br w:val="nil"/>
              <w:tr2bl w:val="nil"/>
            </w:tcBorders>
            <w:vAlign w:val="center"/>
          </w:tcPr>
          <w:p>
            <w:pPr>
              <w:pStyle w:val="34"/>
              <w:rPr>
                <w:lang w:val="zh-CN" w:bidi="zh-CN"/>
              </w:rPr>
            </w:pPr>
            <w:r>
              <w:t>噪声源调查方法</w:t>
            </w:r>
          </w:p>
        </w:tc>
        <w:tc>
          <w:tcPr>
            <w:tcW w:w="3529" w:type="pct"/>
            <w:gridSpan w:val="11"/>
            <w:tcBorders>
              <w:tl2br w:val="nil"/>
              <w:tr2bl w:val="nil"/>
            </w:tcBorders>
            <w:vAlign w:val="center"/>
          </w:tcPr>
          <w:p>
            <w:pPr>
              <w:pStyle w:val="34"/>
              <w:rPr>
                <w:lang w:val="zh-CN" w:bidi="zh-CN"/>
              </w:rPr>
            </w:pPr>
            <w:r>
              <w:t>现场实测</w:t>
            </w:r>
            <w:r>
              <w:rPr>
                <w:rFonts w:ascii="Segoe UI Symbol" w:hAnsi="Segoe UI Symbol" w:cs="Segoe UI Symbol"/>
              </w:rPr>
              <w:t>☑</w:t>
            </w:r>
            <w:r>
              <w:t xml:space="preserve">           已有资料□            研究成果□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restart"/>
            <w:tcBorders>
              <w:tl2br w:val="nil"/>
              <w:tr2bl w:val="nil"/>
            </w:tcBorders>
            <w:vAlign w:val="center"/>
          </w:tcPr>
          <w:p>
            <w:pPr>
              <w:pStyle w:val="34"/>
              <w:rPr>
                <w:lang w:val="zh-CN" w:bidi="zh-CN"/>
              </w:rPr>
            </w:pPr>
            <w:r>
              <w:t>声环境影响预测与评价</w:t>
            </w:r>
          </w:p>
        </w:tc>
        <w:tc>
          <w:tcPr>
            <w:tcW w:w="883" w:type="pct"/>
            <w:tcBorders>
              <w:tl2br w:val="nil"/>
              <w:tr2bl w:val="nil"/>
            </w:tcBorders>
            <w:vAlign w:val="center"/>
          </w:tcPr>
          <w:p>
            <w:pPr>
              <w:pStyle w:val="34"/>
              <w:rPr>
                <w:lang w:val="zh-CN" w:bidi="zh-CN"/>
              </w:rPr>
            </w:pPr>
            <w:r>
              <w:t>预测模型</w:t>
            </w:r>
          </w:p>
        </w:tc>
        <w:tc>
          <w:tcPr>
            <w:tcW w:w="1968" w:type="pct"/>
            <w:gridSpan w:val="6"/>
            <w:tcBorders>
              <w:tl2br w:val="nil"/>
              <w:tr2bl w:val="nil"/>
            </w:tcBorders>
            <w:vAlign w:val="center"/>
          </w:tcPr>
          <w:p>
            <w:pPr>
              <w:pStyle w:val="34"/>
              <w:rPr>
                <w:lang w:val="zh-CN" w:bidi="zh-CN"/>
              </w:rPr>
            </w:pPr>
            <w:r>
              <w:t>导则推荐模型</w:t>
            </w:r>
            <w:r>
              <w:rPr>
                <w:rFonts w:ascii="Segoe UI Symbol" w:hAnsi="Segoe UI Symbol" w:cs="Segoe UI Symbol"/>
              </w:rPr>
              <w:t>☑</w:t>
            </w:r>
          </w:p>
        </w:tc>
        <w:tc>
          <w:tcPr>
            <w:tcW w:w="1560" w:type="pct"/>
            <w:gridSpan w:val="5"/>
            <w:tcBorders>
              <w:tl2br w:val="nil"/>
              <w:tr2bl w:val="nil"/>
            </w:tcBorders>
            <w:vAlign w:val="center"/>
          </w:tcPr>
          <w:p>
            <w:pPr>
              <w:pStyle w:val="34"/>
              <w:rPr>
                <w:lang w:val="zh-CN" w:bidi="zh-CN"/>
              </w:rPr>
            </w:pPr>
            <w: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预测范围</w:t>
            </w:r>
          </w:p>
        </w:tc>
        <w:tc>
          <w:tcPr>
            <w:tcW w:w="3529" w:type="pct"/>
            <w:gridSpan w:val="11"/>
            <w:tcBorders>
              <w:tl2br w:val="nil"/>
              <w:tr2bl w:val="nil"/>
            </w:tcBorders>
            <w:vAlign w:val="center"/>
          </w:tcPr>
          <w:p>
            <w:pPr>
              <w:pStyle w:val="34"/>
              <w:rPr>
                <w:lang w:val="zh-CN" w:bidi="zh-CN"/>
              </w:rPr>
            </w:pPr>
            <w:r>
              <w:t>200 m</w:t>
            </w:r>
            <w:r>
              <w:rPr>
                <w:rFonts w:ascii="Segoe UI Symbol" w:hAnsi="Segoe UI Symbol" w:cs="Segoe UI Symbol"/>
              </w:rPr>
              <w:t>☑</w:t>
            </w:r>
            <w:r>
              <w:t xml:space="preserve">         大于200 m□           小于200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预测因子</w:t>
            </w:r>
          </w:p>
        </w:tc>
        <w:tc>
          <w:tcPr>
            <w:tcW w:w="940" w:type="pct"/>
            <w:gridSpan w:val="3"/>
            <w:tcBorders>
              <w:tl2br w:val="nil"/>
              <w:tr2bl w:val="nil"/>
            </w:tcBorders>
            <w:vAlign w:val="center"/>
          </w:tcPr>
          <w:p>
            <w:pPr>
              <w:pStyle w:val="34"/>
              <w:rPr>
                <w:lang w:val="zh-CN" w:bidi="zh-CN"/>
              </w:rPr>
            </w:pPr>
            <w:r>
              <w:t>等效连续A声级</w:t>
            </w:r>
            <w:r>
              <w:rPr>
                <w:rFonts w:ascii="Segoe UI Symbol" w:hAnsi="Segoe UI Symbol" w:cs="Segoe UI Symbol"/>
              </w:rPr>
              <w:t>☑</w:t>
            </w:r>
          </w:p>
        </w:tc>
        <w:tc>
          <w:tcPr>
            <w:tcW w:w="1028" w:type="pct"/>
            <w:gridSpan w:val="3"/>
            <w:tcBorders>
              <w:tl2br w:val="nil"/>
              <w:tr2bl w:val="nil"/>
            </w:tcBorders>
            <w:vAlign w:val="center"/>
          </w:tcPr>
          <w:p>
            <w:pPr>
              <w:pStyle w:val="34"/>
              <w:rPr>
                <w:lang w:val="zh-CN" w:bidi="zh-CN"/>
              </w:rPr>
            </w:pPr>
            <w:r>
              <w:t>最大A声级□</w:t>
            </w:r>
          </w:p>
        </w:tc>
        <w:tc>
          <w:tcPr>
            <w:tcW w:w="1560" w:type="pct"/>
            <w:gridSpan w:val="5"/>
            <w:tcBorders>
              <w:tl2br w:val="nil"/>
              <w:tr2bl w:val="nil"/>
            </w:tcBorders>
            <w:vAlign w:val="center"/>
          </w:tcPr>
          <w:p>
            <w:pPr>
              <w:pStyle w:val="34"/>
              <w:rPr>
                <w:lang w:val="zh-CN" w:bidi="zh-CN"/>
              </w:rPr>
            </w:pPr>
            <w:r>
              <w:t>计权等效连续感觉噪声级□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厂界噪声贡献值</w:t>
            </w:r>
          </w:p>
        </w:tc>
        <w:tc>
          <w:tcPr>
            <w:tcW w:w="3529" w:type="pct"/>
            <w:gridSpan w:val="11"/>
            <w:tcBorders>
              <w:tl2br w:val="nil"/>
              <w:tr2bl w:val="nil"/>
            </w:tcBorders>
            <w:vAlign w:val="center"/>
          </w:tcPr>
          <w:p>
            <w:pPr>
              <w:pStyle w:val="34"/>
              <w:rPr>
                <w:lang w:val="zh-CN" w:bidi="zh-CN"/>
              </w:rPr>
            </w:pPr>
            <w:r>
              <w:t>达标</w:t>
            </w:r>
            <w:r>
              <w:rPr>
                <w:rFonts w:ascii="Segoe UI Symbol" w:hAnsi="Segoe UI Symbol" w:cs="Segoe UI Symbol"/>
              </w:rPr>
              <w:t>☑</w:t>
            </w:r>
            <w:r>
              <w:t xml:space="preserve">                           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声环境保护目标处噪声值</w:t>
            </w:r>
          </w:p>
        </w:tc>
        <w:tc>
          <w:tcPr>
            <w:tcW w:w="3529" w:type="pct"/>
            <w:gridSpan w:val="11"/>
            <w:tcBorders>
              <w:tl2br w:val="nil"/>
              <w:tr2bl w:val="nil"/>
            </w:tcBorders>
            <w:vAlign w:val="center"/>
          </w:tcPr>
          <w:p>
            <w:pPr>
              <w:pStyle w:val="34"/>
              <w:rPr>
                <w:lang w:val="zh-CN" w:bidi="zh-CN"/>
              </w:rPr>
            </w:pPr>
            <w:r>
              <w:t>达标□                            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restart"/>
            <w:tcBorders>
              <w:tl2br w:val="nil"/>
              <w:tr2bl w:val="nil"/>
            </w:tcBorders>
            <w:vAlign w:val="center"/>
          </w:tcPr>
          <w:p>
            <w:pPr>
              <w:pStyle w:val="34"/>
              <w:rPr>
                <w:lang w:val="zh-CN" w:bidi="zh-CN"/>
              </w:rPr>
            </w:pPr>
            <w:r>
              <w:t>环境监测计划</w:t>
            </w:r>
          </w:p>
        </w:tc>
        <w:tc>
          <w:tcPr>
            <w:tcW w:w="883" w:type="pct"/>
            <w:tcBorders>
              <w:tl2br w:val="nil"/>
              <w:tr2bl w:val="nil"/>
            </w:tcBorders>
            <w:vAlign w:val="center"/>
          </w:tcPr>
          <w:p>
            <w:pPr>
              <w:pStyle w:val="34"/>
              <w:rPr>
                <w:lang w:val="zh-CN" w:bidi="zh-CN"/>
              </w:rPr>
            </w:pPr>
            <w:r>
              <w:t>排放监测</w:t>
            </w:r>
          </w:p>
        </w:tc>
        <w:tc>
          <w:tcPr>
            <w:tcW w:w="3529" w:type="pct"/>
            <w:gridSpan w:val="11"/>
            <w:tcBorders>
              <w:tl2br w:val="nil"/>
              <w:tr2bl w:val="nil"/>
            </w:tcBorders>
            <w:vAlign w:val="center"/>
          </w:tcPr>
          <w:p>
            <w:pPr>
              <w:pStyle w:val="34"/>
              <w:rPr>
                <w:lang w:val="zh-CN" w:bidi="zh-CN"/>
              </w:rPr>
            </w:pPr>
            <w:r>
              <w:t>厂界监测</w:t>
            </w:r>
            <w:r>
              <w:rPr>
                <w:rFonts w:ascii="Segoe UI Symbol" w:hAnsi="Segoe UI Symbol" w:cs="Segoe UI Symbol"/>
              </w:rPr>
              <w:t>☑</w:t>
            </w:r>
            <w:r>
              <w:t xml:space="preserve">  </w:t>
            </w:r>
            <w:r>
              <w:tab/>
            </w:r>
            <w:r>
              <w:t>固定位置监</w:t>
            </w:r>
            <w:r>
              <w:rPr>
                <w:spacing w:val="-3"/>
              </w:rPr>
              <w:t>测</w:t>
            </w:r>
            <w:r>
              <w:t>□  自动监测□ 手动监测</w:t>
            </w:r>
            <w:r>
              <w:rPr>
                <w:rFonts w:ascii="Segoe UI Symbol" w:hAnsi="Segoe UI Symbol" w:cs="Segoe UI Symbol"/>
              </w:rPr>
              <w:t>☑</w:t>
            </w:r>
            <w:r>
              <w:t xml:space="preserve"> 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tcBorders>
              <w:tl2br w:val="nil"/>
              <w:tr2bl w:val="nil"/>
            </w:tcBorders>
            <w:vAlign w:val="center"/>
          </w:tcPr>
          <w:p>
            <w:pPr>
              <w:pStyle w:val="34"/>
              <w:rPr>
                <w:lang w:val="zh-CN" w:bidi="zh-CN"/>
              </w:rPr>
            </w:pPr>
          </w:p>
        </w:tc>
        <w:tc>
          <w:tcPr>
            <w:tcW w:w="883" w:type="pct"/>
            <w:tcBorders>
              <w:tl2br w:val="nil"/>
              <w:tr2bl w:val="nil"/>
            </w:tcBorders>
            <w:vAlign w:val="center"/>
          </w:tcPr>
          <w:p>
            <w:pPr>
              <w:pStyle w:val="34"/>
              <w:rPr>
                <w:lang w:val="zh-CN" w:bidi="zh-CN"/>
              </w:rPr>
            </w:pPr>
            <w:r>
              <w:t>声环境保护目标处噪声监测</w:t>
            </w:r>
          </w:p>
        </w:tc>
        <w:tc>
          <w:tcPr>
            <w:tcW w:w="1616" w:type="pct"/>
            <w:gridSpan w:val="5"/>
            <w:tcBorders>
              <w:tl2br w:val="nil"/>
              <w:tr2bl w:val="nil"/>
            </w:tcBorders>
            <w:vAlign w:val="center"/>
          </w:tcPr>
          <w:p>
            <w:pPr>
              <w:pStyle w:val="34"/>
              <w:rPr>
                <w:lang w:val="zh-CN" w:bidi="zh-CN"/>
              </w:rPr>
            </w:pPr>
            <w:r>
              <w:t>监测因子</w:t>
            </w:r>
            <w:r>
              <w:rPr>
                <w:spacing w:val="-92"/>
              </w:rPr>
              <w:t>：</w:t>
            </w:r>
            <w:r>
              <w:t>（  ）</w:t>
            </w:r>
          </w:p>
        </w:tc>
        <w:tc>
          <w:tcPr>
            <w:tcW w:w="1130" w:type="pct"/>
            <w:gridSpan w:val="4"/>
            <w:tcBorders>
              <w:tl2br w:val="nil"/>
              <w:tr2bl w:val="nil"/>
            </w:tcBorders>
            <w:vAlign w:val="center"/>
          </w:tcPr>
          <w:p>
            <w:pPr>
              <w:pStyle w:val="34"/>
              <w:rPr>
                <w:lang w:val="zh-CN" w:bidi="zh-CN"/>
              </w:rPr>
            </w:pPr>
            <w:r>
              <w:t>监测点位数（  ）</w:t>
            </w:r>
          </w:p>
        </w:tc>
        <w:tc>
          <w:tcPr>
            <w:tcW w:w="782" w:type="pct"/>
            <w:gridSpan w:val="2"/>
            <w:tcBorders>
              <w:tl2br w:val="nil"/>
              <w:tr2bl w:val="nil"/>
            </w:tcBorders>
            <w:vAlign w:val="center"/>
          </w:tcPr>
          <w:p>
            <w:pPr>
              <w:pStyle w:val="34"/>
              <w:rPr>
                <w:lang w:val="zh-CN" w:bidi="zh-CN"/>
              </w:rPr>
            </w:pPr>
            <w:r>
              <w:t>无监测</w:t>
            </w:r>
            <w:r>
              <w:rPr>
                <w:rFonts w:ascii="Segoe UI Symbol" w:hAnsi="Segoe UI Symbol" w:cs="Segoe UI Symbo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tcBorders>
              <w:tl2br w:val="nil"/>
              <w:tr2bl w:val="nil"/>
            </w:tcBorders>
            <w:vAlign w:val="center"/>
          </w:tcPr>
          <w:p>
            <w:pPr>
              <w:pStyle w:val="34"/>
              <w:rPr>
                <w:lang w:val="zh-CN" w:bidi="zh-CN"/>
              </w:rPr>
            </w:pPr>
            <w:r>
              <w:t>评价结论</w:t>
            </w:r>
          </w:p>
        </w:tc>
        <w:tc>
          <w:tcPr>
            <w:tcW w:w="883" w:type="pct"/>
            <w:tcBorders>
              <w:tl2br w:val="nil"/>
              <w:tr2bl w:val="nil"/>
            </w:tcBorders>
            <w:vAlign w:val="center"/>
          </w:tcPr>
          <w:p>
            <w:pPr>
              <w:pStyle w:val="34"/>
              <w:rPr>
                <w:lang w:val="zh-CN" w:bidi="zh-CN"/>
              </w:rPr>
            </w:pPr>
            <w:r>
              <w:t>环境影响</w:t>
            </w:r>
          </w:p>
        </w:tc>
        <w:tc>
          <w:tcPr>
            <w:tcW w:w="3529" w:type="pct"/>
            <w:gridSpan w:val="11"/>
            <w:tcBorders>
              <w:tl2br w:val="nil"/>
              <w:tr2bl w:val="nil"/>
            </w:tcBorders>
            <w:vAlign w:val="center"/>
          </w:tcPr>
          <w:p>
            <w:pPr>
              <w:pStyle w:val="34"/>
              <w:rPr>
                <w:lang w:val="zh-CN" w:bidi="zh-CN"/>
              </w:rPr>
            </w:pPr>
            <w:r>
              <w:t>可行</w:t>
            </w:r>
            <w:r>
              <w:rPr>
                <w:rFonts w:ascii="Segoe UI Symbol" w:hAnsi="Segoe UI Symbol" w:cs="Segoe UI Symbol"/>
              </w:rPr>
              <w:t>☑</w:t>
            </w:r>
            <w:r>
              <w:tab/>
            </w:r>
            <w:r>
              <w:t xml:space="preserve">         不可行□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3"/>
            <w:tcBorders>
              <w:tl2br w:val="nil"/>
              <w:tr2bl w:val="nil"/>
            </w:tcBorders>
            <w:vAlign w:val="center"/>
          </w:tcPr>
          <w:p>
            <w:pPr>
              <w:pStyle w:val="34"/>
              <w:rPr>
                <w:lang w:val="zh-CN" w:bidi="zh-CN"/>
              </w:rPr>
            </w:pPr>
            <w:r>
              <w:t>注“□”为勾选项</w:t>
            </w:r>
            <w:r>
              <w:rPr>
                <w:spacing w:val="1"/>
              </w:rPr>
              <w:t xml:space="preserve"> </w:t>
            </w:r>
            <w:r>
              <w:t>，可√；</w:t>
            </w:r>
            <w:r>
              <w:rPr>
                <w:spacing w:val="1"/>
              </w:rPr>
              <w:t>“（  ）”</w:t>
            </w:r>
            <w:r>
              <w:t>为内容填写项。</w:t>
            </w:r>
          </w:p>
        </w:tc>
      </w:tr>
    </w:tbl>
    <w:p>
      <w:pPr>
        <w:pStyle w:val="5"/>
        <w:rPr>
          <w:rFonts w:cs="Times New Roman"/>
        </w:rPr>
      </w:pPr>
      <w:r>
        <w:rPr>
          <w:rFonts w:cs="Times New Roman"/>
        </w:rPr>
        <w:t>运营期固体废物环境影响分析</w:t>
      </w:r>
    </w:p>
    <w:p>
      <w:pPr>
        <w:pStyle w:val="6"/>
      </w:pPr>
      <w:r>
        <w:t>固体废物种类</w:t>
      </w:r>
    </w:p>
    <w:p>
      <w:pPr>
        <w:pStyle w:val="7"/>
        <w:ind w:firstLine="480"/>
        <w:rPr>
          <w:rFonts w:cs="Times New Roman"/>
          <w:lang w:val="zh-CN"/>
        </w:rPr>
      </w:pPr>
      <w:r>
        <w:rPr>
          <w:rFonts w:cs="Times New Roman"/>
          <w:lang w:val="zh-CN"/>
        </w:rPr>
        <w:t>根据工程分析可知，本项目运营期产生的固体废弃物包括一般工业固体废物：沉淀池污泥、造粒工段废金属滤网、滴灌带生产线残次品及边角料；危险废物包括废活性炭、废UV灯管、废润滑油；另外还有少量生活垃圾。</w:t>
      </w:r>
    </w:p>
    <w:p>
      <w:pPr>
        <w:pStyle w:val="6"/>
      </w:pPr>
      <w:r>
        <w:t>固体废物影响分析</w:t>
      </w:r>
    </w:p>
    <w:p>
      <w:pPr>
        <w:pStyle w:val="7"/>
        <w:ind w:firstLine="480"/>
        <w:rPr>
          <w:rFonts w:cs="Times New Roman"/>
          <w:lang w:val="zh-CN"/>
        </w:rPr>
      </w:pPr>
      <w:r>
        <w:rPr>
          <w:rFonts w:cs="Times New Roman"/>
          <w:lang w:val="zh-CN"/>
        </w:rPr>
        <w:t>（1）一般工业固体废物</w:t>
      </w:r>
    </w:p>
    <w:p>
      <w:pPr>
        <w:pStyle w:val="7"/>
        <w:ind w:firstLine="480"/>
        <w:rPr>
          <w:rFonts w:cs="Times New Roman"/>
          <w:lang w:val="zh-CN"/>
        </w:rPr>
      </w:pPr>
      <w:r>
        <w:rPr>
          <w:rFonts w:cs="Times New Roman"/>
          <w:lang w:val="zh-CN"/>
        </w:rPr>
        <w:t>沉淀池污泥定期清掏，经自然干化处理后交由环卫部门处置；废旧金属滤网经收集后外售物资回收单位；滴灌带生产过程中产生的边角料及残次品全部返回造粒工序回用。</w:t>
      </w:r>
    </w:p>
    <w:p>
      <w:pPr>
        <w:pStyle w:val="7"/>
        <w:ind w:firstLine="480"/>
        <w:rPr>
          <w:rFonts w:cs="Times New Roman"/>
          <w:lang w:val="zh-CN"/>
        </w:rPr>
      </w:pPr>
      <w:r>
        <w:rPr>
          <w:rFonts w:cs="Times New Roman"/>
          <w:lang w:val="zh-CN"/>
        </w:rPr>
        <w:t>（2）危险废物</w:t>
      </w:r>
    </w:p>
    <w:p>
      <w:pPr>
        <w:pStyle w:val="7"/>
        <w:ind w:firstLine="480"/>
        <w:rPr>
          <w:rFonts w:cs="Times New Roman"/>
          <w:lang w:val="zh-CN"/>
        </w:rPr>
      </w:pPr>
      <w:r>
        <w:rPr>
          <w:rFonts w:cs="Times New Roman"/>
          <w:lang w:val="zh-CN"/>
        </w:rPr>
        <w:t>本项目运营期产生的危险废物包括有机气体处理装置产生的废灯管、废活性炭以及设备修护时产生的废润滑油。项目产生的危险废物分类收集，在厂区危废贮存库暂存，定期交由有资质的单位处置。</w:t>
      </w:r>
    </w:p>
    <w:p>
      <w:pPr>
        <w:pStyle w:val="7"/>
        <w:ind w:firstLine="480"/>
        <w:rPr>
          <w:rFonts w:cs="Times New Roman"/>
          <w:lang w:val="zh-CN"/>
        </w:rPr>
      </w:pPr>
      <w:r>
        <w:rPr>
          <w:rFonts w:cs="Times New Roman"/>
          <w:lang w:val="zh-CN"/>
        </w:rPr>
        <w:t>（3）生活垃圾</w:t>
      </w:r>
    </w:p>
    <w:p>
      <w:pPr>
        <w:pStyle w:val="7"/>
        <w:ind w:firstLine="480"/>
        <w:rPr>
          <w:rFonts w:cs="Times New Roman"/>
          <w:lang w:val="zh-CN"/>
        </w:rPr>
      </w:pPr>
      <w:r>
        <w:rPr>
          <w:rFonts w:cs="Times New Roman"/>
          <w:lang w:val="zh-CN"/>
        </w:rPr>
        <w:t>本项目运营期产生的生活垃圾经定点收集后定期交由环卫部门清运至垃圾填埋场处理，不会对区域环境造成不良影响。</w:t>
      </w:r>
    </w:p>
    <w:p>
      <w:pPr>
        <w:pStyle w:val="7"/>
        <w:ind w:firstLine="480"/>
        <w:rPr>
          <w:rFonts w:cs="Times New Roman"/>
          <w:lang w:val="zh-CN"/>
        </w:rPr>
      </w:pPr>
      <w:r>
        <w:rPr>
          <w:rFonts w:cs="Times New Roman"/>
          <w:lang w:val="zh-CN"/>
        </w:rPr>
        <w:t>综上所述，本项目产生的一般工业固体废物均得到妥善处置，可实现减量化、无害化及资源化处理。项目产生的废润滑油、废灯管及废活性炭按照《危险废物贮存污染控制标准》（GB18597-2023）进行严格管理，定期交由有资质的单位处置；</w:t>
      </w:r>
      <w:r>
        <w:rPr>
          <w:rFonts w:hint="eastAsia" w:cs="Times New Roman"/>
          <w:lang w:val="zh-CN"/>
        </w:rPr>
        <w:t>沉淀池污泥及</w:t>
      </w:r>
      <w:r>
        <w:rPr>
          <w:rFonts w:cs="Times New Roman"/>
          <w:lang w:val="zh-CN"/>
        </w:rPr>
        <w:t>少量生活垃圾经收集后交由环卫部门清运处置。本项目产生的固体废物在采取上述处置措施后，均得到合理处置与利用，对周围环境影响较小。</w:t>
      </w:r>
    </w:p>
    <w:p>
      <w:pPr>
        <w:pStyle w:val="5"/>
        <w:rPr>
          <w:rFonts w:cs="Times New Roman"/>
        </w:rPr>
      </w:pPr>
      <w:r>
        <w:rPr>
          <w:rFonts w:cs="Times New Roman"/>
        </w:rPr>
        <w:t>运营期土壤环境影响分析</w:t>
      </w:r>
    </w:p>
    <w:p>
      <w:pPr>
        <w:pStyle w:val="7"/>
        <w:ind w:firstLine="480"/>
        <w:rPr>
          <w:rFonts w:cs="Times New Roman"/>
          <w:lang w:val="zh-CN"/>
        </w:rPr>
      </w:pPr>
      <w:r>
        <w:rPr>
          <w:rFonts w:cs="Times New Roman"/>
          <w:lang w:val="zh-CN"/>
        </w:rPr>
        <w:t>本项目土壤环境评价工作等级为三级，采用定性描述进行土壤影响分析。</w:t>
      </w:r>
    </w:p>
    <w:p>
      <w:pPr>
        <w:pStyle w:val="7"/>
        <w:ind w:firstLine="480"/>
        <w:rPr>
          <w:rFonts w:cs="Times New Roman"/>
          <w:lang w:val="zh-CN"/>
        </w:rPr>
      </w:pPr>
      <w:r>
        <w:rPr>
          <w:rFonts w:cs="Times New Roman"/>
          <w:lang w:val="zh-CN"/>
        </w:rPr>
        <w:t>本项目产生的废气污染物主要是非甲烷总烃，非甲烷总烃属于挥发性有机物，不会沉降污染土壤。</w:t>
      </w:r>
    </w:p>
    <w:p>
      <w:pPr>
        <w:pStyle w:val="7"/>
        <w:ind w:firstLine="480"/>
        <w:rPr>
          <w:rFonts w:cs="Times New Roman"/>
          <w:lang w:val="zh-CN"/>
        </w:rPr>
      </w:pPr>
      <w:r>
        <w:rPr>
          <w:rFonts w:cs="Times New Roman"/>
          <w:lang w:val="zh-CN"/>
        </w:rPr>
        <w:t>本项目对土壤可能产生影响的途径主要为污水的入渗，可能会有部分污染物进入土壤。本项目各功能区均采取“源头控制”、“分区防控”的防渗措施，可以防止污染物进入土壤造成土壤污染。项目产生的固体废物暂存满足“防风、防雨、防晒”的要求，经收集后均进行妥善处理，不会进去土壤环境。本项目危险废物</w:t>
      </w:r>
      <w:r>
        <w:rPr>
          <w:rFonts w:hint="eastAsia" w:cs="Times New Roman"/>
          <w:lang w:val="zh-CN"/>
        </w:rPr>
        <w:t>贮存库</w:t>
      </w:r>
      <w:r>
        <w:rPr>
          <w:rFonts w:cs="Times New Roman"/>
          <w:lang w:val="zh-CN"/>
        </w:rPr>
        <w:t>按《危险废物贮存污染控制标准》（GB18597-2023）相关要求进行设计建造。危险废物分类收集后，委托有资质的危险废物处置单位处置。整个过程基本可以杜绝危险废物接触土壤，不会对土壤环境造成影响。</w:t>
      </w:r>
    </w:p>
    <w:p>
      <w:pPr>
        <w:pStyle w:val="7"/>
        <w:ind w:firstLine="480"/>
        <w:rPr>
          <w:rFonts w:cs="Times New Roman"/>
          <w:lang w:val="zh-CN"/>
        </w:rPr>
      </w:pPr>
      <w:r>
        <w:rPr>
          <w:rFonts w:cs="Times New Roman"/>
          <w:lang w:val="zh-CN"/>
        </w:rPr>
        <w:t>本项目土壤环境影响评价自查表</w:t>
      </w:r>
      <w:r>
        <w:rPr>
          <w:rFonts w:hint="eastAsia" w:cs="Times New Roman"/>
          <w:lang w:val="zh-CN"/>
        </w:rPr>
        <w:t>5.2-17。</w:t>
      </w:r>
    </w:p>
    <w:p>
      <w:pPr>
        <w:pStyle w:val="36"/>
        <w:spacing w:before="156"/>
        <w:rPr>
          <w:rFonts w:eastAsia="宋体"/>
        </w:rPr>
      </w:pPr>
      <w:bookmarkStart w:id="85" w:name="_Ref111559854"/>
      <w:r>
        <w:rPr>
          <w:rFonts w:eastAsia="宋体"/>
        </w:rPr>
        <w:t>表</w:t>
      </w:r>
      <w:r>
        <w:rPr>
          <w:rFonts w:hint="eastAsia" w:eastAsia="宋体"/>
        </w:rPr>
        <w:t>5.2-17</w:t>
      </w:r>
      <w:bookmarkEnd w:id="85"/>
      <w:r>
        <w:rPr>
          <w:rFonts w:eastAsia="宋体"/>
        </w:rPr>
        <w:t xml:space="preserve">  土壤环境影响评价自查表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9"/>
        <w:gridCol w:w="1395"/>
        <w:gridCol w:w="1421"/>
        <w:gridCol w:w="1227"/>
        <w:gridCol w:w="954"/>
        <w:gridCol w:w="248"/>
        <w:gridCol w:w="1755"/>
        <w:gridCol w:w="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031" w:type="pct"/>
            <w:gridSpan w:val="2"/>
            <w:tcBorders>
              <w:tl2br w:val="nil"/>
              <w:tr2bl w:val="nil"/>
            </w:tcBorders>
            <w:vAlign w:val="center"/>
          </w:tcPr>
          <w:p>
            <w:pPr>
              <w:pStyle w:val="34"/>
            </w:pPr>
            <w:r>
              <w:t>工作内容</w:t>
            </w:r>
          </w:p>
        </w:tc>
        <w:tc>
          <w:tcPr>
            <w:tcW w:w="3372" w:type="pct"/>
            <w:gridSpan w:val="5"/>
            <w:tcBorders>
              <w:tl2br w:val="nil"/>
              <w:tr2bl w:val="nil"/>
            </w:tcBorders>
            <w:vAlign w:val="center"/>
          </w:tcPr>
          <w:p>
            <w:pPr>
              <w:pStyle w:val="34"/>
            </w:pPr>
            <w:r>
              <w:t>完成情况</w:t>
            </w:r>
          </w:p>
        </w:tc>
        <w:tc>
          <w:tcPr>
            <w:tcW w:w="596" w:type="pct"/>
            <w:tcBorders>
              <w:tl2br w:val="nil"/>
              <w:tr2bl w:val="nil"/>
            </w:tcBorders>
            <w:vAlign w:val="center"/>
          </w:tcPr>
          <w:p>
            <w:pPr>
              <w:pStyle w:val="34"/>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34"/>
            </w:pPr>
            <w:r>
              <w:t>影</w:t>
            </w:r>
          </w:p>
          <w:p>
            <w:pPr>
              <w:pStyle w:val="34"/>
            </w:pPr>
            <w:r>
              <w:t>响</w:t>
            </w:r>
          </w:p>
          <w:p>
            <w:pPr>
              <w:pStyle w:val="34"/>
            </w:pPr>
            <w:r>
              <w:t>识</w:t>
            </w:r>
          </w:p>
          <w:p>
            <w:pPr>
              <w:pStyle w:val="34"/>
            </w:pPr>
            <w:r>
              <w:t>别</w:t>
            </w:r>
          </w:p>
        </w:tc>
        <w:tc>
          <w:tcPr>
            <w:tcW w:w="839" w:type="pct"/>
            <w:tcBorders>
              <w:tl2br w:val="nil"/>
              <w:tr2bl w:val="nil"/>
            </w:tcBorders>
            <w:vAlign w:val="center"/>
          </w:tcPr>
          <w:p>
            <w:pPr>
              <w:pStyle w:val="34"/>
            </w:pPr>
            <w:r>
              <w:t>影响类型</w:t>
            </w:r>
          </w:p>
        </w:tc>
        <w:tc>
          <w:tcPr>
            <w:tcW w:w="3372" w:type="pct"/>
            <w:gridSpan w:val="5"/>
            <w:tcBorders>
              <w:tl2br w:val="nil"/>
              <w:tr2bl w:val="nil"/>
            </w:tcBorders>
            <w:vAlign w:val="center"/>
          </w:tcPr>
          <w:p>
            <w:pPr>
              <w:pStyle w:val="34"/>
            </w:pPr>
            <w:r>
              <w:t>污染影响型</w:t>
            </w:r>
            <w:r>
              <w:rPr/>
              <w:sym w:font="Wingdings 2" w:char="0052"/>
            </w:r>
            <w:r>
              <w:t>；生态影响型□；两种兼有□</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土地利用类型</w:t>
            </w:r>
          </w:p>
        </w:tc>
        <w:tc>
          <w:tcPr>
            <w:tcW w:w="3372" w:type="pct"/>
            <w:gridSpan w:val="5"/>
            <w:tcBorders>
              <w:tl2br w:val="nil"/>
              <w:tr2bl w:val="nil"/>
            </w:tcBorders>
            <w:vAlign w:val="center"/>
          </w:tcPr>
          <w:p>
            <w:pPr>
              <w:pStyle w:val="34"/>
            </w:pPr>
            <w:r>
              <w:t>建设用地</w:t>
            </w:r>
            <w:r>
              <w:rPr/>
              <w:sym w:font="Wingdings 2" w:char="0052"/>
            </w:r>
            <w:r>
              <w:t>；农用地□；未利用地□</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占地规模</w:t>
            </w:r>
          </w:p>
        </w:tc>
        <w:tc>
          <w:tcPr>
            <w:tcW w:w="3372" w:type="pct"/>
            <w:gridSpan w:val="5"/>
            <w:tcBorders>
              <w:tl2br w:val="nil"/>
              <w:tr2bl w:val="nil"/>
            </w:tcBorders>
            <w:vAlign w:val="center"/>
          </w:tcPr>
          <w:p>
            <w:pPr>
              <w:pStyle w:val="34"/>
            </w:pPr>
            <w:r>
              <w:t>（0.99744）hm</w:t>
            </w:r>
            <w:r>
              <w:rPr>
                <w:vertAlign w:val="superscript"/>
              </w:rPr>
              <w:t>2</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敏感目标信息</w:t>
            </w:r>
          </w:p>
        </w:tc>
        <w:tc>
          <w:tcPr>
            <w:tcW w:w="3372" w:type="pct"/>
            <w:gridSpan w:val="5"/>
            <w:tcBorders>
              <w:tl2br w:val="nil"/>
              <w:tr2bl w:val="nil"/>
            </w:tcBorders>
            <w:vAlign w:val="center"/>
          </w:tcPr>
          <w:p>
            <w:pPr>
              <w:pStyle w:val="34"/>
            </w:pPr>
            <w:r>
              <w:t>敏感目标（/）、方位（/）、距离（/）</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影响途径</w:t>
            </w:r>
          </w:p>
        </w:tc>
        <w:tc>
          <w:tcPr>
            <w:tcW w:w="3372" w:type="pct"/>
            <w:gridSpan w:val="5"/>
            <w:tcBorders>
              <w:tl2br w:val="nil"/>
              <w:tr2bl w:val="nil"/>
            </w:tcBorders>
            <w:vAlign w:val="center"/>
          </w:tcPr>
          <w:p>
            <w:pPr>
              <w:pStyle w:val="34"/>
            </w:pPr>
            <w:r>
              <w:t>大气沉降</w:t>
            </w:r>
            <w:r>
              <w:rPr/>
              <w:sym w:font="Wingdings 2" w:char="00A3"/>
            </w:r>
            <w:r>
              <w:t>；地面漫流□；垂直入渗</w:t>
            </w:r>
            <w:r>
              <w:rPr/>
              <w:sym w:font="Wingdings 2" w:char="0052"/>
            </w:r>
            <w:r>
              <w:t>；地下水位□；其他（   ）</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全部污染物</w:t>
            </w:r>
          </w:p>
        </w:tc>
        <w:tc>
          <w:tcPr>
            <w:tcW w:w="5605" w:type="dxa"/>
            <w:gridSpan w:val="5"/>
            <w:tcBorders>
              <w:tl2br w:val="nil"/>
              <w:tr2bl w:val="nil"/>
            </w:tcBorders>
            <w:vAlign w:val="center"/>
          </w:tcPr>
          <w:p>
            <w:pPr>
              <w:jc w:val="center"/>
              <w:rPr>
                <w:rFonts w:ascii="Times New Roman" w:hAnsi="Times New Roman"/>
              </w:rPr>
            </w:pPr>
            <w:r>
              <w:rPr>
                <w:rFonts w:ascii="Times New Roman" w:hAnsi="Times New Roman"/>
              </w:rPr>
              <w:t>pH、SS、COD、氨氮、BOD</w:t>
            </w:r>
            <w:r>
              <w:rPr>
                <w:rFonts w:ascii="Times New Roman" w:hAnsi="Times New Roman"/>
                <w:vertAlign w:val="subscript"/>
              </w:rPr>
              <w:t>5</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特征因子</w:t>
            </w:r>
          </w:p>
        </w:tc>
        <w:tc>
          <w:tcPr>
            <w:tcW w:w="5605" w:type="dxa"/>
            <w:gridSpan w:val="5"/>
            <w:tcBorders>
              <w:tl2br w:val="nil"/>
              <w:tr2bl w:val="nil"/>
            </w:tcBorders>
            <w:vAlign w:val="center"/>
          </w:tcPr>
          <w:p>
            <w:pPr>
              <w:jc w:val="center"/>
              <w:rPr>
                <w:rFonts w:ascii="Times New Roman" w:hAnsi="Times New Roman"/>
              </w:rPr>
            </w:pPr>
            <w:r>
              <w:rPr>
                <w:rFonts w:ascii="Times New Roman" w:hAnsi="Times New Roman"/>
              </w:rPr>
              <w:t>COD、氨氮</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所属土壤环境影响评价项目类别</w:t>
            </w:r>
          </w:p>
        </w:tc>
        <w:tc>
          <w:tcPr>
            <w:tcW w:w="3372" w:type="pct"/>
            <w:gridSpan w:val="5"/>
            <w:tcBorders>
              <w:tl2br w:val="nil"/>
              <w:tr2bl w:val="nil"/>
            </w:tcBorders>
            <w:vAlign w:val="center"/>
          </w:tcPr>
          <w:p>
            <w:pPr>
              <w:pStyle w:val="34"/>
            </w:pPr>
            <w:r>
              <w:t>Ⅰ类□；Ⅱ类□；Ⅲ类</w:t>
            </w:r>
            <w:r>
              <w:rPr/>
              <w:sym w:font="Wingdings 2" w:char="0052"/>
            </w:r>
            <w:r>
              <w:t>；Ⅳ类□</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敏感程度</w:t>
            </w:r>
          </w:p>
        </w:tc>
        <w:tc>
          <w:tcPr>
            <w:tcW w:w="3372" w:type="pct"/>
            <w:gridSpan w:val="5"/>
            <w:tcBorders>
              <w:tl2br w:val="nil"/>
              <w:tr2bl w:val="nil"/>
            </w:tcBorders>
            <w:vAlign w:val="center"/>
          </w:tcPr>
          <w:p>
            <w:pPr>
              <w:pStyle w:val="34"/>
            </w:pPr>
            <w:r>
              <w:t>敏感</w:t>
            </w:r>
            <w:r>
              <w:rPr/>
              <w:sym w:font="Wingdings 2" w:char="0052"/>
            </w:r>
            <w:r>
              <w:t>；较敏感□；不敏感□</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31" w:type="pct"/>
            <w:gridSpan w:val="2"/>
            <w:tcBorders>
              <w:tl2br w:val="nil"/>
              <w:tr2bl w:val="nil"/>
            </w:tcBorders>
            <w:vAlign w:val="center"/>
          </w:tcPr>
          <w:p>
            <w:pPr>
              <w:pStyle w:val="34"/>
            </w:pPr>
            <w:r>
              <w:t>评价工作等级</w:t>
            </w:r>
          </w:p>
        </w:tc>
        <w:tc>
          <w:tcPr>
            <w:tcW w:w="3372" w:type="pct"/>
            <w:gridSpan w:val="5"/>
            <w:tcBorders>
              <w:tl2br w:val="nil"/>
              <w:tr2bl w:val="nil"/>
            </w:tcBorders>
            <w:vAlign w:val="center"/>
          </w:tcPr>
          <w:p>
            <w:pPr>
              <w:pStyle w:val="34"/>
            </w:pPr>
            <w:r>
              <w:t>一级□；二级□；三级</w:t>
            </w:r>
            <w:r>
              <w:rPr/>
              <w:sym w:font="Wingdings 2" w:char="0052"/>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34"/>
            </w:pPr>
            <w:r>
              <w:t>现</w:t>
            </w:r>
          </w:p>
          <w:p>
            <w:pPr>
              <w:pStyle w:val="34"/>
            </w:pPr>
            <w:r>
              <w:t>状</w:t>
            </w:r>
          </w:p>
          <w:p>
            <w:pPr>
              <w:pStyle w:val="34"/>
            </w:pPr>
            <w:r>
              <w:t>调</w:t>
            </w:r>
          </w:p>
          <w:p>
            <w:pPr>
              <w:pStyle w:val="34"/>
            </w:pPr>
            <w:r>
              <w:t>查</w:t>
            </w:r>
          </w:p>
          <w:p>
            <w:pPr>
              <w:pStyle w:val="34"/>
            </w:pPr>
            <w:r>
              <w:t>内</w:t>
            </w:r>
          </w:p>
          <w:p>
            <w:pPr>
              <w:pStyle w:val="34"/>
            </w:pPr>
            <w:r>
              <w:t>容</w:t>
            </w:r>
          </w:p>
        </w:tc>
        <w:tc>
          <w:tcPr>
            <w:tcW w:w="839" w:type="pct"/>
            <w:tcBorders>
              <w:tl2br w:val="nil"/>
              <w:tr2bl w:val="nil"/>
            </w:tcBorders>
            <w:vAlign w:val="center"/>
          </w:tcPr>
          <w:p>
            <w:pPr>
              <w:pStyle w:val="34"/>
            </w:pPr>
            <w:r>
              <w:t>资料收集</w:t>
            </w:r>
          </w:p>
        </w:tc>
        <w:tc>
          <w:tcPr>
            <w:tcW w:w="3372" w:type="pct"/>
            <w:gridSpan w:val="5"/>
            <w:tcBorders>
              <w:tl2br w:val="nil"/>
              <w:tr2bl w:val="nil"/>
            </w:tcBorders>
            <w:vAlign w:val="center"/>
          </w:tcPr>
          <w:p>
            <w:pPr>
              <w:pStyle w:val="34"/>
            </w:pPr>
            <w:r>
              <w:t>a）</w:t>
            </w:r>
            <w:r>
              <w:rPr>
                <w:rFonts w:ascii="Segoe UI Symbol" w:hAnsi="Segoe UI Symbol" w:cs="Segoe UI Symbol"/>
              </w:rPr>
              <w:t>☑</w:t>
            </w:r>
            <w:r>
              <w:t>；b）</w:t>
            </w:r>
            <w:r>
              <w:rPr>
                <w:rFonts w:ascii="Segoe UI Symbol" w:hAnsi="Segoe UI Symbol" w:cs="Segoe UI Symbol"/>
              </w:rPr>
              <w:t>☑</w:t>
            </w:r>
            <w:r>
              <w:t>；c）</w:t>
            </w:r>
            <w:r>
              <w:rPr>
                <w:rFonts w:ascii="Segoe UI Symbol" w:hAnsi="Segoe UI Symbol" w:cs="Segoe UI Symbol"/>
              </w:rPr>
              <w:t>☑</w:t>
            </w:r>
            <w:r>
              <w:t>；d）</w:t>
            </w:r>
            <w:r>
              <w:rPr>
                <w:rFonts w:ascii="Segoe UI Symbol" w:hAnsi="Segoe UI Symbol" w:cs="Segoe UI Symbol"/>
              </w:rPr>
              <w:t>☑</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理化特性</w:t>
            </w:r>
          </w:p>
        </w:tc>
        <w:tc>
          <w:tcPr>
            <w:tcW w:w="3372" w:type="pct"/>
            <w:gridSpan w:val="5"/>
            <w:tcBorders>
              <w:tl2br w:val="nil"/>
              <w:tr2bl w:val="nil"/>
            </w:tcBorders>
            <w:vAlign w:val="center"/>
          </w:tcPr>
          <w:p>
            <w:pPr>
              <w:pStyle w:val="34"/>
            </w:pPr>
          </w:p>
        </w:tc>
        <w:tc>
          <w:tcPr>
            <w:tcW w:w="596" w:type="pct"/>
            <w:tcBorders>
              <w:tl2br w:val="nil"/>
              <w:tr2bl w:val="nil"/>
            </w:tcBorders>
            <w:vAlign w:val="center"/>
          </w:tcPr>
          <w:p>
            <w:pPr>
              <w:pStyle w:val="34"/>
            </w:pPr>
            <w:r>
              <w:fldChar w:fldCharType="begin"/>
            </w:r>
            <w:r>
              <w:instrText xml:space="preserve"> REF _Ref85211914 \h  \* MERGEFORMAT </w:instrText>
            </w:r>
            <w:r>
              <w:fldChar w:fldCharType="separate"/>
            </w:r>
            <w:r>
              <w:t>表4.2</w:t>
            </w:r>
            <w:r>
              <w:noBreakHyphen/>
            </w:r>
            <w:r>
              <w:t>8</w:t>
            </w:r>
            <w: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vMerge w:val="restart"/>
            <w:tcBorders>
              <w:tl2br w:val="nil"/>
              <w:tr2bl w:val="nil"/>
            </w:tcBorders>
            <w:vAlign w:val="center"/>
          </w:tcPr>
          <w:p>
            <w:pPr>
              <w:pStyle w:val="34"/>
            </w:pPr>
            <w:r>
              <w:t>现状监测点位</w:t>
            </w:r>
          </w:p>
        </w:tc>
        <w:tc>
          <w:tcPr>
            <w:tcW w:w="855" w:type="pct"/>
            <w:tcBorders>
              <w:tl2br w:val="nil"/>
              <w:tr2bl w:val="nil"/>
            </w:tcBorders>
            <w:vAlign w:val="center"/>
          </w:tcPr>
          <w:p>
            <w:pPr>
              <w:pStyle w:val="34"/>
            </w:pPr>
          </w:p>
        </w:tc>
        <w:tc>
          <w:tcPr>
            <w:tcW w:w="738" w:type="pct"/>
            <w:tcBorders>
              <w:tl2br w:val="nil"/>
              <w:tr2bl w:val="nil"/>
            </w:tcBorders>
            <w:vAlign w:val="center"/>
          </w:tcPr>
          <w:p>
            <w:pPr>
              <w:pStyle w:val="34"/>
            </w:pPr>
            <w:r>
              <w:t>占地范围内</w:t>
            </w:r>
          </w:p>
        </w:tc>
        <w:tc>
          <w:tcPr>
            <w:tcW w:w="723" w:type="pct"/>
            <w:gridSpan w:val="2"/>
            <w:tcBorders>
              <w:tl2br w:val="nil"/>
              <w:tr2bl w:val="nil"/>
            </w:tcBorders>
            <w:vAlign w:val="center"/>
          </w:tcPr>
          <w:p>
            <w:pPr>
              <w:pStyle w:val="34"/>
            </w:pPr>
            <w:r>
              <w:t>占地范围外</w:t>
            </w:r>
          </w:p>
        </w:tc>
        <w:tc>
          <w:tcPr>
            <w:tcW w:w="1056" w:type="pct"/>
            <w:tcBorders>
              <w:tl2br w:val="nil"/>
              <w:tr2bl w:val="nil"/>
            </w:tcBorders>
            <w:vAlign w:val="center"/>
          </w:tcPr>
          <w:p>
            <w:pPr>
              <w:pStyle w:val="34"/>
            </w:pPr>
            <w:r>
              <w:t>深度</w:t>
            </w:r>
          </w:p>
        </w:tc>
        <w:tc>
          <w:tcPr>
            <w:tcW w:w="596" w:type="pct"/>
            <w:vMerge w:val="restart"/>
            <w:tcBorders>
              <w:tl2br w:val="nil"/>
              <w:tr2bl w:val="nil"/>
            </w:tcBorders>
            <w:vAlign w:val="center"/>
          </w:tcPr>
          <w:p>
            <w:pPr>
              <w:pStyle w:val="34"/>
            </w:pPr>
            <w:r>
              <w:t>点位布置图</w:t>
            </w:r>
            <w:r>
              <w:rPr>
                <w:rFonts w:hint="eastAsia"/>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vMerge w:val="continue"/>
            <w:tcBorders>
              <w:tl2br w:val="nil"/>
              <w:tr2bl w:val="nil"/>
            </w:tcBorders>
            <w:vAlign w:val="center"/>
          </w:tcPr>
          <w:p>
            <w:pPr>
              <w:pStyle w:val="34"/>
            </w:pPr>
          </w:p>
        </w:tc>
        <w:tc>
          <w:tcPr>
            <w:tcW w:w="855" w:type="pct"/>
            <w:tcBorders>
              <w:tl2br w:val="nil"/>
              <w:tr2bl w:val="nil"/>
            </w:tcBorders>
            <w:vAlign w:val="center"/>
          </w:tcPr>
          <w:p>
            <w:pPr>
              <w:pStyle w:val="34"/>
            </w:pPr>
            <w:r>
              <w:t>表层样点数</w:t>
            </w:r>
          </w:p>
        </w:tc>
        <w:tc>
          <w:tcPr>
            <w:tcW w:w="738" w:type="pct"/>
            <w:tcBorders>
              <w:tl2br w:val="nil"/>
              <w:tr2bl w:val="nil"/>
            </w:tcBorders>
            <w:vAlign w:val="center"/>
          </w:tcPr>
          <w:p>
            <w:pPr>
              <w:pStyle w:val="34"/>
            </w:pPr>
            <w:r>
              <w:t>3</w:t>
            </w:r>
          </w:p>
        </w:tc>
        <w:tc>
          <w:tcPr>
            <w:tcW w:w="723" w:type="pct"/>
            <w:gridSpan w:val="2"/>
            <w:tcBorders>
              <w:tl2br w:val="nil"/>
              <w:tr2bl w:val="nil"/>
            </w:tcBorders>
            <w:vAlign w:val="center"/>
          </w:tcPr>
          <w:p>
            <w:pPr>
              <w:pStyle w:val="34"/>
            </w:pPr>
            <w:r>
              <w:t>0</w:t>
            </w:r>
          </w:p>
        </w:tc>
        <w:tc>
          <w:tcPr>
            <w:tcW w:w="1056" w:type="pct"/>
            <w:tcBorders>
              <w:tl2br w:val="nil"/>
              <w:tr2bl w:val="nil"/>
            </w:tcBorders>
            <w:vAlign w:val="center"/>
          </w:tcPr>
          <w:p>
            <w:pPr>
              <w:pStyle w:val="34"/>
            </w:pPr>
            <w:r>
              <w:t>0.2</w:t>
            </w:r>
          </w:p>
        </w:tc>
        <w:tc>
          <w:tcPr>
            <w:tcW w:w="596"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vMerge w:val="continue"/>
            <w:tcBorders>
              <w:tl2br w:val="nil"/>
              <w:tr2bl w:val="nil"/>
            </w:tcBorders>
            <w:vAlign w:val="center"/>
          </w:tcPr>
          <w:p>
            <w:pPr>
              <w:pStyle w:val="34"/>
            </w:pPr>
          </w:p>
        </w:tc>
        <w:tc>
          <w:tcPr>
            <w:tcW w:w="855" w:type="pct"/>
            <w:tcBorders>
              <w:tl2br w:val="nil"/>
              <w:tr2bl w:val="nil"/>
            </w:tcBorders>
            <w:vAlign w:val="center"/>
          </w:tcPr>
          <w:p>
            <w:pPr>
              <w:pStyle w:val="34"/>
            </w:pPr>
            <w:r>
              <w:t>柱状样点数</w:t>
            </w:r>
          </w:p>
        </w:tc>
        <w:tc>
          <w:tcPr>
            <w:tcW w:w="738" w:type="pct"/>
            <w:tcBorders>
              <w:tl2br w:val="nil"/>
              <w:tr2bl w:val="nil"/>
            </w:tcBorders>
            <w:vAlign w:val="center"/>
          </w:tcPr>
          <w:p>
            <w:pPr>
              <w:pStyle w:val="34"/>
            </w:pPr>
            <w:r>
              <w:t>0</w:t>
            </w:r>
          </w:p>
        </w:tc>
        <w:tc>
          <w:tcPr>
            <w:tcW w:w="723" w:type="pct"/>
            <w:gridSpan w:val="2"/>
            <w:tcBorders>
              <w:tl2br w:val="nil"/>
              <w:tr2bl w:val="nil"/>
            </w:tcBorders>
            <w:vAlign w:val="center"/>
          </w:tcPr>
          <w:p>
            <w:pPr>
              <w:pStyle w:val="34"/>
            </w:pPr>
            <w:r>
              <w:t>0</w:t>
            </w:r>
          </w:p>
        </w:tc>
        <w:tc>
          <w:tcPr>
            <w:tcW w:w="1056" w:type="pct"/>
            <w:tcBorders>
              <w:tl2br w:val="nil"/>
              <w:tr2bl w:val="nil"/>
            </w:tcBorders>
            <w:vAlign w:val="center"/>
          </w:tcPr>
          <w:p>
            <w:pPr>
              <w:pStyle w:val="34"/>
            </w:pPr>
            <w:r>
              <w:t>/</w:t>
            </w:r>
          </w:p>
        </w:tc>
        <w:tc>
          <w:tcPr>
            <w:tcW w:w="596"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现状监测因子</w:t>
            </w:r>
          </w:p>
        </w:tc>
        <w:tc>
          <w:tcPr>
            <w:tcW w:w="3372" w:type="pct"/>
            <w:gridSpan w:val="5"/>
            <w:tcBorders>
              <w:tl2br w:val="nil"/>
              <w:tr2bl w:val="nil"/>
            </w:tcBorders>
            <w:vAlign w:val="center"/>
          </w:tcPr>
          <w:p>
            <w:pPr>
              <w:pStyle w:val="34"/>
            </w:pPr>
            <w:r>
              <w:t>45项</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34"/>
            </w:pPr>
            <w:r>
              <w:t>现</w:t>
            </w:r>
          </w:p>
          <w:p>
            <w:pPr>
              <w:pStyle w:val="34"/>
            </w:pPr>
            <w:r>
              <w:t>状</w:t>
            </w:r>
          </w:p>
          <w:p>
            <w:pPr>
              <w:pStyle w:val="34"/>
            </w:pPr>
            <w:r>
              <w:t>评</w:t>
            </w:r>
          </w:p>
          <w:p>
            <w:pPr>
              <w:pStyle w:val="34"/>
            </w:pPr>
            <w:r>
              <w:t>价</w:t>
            </w:r>
          </w:p>
        </w:tc>
        <w:tc>
          <w:tcPr>
            <w:tcW w:w="839" w:type="pct"/>
            <w:tcBorders>
              <w:tl2br w:val="nil"/>
              <w:tr2bl w:val="nil"/>
            </w:tcBorders>
            <w:vAlign w:val="center"/>
          </w:tcPr>
          <w:p>
            <w:pPr>
              <w:pStyle w:val="34"/>
            </w:pPr>
            <w:r>
              <w:t>评价因子</w:t>
            </w:r>
          </w:p>
        </w:tc>
        <w:tc>
          <w:tcPr>
            <w:tcW w:w="3372" w:type="pct"/>
            <w:gridSpan w:val="5"/>
            <w:tcBorders>
              <w:tl2br w:val="nil"/>
              <w:tr2bl w:val="nil"/>
            </w:tcBorders>
            <w:vAlign w:val="center"/>
          </w:tcPr>
          <w:p>
            <w:pPr>
              <w:pStyle w:val="34"/>
            </w:pPr>
            <w:r>
              <w:t>45项</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评价标准</w:t>
            </w:r>
          </w:p>
        </w:tc>
        <w:tc>
          <w:tcPr>
            <w:tcW w:w="3372" w:type="pct"/>
            <w:gridSpan w:val="5"/>
            <w:tcBorders>
              <w:tl2br w:val="nil"/>
              <w:tr2bl w:val="nil"/>
            </w:tcBorders>
            <w:vAlign w:val="center"/>
          </w:tcPr>
          <w:p>
            <w:pPr>
              <w:pStyle w:val="34"/>
            </w:pPr>
            <w:r>
              <w:t>GB 15618□；GB 36600</w:t>
            </w:r>
            <w:r>
              <w:rPr/>
              <w:sym w:font="Wingdings 2" w:char="0052"/>
            </w:r>
            <w:r>
              <w:t>；表D.1□；表 D.2□；其他（）</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现状评价结论</w:t>
            </w:r>
          </w:p>
        </w:tc>
        <w:tc>
          <w:tcPr>
            <w:tcW w:w="3372" w:type="pct"/>
            <w:gridSpan w:val="5"/>
            <w:tcBorders>
              <w:tl2br w:val="nil"/>
              <w:tr2bl w:val="nil"/>
            </w:tcBorders>
            <w:vAlign w:val="center"/>
          </w:tcPr>
          <w:p>
            <w:pPr>
              <w:pStyle w:val="34"/>
            </w:pPr>
            <w:r>
              <w:t>各监测点土壤中的各监测因子均能满足《土壤环境质量标准 建设用地土壤污染风险管控标准（试行）》（GB36600-2018）第二类用地筛选值</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34"/>
            </w:pPr>
            <w:r>
              <w:t>影</w:t>
            </w:r>
          </w:p>
          <w:p>
            <w:pPr>
              <w:pStyle w:val="34"/>
            </w:pPr>
            <w:r>
              <w:t>响</w:t>
            </w:r>
          </w:p>
          <w:p>
            <w:pPr>
              <w:pStyle w:val="34"/>
            </w:pPr>
            <w:r>
              <w:t>预</w:t>
            </w:r>
          </w:p>
          <w:p>
            <w:pPr>
              <w:pStyle w:val="34"/>
            </w:pPr>
            <w:r>
              <w:t>测</w:t>
            </w:r>
          </w:p>
        </w:tc>
        <w:tc>
          <w:tcPr>
            <w:tcW w:w="839" w:type="pct"/>
            <w:tcBorders>
              <w:tl2br w:val="nil"/>
              <w:tr2bl w:val="nil"/>
            </w:tcBorders>
            <w:vAlign w:val="center"/>
          </w:tcPr>
          <w:p>
            <w:pPr>
              <w:pStyle w:val="34"/>
            </w:pPr>
            <w:r>
              <w:t>预测因子</w:t>
            </w:r>
          </w:p>
        </w:tc>
        <w:tc>
          <w:tcPr>
            <w:tcW w:w="3372" w:type="pct"/>
            <w:gridSpan w:val="5"/>
            <w:tcBorders>
              <w:tl2br w:val="nil"/>
              <w:tr2bl w:val="nil"/>
            </w:tcBorders>
            <w:vAlign w:val="center"/>
          </w:tcPr>
          <w:p>
            <w:pPr>
              <w:pStyle w:val="34"/>
            </w:pPr>
            <w:r>
              <w:t>无</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预测方法</w:t>
            </w:r>
          </w:p>
        </w:tc>
        <w:tc>
          <w:tcPr>
            <w:tcW w:w="3372" w:type="pct"/>
            <w:gridSpan w:val="5"/>
            <w:tcBorders>
              <w:tl2br w:val="nil"/>
              <w:tr2bl w:val="nil"/>
            </w:tcBorders>
            <w:vAlign w:val="center"/>
          </w:tcPr>
          <w:p>
            <w:pPr>
              <w:pStyle w:val="34"/>
            </w:pPr>
            <w:r>
              <w:t>附录</w:t>
            </w:r>
            <w:r>
              <w:rPr>
                <w:spacing w:val="-46"/>
              </w:rPr>
              <w:t xml:space="preserve"> </w:t>
            </w:r>
            <w:r>
              <w:t>E□；附录</w:t>
            </w:r>
            <w:r>
              <w:rPr>
                <w:spacing w:val="-45"/>
              </w:rPr>
              <w:t xml:space="preserve"> </w:t>
            </w:r>
            <w:r>
              <w:t>F□；其他（   ）</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预测分析内容</w:t>
            </w:r>
          </w:p>
        </w:tc>
        <w:tc>
          <w:tcPr>
            <w:tcW w:w="3372" w:type="pct"/>
            <w:gridSpan w:val="5"/>
            <w:tcBorders>
              <w:tl2br w:val="nil"/>
              <w:tr2bl w:val="nil"/>
            </w:tcBorders>
            <w:vAlign w:val="center"/>
          </w:tcPr>
          <w:p>
            <w:pPr>
              <w:pStyle w:val="34"/>
            </w:pPr>
            <w:r>
              <w:t>影响范围（ 厂内   ）</w:t>
            </w:r>
          </w:p>
          <w:p>
            <w:pPr>
              <w:pStyle w:val="34"/>
            </w:pPr>
            <w:r>
              <w:t>影响程度（ 小  ）</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预测结论</w:t>
            </w:r>
          </w:p>
        </w:tc>
        <w:tc>
          <w:tcPr>
            <w:tcW w:w="3372" w:type="pct"/>
            <w:gridSpan w:val="5"/>
            <w:tcBorders>
              <w:tl2br w:val="nil"/>
              <w:tr2bl w:val="nil"/>
            </w:tcBorders>
            <w:vAlign w:val="center"/>
          </w:tcPr>
          <w:p>
            <w:pPr>
              <w:pStyle w:val="34"/>
            </w:pPr>
            <w:r>
              <w:t>达标结论：a）</w:t>
            </w:r>
            <w:r>
              <w:rPr>
                <w:rFonts w:ascii="Segoe UI Symbol" w:hAnsi="Segoe UI Symbol" w:cs="Segoe UI Symbol"/>
              </w:rPr>
              <w:t>☑</w:t>
            </w:r>
            <w:r>
              <w:t>；b）□；c）□</w:t>
            </w:r>
          </w:p>
          <w:p>
            <w:pPr>
              <w:pStyle w:val="34"/>
            </w:pPr>
            <w:r>
              <w:t>不达标结论：a）□；b）□</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34"/>
            </w:pPr>
            <w:r>
              <w:t>防</w:t>
            </w:r>
          </w:p>
          <w:p>
            <w:pPr>
              <w:pStyle w:val="34"/>
            </w:pPr>
            <w:r>
              <w:t>治</w:t>
            </w:r>
          </w:p>
          <w:p>
            <w:pPr>
              <w:pStyle w:val="34"/>
            </w:pPr>
            <w:r>
              <w:t>措</w:t>
            </w:r>
          </w:p>
          <w:p>
            <w:pPr>
              <w:pStyle w:val="34"/>
            </w:pPr>
            <w:r>
              <w:t>施</w:t>
            </w:r>
          </w:p>
        </w:tc>
        <w:tc>
          <w:tcPr>
            <w:tcW w:w="839" w:type="pct"/>
            <w:tcBorders>
              <w:tl2br w:val="nil"/>
              <w:tr2bl w:val="nil"/>
            </w:tcBorders>
            <w:vAlign w:val="center"/>
          </w:tcPr>
          <w:p>
            <w:pPr>
              <w:pStyle w:val="34"/>
            </w:pPr>
            <w:r>
              <w:t>防控措施</w:t>
            </w:r>
          </w:p>
        </w:tc>
        <w:tc>
          <w:tcPr>
            <w:tcW w:w="3372" w:type="pct"/>
            <w:gridSpan w:val="5"/>
            <w:tcBorders>
              <w:tl2br w:val="nil"/>
              <w:tr2bl w:val="nil"/>
            </w:tcBorders>
            <w:vAlign w:val="center"/>
          </w:tcPr>
          <w:p>
            <w:pPr>
              <w:pStyle w:val="34"/>
            </w:pPr>
            <w:r>
              <w:t>土壤环境质量现状保障</w:t>
            </w:r>
            <w:r>
              <w:rPr/>
              <w:sym w:font="Wingdings 2" w:char="0052"/>
            </w:r>
            <w:r>
              <w:t>；源头控制</w:t>
            </w:r>
            <w:r>
              <w:rPr/>
              <w:sym w:font="Wingdings 2" w:char="0052"/>
            </w:r>
            <w:r>
              <w:t>；过程防控</w:t>
            </w:r>
            <w:r>
              <w:rPr/>
              <w:sym w:font="Wingdings 2" w:char="00A3"/>
            </w:r>
            <w:r>
              <w:t>；其他（   ）</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vMerge w:val="restart"/>
            <w:tcBorders>
              <w:tl2br w:val="nil"/>
              <w:tr2bl w:val="nil"/>
            </w:tcBorders>
            <w:vAlign w:val="center"/>
          </w:tcPr>
          <w:p>
            <w:pPr>
              <w:pStyle w:val="34"/>
            </w:pPr>
            <w:r>
              <w:t>跟踪监测</w:t>
            </w:r>
          </w:p>
        </w:tc>
        <w:tc>
          <w:tcPr>
            <w:tcW w:w="1593" w:type="pct"/>
            <w:gridSpan w:val="2"/>
            <w:tcBorders>
              <w:tl2br w:val="nil"/>
              <w:tr2bl w:val="nil"/>
            </w:tcBorders>
            <w:vAlign w:val="center"/>
          </w:tcPr>
          <w:p>
            <w:pPr>
              <w:pStyle w:val="34"/>
            </w:pPr>
            <w:r>
              <w:t>监测点数</w:t>
            </w:r>
          </w:p>
        </w:tc>
        <w:tc>
          <w:tcPr>
            <w:tcW w:w="574" w:type="pct"/>
            <w:tcBorders>
              <w:tl2br w:val="nil"/>
              <w:tr2bl w:val="nil"/>
            </w:tcBorders>
            <w:vAlign w:val="center"/>
          </w:tcPr>
          <w:p>
            <w:pPr>
              <w:pStyle w:val="34"/>
            </w:pPr>
            <w:r>
              <w:t>监测指标</w:t>
            </w:r>
          </w:p>
        </w:tc>
        <w:tc>
          <w:tcPr>
            <w:tcW w:w="1205" w:type="pct"/>
            <w:gridSpan w:val="2"/>
            <w:tcBorders>
              <w:tl2br w:val="nil"/>
              <w:tr2bl w:val="nil"/>
            </w:tcBorders>
            <w:vAlign w:val="center"/>
          </w:tcPr>
          <w:p>
            <w:pPr>
              <w:pStyle w:val="34"/>
            </w:pPr>
            <w:r>
              <w:t>监测频次</w:t>
            </w:r>
          </w:p>
        </w:tc>
        <w:tc>
          <w:tcPr>
            <w:tcW w:w="596" w:type="pct"/>
            <w:vMerge w:val="restar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vMerge w:val="continue"/>
            <w:tcBorders>
              <w:tl2br w:val="nil"/>
              <w:tr2bl w:val="nil"/>
            </w:tcBorders>
            <w:vAlign w:val="center"/>
          </w:tcPr>
          <w:p>
            <w:pPr>
              <w:pStyle w:val="34"/>
            </w:pPr>
          </w:p>
        </w:tc>
        <w:tc>
          <w:tcPr>
            <w:tcW w:w="1593" w:type="pct"/>
            <w:gridSpan w:val="2"/>
            <w:tcBorders>
              <w:tl2br w:val="nil"/>
              <w:tr2bl w:val="nil"/>
            </w:tcBorders>
            <w:vAlign w:val="center"/>
          </w:tcPr>
          <w:p>
            <w:pPr>
              <w:pStyle w:val="34"/>
            </w:pPr>
            <w:r>
              <w:t>0</w:t>
            </w:r>
          </w:p>
        </w:tc>
        <w:tc>
          <w:tcPr>
            <w:tcW w:w="574" w:type="pct"/>
            <w:tcBorders>
              <w:tl2br w:val="nil"/>
              <w:tr2bl w:val="nil"/>
            </w:tcBorders>
            <w:vAlign w:val="center"/>
          </w:tcPr>
          <w:p>
            <w:pPr>
              <w:pStyle w:val="34"/>
            </w:pPr>
            <w:r>
              <w:t>/</w:t>
            </w:r>
          </w:p>
        </w:tc>
        <w:tc>
          <w:tcPr>
            <w:tcW w:w="1205" w:type="pct"/>
            <w:gridSpan w:val="2"/>
            <w:tcBorders>
              <w:tl2br w:val="nil"/>
              <w:tr2bl w:val="nil"/>
            </w:tcBorders>
            <w:vAlign w:val="center"/>
          </w:tcPr>
          <w:p>
            <w:pPr>
              <w:pStyle w:val="34"/>
            </w:pPr>
            <w:r>
              <w:t>/</w:t>
            </w:r>
          </w:p>
        </w:tc>
        <w:tc>
          <w:tcPr>
            <w:tcW w:w="596"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34"/>
            </w:pPr>
          </w:p>
        </w:tc>
        <w:tc>
          <w:tcPr>
            <w:tcW w:w="839" w:type="pct"/>
            <w:tcBorders>
              <w:tl2br w:val="nil"/>
              <w:tr2bl w:val="nil"/>
            </w:tcBorders>
            <w:vAlign w:val="center"/>
          </w:tcPr>
          <w:p>
            <w:pPr>
              <w:pStyle w:val="34"/>
            </w:pPr>
            <w:r>
              <w:t>信息公开指标</w:t>
            </w:r>
          </w:p>
        </w:tc>
        <w:tc>
          <w:tcPr>
            <w:tcW w:w="3372" w:type="pct"/>
            <w:gridSpan w:val="5"/>
            <w:tcBorders>
              <w:tl2br w:val="nil"/>
              <w:tr2bl w:val="nil"/>
            </w:tcBorders>
            <w:vAlign w:val="center"/>
          </w:tcPr>
          <w:p>
            <w:pPr>
              <w:pStyle w:val="34"/>
            </w:pPr>
            <w:r>
              <w:t>/</w:t>
            </w:r>
          </w:p>
        </w:tc>
        <w:tc>
          <w:tcPr>
            <w:tcW w:w="596"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31" w:type="pct"/>
            <w:gridSpan w:val="2"/>
            <w:tcBorders>
              <w:tl2br w:val="nil"/>
              <w:tr2bl w:val="nil"/>
            </w:tcBorders>
            <w:vAlign w:val="center"/>
          </w:tcPr>
          <w:p>
            <w:pPr>
              <w:pStyle w:val="34"/>
            </w:pPr>
            <w:r>
              <w:t>评价结论</w:t>
            </w:r>
          </w:p>
        </w:tc>
        <w:tc>
          <w:tcPr>
            <w:tcW w:w="3372" w:type="pct"/>
            <w:gridSpan w:val="5"/>
            <w:tcBorders>
              <w:tl2br w:val="nil"/>
              <w:tr2bl w:val="nil"/>
            </w:tcBorders>
            <w:vAlign w:val="center"/>
          </w:tcPr>
          <w:p>
            <w:pPr>
              <w:pStyle w:val="34"/>
            </w:pPr>
            <w:r>
              <w:t>本项目对土壤环境的影响是可以接受的</w:t>
            </w:r>
          </w:p>
        </w:tc>
        <w:tc>
          <w:tcPr>
            <w:tcW w:w="596"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00" w:type="pct"/>
            <w:gridSpan w:val="8"/>
            <w:tcBorders>
              <w:tl2br w:val="nil"/>
              <w:tr2bl w:val="nil"/>
            </w:tcBorders>
            <w:vAlign w:val="center"/>
          </w:tcPr>
          <w:p>
            <w:pPr>
              <w:pStyle w:val="34"/>
            </w:pPr>
            <w:r>
              <w:t>注 1：“□”为勾选项，可√；“（ ）”为内容填写项；“备注”为其他补充内容。</w:t>
            </w:r>
          </w:p>
          <w:p>
            <w:pPr>
              <w:pStyle w:val="34"/>
            </w:pPr>
            <w:r>
              <w:t>注 2：需要分别开展土壤环境影响评级工作的，分别填写自查表。</w:t>
            </w:r>
          </w:p>
        </w:tc>
      </w:tr>
    </w:tbl>
    <w:p>
      <w:pPr>
        <w:pStyle w:val="5"/>
        <w:spacing w:after="0" w:afterLines="0"/>
        <w:rPr>
          <w:rFonts w:cs="Times New Roman"/>
        </w:rPr>
      </w:pPr>
      <w:r>
        <w:rPr>
          <w:rFonts w:cs="Times New Roman"/>
        </w:rPr>
        <w:t>运营期生态影响分析</w:t>
      </w:r>
    </w:p>
    <w:p>
      <w:pPr>
        <w:pStyle w:val="7"/>
        <w:ind w:firstLine="480"/>
        <w:rPr>
          <w:rFonts w:cs="Times New Roman"/>
        </w:rPr>
      </w:pPr>
      <w:r>
        <w:rPr>
          <w:rFonts w:cs="Times New Roman"/>
        </w:rPr>
        <w:t>本项目为小型工业项目，建设将导致占地范围内植被损失。对动物的影响主要表现为人为活动和噪声干扰影响，经现场核实，项目厂界周边由于人类活动频繁，未发现野生动物栖息地，且动物活动较为稀少，因此，本项目建设对周边生态环境产生影响较小。</w:t>
      </w:r>
    </w:p>
    <w:p>
      <w:pPr>
        <w:pStyle w:val="36"/>
        <w:spacing w:before="156"/>
        <w:rPr>
          <w:rFonts w:eastAsia="宋体"/>
        </w:rPr>
      </w:pPr>
      <w:r>
        <w:rPr>
          <w:rFonts w:eastAsia="宋体"/>
        </w:rPr>
        <w:t>表</w:t>
      </w:r>
      <w:r>
        <w:rPr>
          <w:rFonts w:hint="eastAsia" w:eastAsia="宋体"/>
        </w:rPr>
        <w:t>5.2-18</w:t>
      </w:r>
      <w:r>
        <w:rPr>
          <w:rFonts w:eastAsia="宋体"/>
        </w:rPr>
        <w:t xml:space="preserve">  生态影响评价自查表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530"/>
        <w:gridCol w:w="5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0" w:type="pct"/>
            <w:gridSpan w:val="2"/>
            <w:tcBorders>
              <w:tl2br w:val="nil"/>
              <w:tr2bl w:val="nil"/>
            </w:tcBorders>
          </w:tcPr>
          <w:p>
            <w:pPr>
              <w:pStyle w:val="34"/>
            </w:pPr>
            <w:r>
              <w:t>工作内容</w:t>
            </w:r>
          </w:p>
        </w:tc>
        <w:tc>
          <w:tcPr>
            <w:tcW w:w="3440" w:type="pct"/>
            <w:tcBorders>
              <w:tl2br w:val="nil"/>
              <w:tr2bl w:val="nil"/>
            </w:tcBorders>
          </w:tcPr>
          <w:p>
            <w:pPr>
              <w:pStyle w:val="34"/>
            </w:pPr>
            <w: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restart"/>
            <w:tcBorders>
              <w:tl2br w:val="nil"/>
              <w:tr2bl w:val="nil"/>
            </w:tcBorders>
          </w:tcPr>
          <w:p>
            <w:pPr>
              <w:pStyle w:val="34"/>
            </w:pPr>
            <w:r>
              <w:t>生态影响识别</w:t>
            </w:r>
          </w:p>
        </w:tc>
        <w:tc>
          <w:tcPr>
            <w:tcW w:w="897" w:type="pct"/>
            <w:tcBorders>
              <w:tl2br w:val="nil"/>
              <w:tr2bl w:val="nil"/>
            </w:tcBorders>
          </w:tcPr>
          <w:p>
            <w:pPr>
              <w:pStyle w:val="34"/>
            </w:pPr>
            <w:r>
              <w:t>生态保护目标</w:t>
            </w:r>
          </w:p>
        </w:tc>
        <w:tc>
          <w:tcPr>
            <w:tcW w:w="3440" w:type="pct"/>
            <w:tcBorders>
              <w:tl2br w:val="nil"/>
              <w:tr2bl w:val="nil"/>
            </w:tcBorders>
          </w:tcPr>
          <w:p>
            <w:pPr>
              <w:pStyle w:val="34"/>
            </w:pPr>
            <w:r>
              <w:t>重要物种□；国家公园□；自然保护区□；自然公园□；世界自然遗产□；生态保护红线□；重要生境□；其他具有重要生态功能、对保护生物多样性具有重要意义的区域□；其他□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影响方式</w:t>
            </w:r>
          </w:p>
        </w:tc>
        <w:tc>
          <w:tcPr>
            <w:tcW w:w="3440" w:type="pct"/>
            <w:tcBorders>
              <w:tl2br w:val="nil"/>
              <w:tr2bl w:val="nil"/>
            </w:tcBorders>
          </w:tcPr>
          <w:p>
            <w:pPr>
              <w:pStyle w:val="34"/>
            </w:pPr>
            <w:r>
              <w:t>工程占用□；施工活动干扰□；改变环境条件□；其他□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评价因子</w:t>
            </w:r>
          </w:p>
        </w:tc>
        <w:tc>
          <w:tcPr>
            <w:tcW w:w="3440" w:type="pct"/>
            <w:tcBorders>
              <w:tl2br w:val="nil"/>
              <w:tr2bl w:val="nil"/>
            </w:tcBorders>
          </w:tcPr>
          <w:p>
            <w:pPr>
              <w:pStyle w:val="34"/>
            </w:pPr>
            <w:r>
              <w:t>物种□（种群结构）</w:t>
            </w:r>
          </w:p>
          <w:p>
            <w:pPr>
              <w:pStyle w:val="34"/>
            </w:pPr>
            <w:r>
              <w:t>生境□（无）</w:t>
            </w:r>
          </w:p>
          <w:p>
            <w:pPr>
              <w:pStyle w:val="34"/>
            </w:pPr>
            <w:r>
              <w:t>生物群落□（物种组成、群落结构）</w:t>
            </w:r>
          </w:p>
          <w:p>
            <w:pPr>
              <w:pStyle w:val="34"/>
            </w:pPr>
            <w:r>
              <w:t>生态系统□（          无                      ）</w:t>
            </w:r>
          </w:p>
          <w:p>
            <w:pPr>
              <w:pStyle w:val="34"/>
            </w:pPr>
            <w:r>
              <w:t xml:space="preserve">生物多样性□（       </w:t>
            </w:r>
            <w:r>
              <w:rPr>
                <w:rFonts w:hint="eastAsia"/>
              </w:rPr>
              <w:t xml:space="preserve"> </w:t>
            </w:r>
            <w:r>
              <w:t>无                      ）</w:t>
            </w:r>
          </w:p>
          <w:p>
            <w:pPr>
              <w:pStyle w:val="34"/>
            </w:pPr>
            <w:r>
              <w:t xml:space="preserve">生态敏感区□（       </w:t>
            </w:r>
            <w:r>
              <w:rPr>
                <w:rFonts w:hint="eastAsia"/>
              </w:rPr>
              <w:t xml:space="preserve"> </w:t>
            </w:r>
            <w:r>
              <w:t>无                      ）</w:t>
            </w:r>
          </w:p>
          <w:p>
            <w:pPr>
              <w:pStyle w:val="34"/>
            </w:pPr>
            <w:r>
              <w:t xml:space="preserve">自然景观□（         </w:t>
            </w:r>
            <w:r>
              <w:rPr>
                <w:rFonts w:hint="eastAsia"/>
              </w:rPr>
              <w:t xml:space="preserve"> </w:t>
            </w:r>
            <w:r>
              <w:t>无                      ）</w:t>
            </w:r>
          </w:p>
          <w:p>
            <w:pPr>
              <w:pStyle w:val="34"/>
            </w:pPr>
            <w:r>
              <w:t xml:space="preserve">自然遗迹□（        </w:t>
            </w:r>
            <w:r>
              <w:rPr>
                <w:rFonts w:hint="eastAsia"/>
              </w:rPr>
              <w:t xml:space="preserve">  </w:t>
            </w:r>
            <w:r>
              <w:t>无                      ）</w:t>
            </w:r>
          </w:p>
          <w:p>
            <w:pPr>
              <w:pStyle w:val="34"/>
            </w:pPr>
            <w:r>
              <w:t xml:space="preserve">其他□（         </w:t>
            </w:r>
            <w:r>
              <w:rPr>
                <w:rFonts w:hint="eastAsia"/>
              </w:rPr>
              <w:t xml:space="preserve">    </w:t>
            </w:r>
            <w:r>
              <w:t xml:space="preserve"> 无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0" w:type="pct"/>
            <w:gridSpan w:val="2"/>
            <w:tcBorders>
              <w:tl2br w:val="nil"/>
              <w:tr2bl w:val="nil"/>
            </w:tcBorders>
          </w:tcPr>
          <w:p>
            <w:pPr>
              <w:pStyle w:val="34"/>
            </w:pPr>
            <w:r>
              <w:t>评价等级</w:t>
            </w:r>
          </w:p>
        </w:tc>
        <w:tc>
          <w:tcPr>
            <w:tcW w:w="3440" w:type="pct"/>
            <w:tcBorders>
              <w:tl2br w:val="nil"/>
              <w:tr2bl w:val="nil"/>
            </w:tcBorders>
          </w:tcPr>
          <w:p>
            <w:pPr>
              <w:pStyle w:val="34"/>
            </w:pPr>
            <w:r>
              <w:t>一级□      二级□      三级</w:t>
            </w:r>
            <w:r>
              <w:rPr>
                <w:rFonts w:ascii="Segoe UI Symbol" w:hAnsi="Segoe UI Symbol" w:cs="Segoe UI Symbol"/>
              </w:rPr>
              <w:t>☑</w:t>
            </w:r>
            <w:r>
              <w:t xml:space="preserve">      生态影响简单分析□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0" w:type="pct"/>
            <w:gridSpan w:val="2"/>
            <w:tcBorders>
              <w:tl2br w:val="nil"/>
              <w:tr2bl w:val="nil"/>
            </w:tcBorders>
          </w:tcPr>
          <w:p>
            <w:pPr>
              <w:pStyle w:val="34"/>
            </w:pPr>
            <w:r>
              <w:t>评价范围</w:t>
            </w:r>
          </w:p>
        </w:tc>
        <w:tc>
          <w:tcPr>
            <w:tcW w:w="3440" w:type="pct"/>
            <w:tcBorders>
              <w:tl2br w:val="nil"/>
              <w:tr2bl w:val="nil"/>
            </w:tcBorders>
          </w:tcPr>
          <w:p>
            <w:pPr>
              <w:pStyle w:val="34"/>
            </w:pPr>
            <w:r>
              <w:t>陆域面积：（0.01）km</w:t>
            </w:r>
            <w:r>
              <w:rPr>
                <w:vertAlign w:val="superscript"/>
              </w:rPr>
              <w:t>2</w:t>
            </w:r>
            <w:r>
              <w:t>；水域面积：（    0    ）km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restart"/>
            <w:tcBorders>
              <w:tl2br w:val="nil"/>
              <w:tr2bl w:val="nil"/>
            </w:tcBorders>
          </w:tcPr>
          <w:p>
            <w:pPr>
              <w:pStyle w:val="34"/>
            </w:pPr>
            <w:r>
              <w:t>生态现状调查与评价</w:t>
            </w:r>
          </w:p>
        </w:tc>
        <w:tc>
          <w:tcPr>
            <w:tcW w:w="897" w:type="pct"/>
            <w:tcBorders>
              <w:tl2br w:val="nil"/>
              <w:tr2bl w:val="nil"/>
            </w:tcBorders>
          </w:tcPr>
          <w:p>
            <w:pPr>
              <w:pStyle w:val="34"/>
            </w:pPr>
            <w:r>
              <w:t>调查方法</w:t>
            </w:r>
          </w:p>
        </w:tc>
        <w:tc>
          <w:tcPr>
            <w:tcW w:w="3440" w:type="pct"/>
            <w:tcBorders>
              <w:tl2br w:val="nil"/>
              <w:tr2bl w:val="nil"/>
            </w:tcBorders>
          </w:tcPr>
          <w:p>
            <w:pPr>
              <w:pStyle w:val="34"/>
            </w:pPr>
            <w:r>
              <w:t>资料收集</w:t>
            </w:r>
            <w:r>
              <w:rPr>
                <w:rFonts w:ascii="Segoe UI Symbol" w:hAnsi="Segoe UI Symbol" w:cs="Segoe UI Symbol"/>
              </w:rPr>
              <w:t>☑</w:t>
            </w:r>
            <w:r>
              <w:t>；遥感调查□；调查样方、样线□；调查点位、断面□；专家和公众咨询法□；其他□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调查时间</w:t>
            </w:r>
          </w:p>
        </w:tc>
        <w:tc>
          <w:tcPr>
            <w:tcW w:w="3440" w:type="pct"/>
            <w:tcBorders>
              <w:tl2br w:val="nil"/>
              <w:tr2bl w:val="nil"/>
            </w:tcBorders>
          </w:tcPr>
          <w:p>
            <w:pPr>
              <w:pStyle w:val="34"/>
            </w:pPr>
            <w:r>
              <w:t>春季□；夏季□；秋季□；冬季□</w:t>
            </w:r>
          </w:p>
          <w:p>
            <w:pPr>
              <w:pStyle w:val="34"/>
            </w:pPr>
            <w:r>
              <w:t>丰水期□；枯水期□；平水期□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所在区域的生态问题</w:t>
            </w:r>
          </w:p>
        </w:tc>
        <w:tc>
          <w:tcPr>
            <w:tcW w:w="3440" w:type="pct"/>
            <w:tcBorders>
              <w:tl2br w:val="nil"/>
              <w:tr2bl w:val="nil"/>
            </w:tcBorders>
          </w:tcPr>
          <w:p>
            <w:pPr>
              <w:pStyle w:val="34"/>
            </w:pPr>
            <w:r>
              <w:t>水土流失□；沙漠化□；石漠化□；盐渍化□；生物入侵□；污染危害□；其他□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评价内容</w:t>
            </w:r>
          </w:p>
        </w:tc>
        <w:tc>
          <w:tcPr>
            <w:tcW w:w="3440" w:type="pct"/>
            <w:tcBorders>
              <w:tl2br w:val="nil"/>
              <w:tr2bl w:val="nil"/>
            </w:tcBorders>
          </w:tcPr>
          <w:p>
            <w:pPr>
              <w:pStyle w:val="34"/>
            </w:pPr>
            <w:r>
              <w:t>植被/植物群落</w:t>
            </w:r>
            <w:r>
              <w:rPr>
                <w:rFonts w:ascii="Segoe UI Symbol" w:hAnsi="Segoe UI Symbol" w:cs="Segoe UI Symbol"/>
              </w:rPr>
              <w:t>☑</w:t>
            </w:r>
            <w:r>
              <w:t>；土地利用□；生态系统□；生物多样性□；重要物种□；生态敏感区□；其他□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restart"/>
            <w:tcBorders>
              <w:tl2br w:val="nil"/>
              <w:tr2bl w:val="nil"/>
            </w:tcBorders>
          </w:tcPr>
          <w:p>
            <w:pPr>
              <w:pStyle w:val="34"/>
            </w:pPr>
            <w:r>
              <w:t>生态影响预测与评价</w:t>
            </w:r>
          </w:p>
        </w:tc>
        <w:tc>
          <w:tcPr>
            <w:tcW w:w="897" w:type="pct"/>
            <w:tcBorders>
              <w:tl2br w:val="nil"/>
              <w:tr2bl w:val="nil"/>
            </w:tcBorders>
          </w:tcPr>
          <w:p>
            <w:pPr>
              <w:pStyle w:val="34"/>
            </w:pPr>
            <w:r>
              <w:t>评价方法</w:t>
            </w:r>
          </w:p>
        </w:tc>
        <w:tc>
          <w:tcPr>
            <w:tcW w:w="3440" w:type="pct"/>
            <w:tcBorders>
              <w:tl2br w:val="nil"/>
              <w:tr2bl w:val="nil"/>
            </w:tcBorders>
          </w:tcPr>
          <w:p>
            <w:pPr>
              <w:pStyle w:val="34"/>
            </w:pPr>
            <w:r>
              <w:t>定性</w:t>
            </w:r>
            <w:r>
              <w:rPr>
                <w:rFonts w:ascii="Segoe UI Symbol" w:hAnsi="Segoe UI Symbol" w:cs="Segoe UI Symbol"/>
              </w:rPr>
              <w:t>☑</w:t>
            </w:r>
            <w:r>
              <w:t>；定性和定量□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评价内容</w:t>
            </w:r>
          </w:p>
        </w:tc>
        <w:tc>
          <w:tcPr>
            <w:tcW w:w="3440" w:type="pct"/>
            <w:tcBorders>
              <w:tl2br w:val="nil"/>
              <w:tr2bl w:val="nil"/>
            </w:tcBorders>
          </w:tcPr>
          <w:p>
            <w:pPr>
              <w:pStyle w:val="34"/>
            </w:pPr>
            <w:r>
              <w:t>植被/植物群落</w:t>
            </w:r>
            <w:r>
              <w:rPr>
                <w:rFonts w:ascii="Segoe UI Symbol" w:hAnsi="Segoe UI Symbol" w:cs="Segoe UI Symbol"/>
              </w:rPr>
              <w:t>☑</w:t>
            </w:r>
            <w:r>
              <w:t>；土地利用□；生态系统□；生物多样性□；重要物种□；生态敏感区□；生物入侵风险□；其他□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restart"/>
            <w:tcBorders>
              <w:tl2br w:val="nil"/>
              <w:tr2bl w:val="nil"/>
            </w:tcBorders>
          </w:tcPr>
          <w:p>
            <w:pPr>
              <w:pStyle w:val="34"/>
            </w:pPr>
            <w:r>
              <w:t>生态保护对策措施</w:t>
            </w:r>
          </w:p>
        </w:tc>
        <w:tc>
          <w:tcPr>
            <w:tcW w:w="897" w:type="pct"/>
            <w:tcBorders>
              <w:tl2br w:val="nil"/>
              <w:tr2bl w:val="nil"/>
            </w:tcBorders>
          </w:tcPr>
          <w:p>
            <w:pPr>
              <w:pStyle w:val="34"/>
            </w:pPr>
            <w:r>
              <w:t>对策措施</w:t>
            </w:r>
          </w:p>
        </w:tc>
        <w:tc>
          <w:tcPr>
            <w:tcW w:w="3440" w:type="pct"/>
            <w:tcBorders>
              <w:tl2br w:val="nil"/>
              <w:tr2bl w:val="nil"/>
            </w:tcBorders>
          </w:tcPr>
          <w:p>
            <w:pPr>
              <w:pStyle w:val="34"/>
            </w:pPr>
            <w:r>
              <w:t>避让□；减缓□；生态修复□；生态补偿□；科研□；其他</w:t>
            </w:r>
            <w:r>
              <w:rPr>
                <w:rFonts w:ascii="Segoe UI Symbol" w:hAnsi="Segoe UI Symbol" w:cs="Segoe UI Symbo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生态监测计划</w:t>
            </w:r>
          </w:p>
        </w:tc>
        <w:tc>
          <w:tcPr>
            <w:tcW w:w="3440" w:type="pct"/>
            <w:tcBorders>
              <w:tl2br w:val="nil"/>
              <w:tr2bl w:val="nil"/>
            </w:tcBorders>
          </w:tcPr>
          <w:p>
            <w:pPr>
              <w:pStyle w:val="34"/>
            </w:pPr>
            <w:r>
              <w:t>全生命周期□；长期跟踪□；常规□；无</w:t>
            </w:r>
            <w:r>
              <w:rPr>
                <w:rFonts w:ascii="Segoe UI Symbol" w:hAnsi="Segoe UI Symbol" w:cs="Segoe UI Symbo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vMerge w:val="continue"/>
            <w:tcBorders>
              <w:tl2br w:val="nil"/>
              <w:tr2bl w:val="nil"/>
            </w:tcBorders>
          </w:tcPr>
          <w:p>
            <w:pPr>
              <w:pStyle w:val="34"/>
            </w:pPr>
          </w:p>
        </w:tc>
        <w:tc>
          <w:tcPr>
            <w:tcW w:w="897" w:type="pct"/>
            <w:tcBorders>
              <w:tl2br w:val="nil"/>
              <w:tr2bl w:val="nil"/>
            </w:tcBorders>
          </w:tcPr>
          <w:p>
            <w:pPr>
              <w:pStyle w:val="34"/>
            </w:pPr>
            <w:r>
              <w:t>环境管理</w:t>
            </w:r>
          </w:p>
        </w:tc>
        <w:tc>
          <w:tcPr>
            <w:tcW w:w="3440" w:type="pct"/>
            <w:tcBorders>
              <w:tl2br w:val="nil"/>
              <w:tr2bl w:val="nil"/>
            </w:tcBorders>
          </w:tcPr>
          <w:p>
            <w:pPr>
              <w:pStyle w:val="34"/>
            </w:pPr>
            <w:r>
              <w:t>环境监理□；环境影响后评价□；其他</w:t>
            </w:r>
            <w:r>
              <w:rPr>
                <w:rFonts w:ascii="Segoe UI Symbol" w:hAnsi="Segoe UI Symbol" w:cs="Segoe UI Symbo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tcBorders>
              <w:tl2br w:val="nil"/>
              <w:tr2bl w:val="nil"/>
            </w:tcBorders>
          </w:tcPr>
          <w:p>
            <w:pPr>
              <w:pStyle w:val="34"/>
            </w:pPr>
            <w:r>
              <w:t>评价结论</w:t>
            </w:r>
          </w:p>
        </w:tc>
        <w:tc>
          <w:tcPr>
            <w:tcW w:w="897" w:type="pct"/>
            <w:tcBorders>
              <w:tl2br w:val="nil"/>
              <w:tr2bl w:val="nil"/>
            </w:tcBorders>
          </w:tcPr>
          <w:p>
            <w:pPr>
              <w:pStyle w:val="34"/>
            </w:pPr>
            <w:r>
              <w:t>生态影响</w:t>
            </w:r>
          </w:p>
        </w:tc>
        <w:tc>
          <w:tcPr>
            <w:tcW w:w="3440" w:type="pct"/>
            <w:tcBorders>
              <w:tl2br w:val="nil"/>
              <w:tr2bl w:val="nil"/>
            </w:tcBorders>
          </w:tcPr>
          <w:p>
            <w:pPr>
              <w:pStyle w:val="34"/>
            </w:pPr>
            <w:r>
              <w:t>可行</w:t>
            </w:r>
            <w:r>
              <w:rPr>
                <w:rFonts w:ascii="Segoe UI Symbol" w:hAnsi="Segoe UI Symbol" w:cs="Segoe UI Symbol"/>
              </w:rPr>
              <w:t>☑</w:t>
            </w:r>
            <w:r>
              <w:t>；不可行□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l2br w:val="nil"/>
              <w:tr2bl w:val="nil"/>
            </w:tcBorders>
          </w:tcPr>
          <w:p>
            <w:pPr>
              <w:pStyle w:val="34"/>
            </w:pPr>
            <w:r>
              <w:t>注：“□”为勾选项，可√；“（  ）”为内容填写项。</w:t>
            </w:r>
          </w:p>
        </w:tc>
      </w:tr>
    </w:tbl>
    <w:p>
      <w:pPr>
        <w:pStyle w:val="4"/>
        <w:spacing w:before="156" w:after="156"/>
        <w:rPr>
          <w:rFonts w:eastAsia="宋体"/>
        </w:rPr>
      </w:pPr>
      <w:bookmarkStart w:id="86" w:name="_Toc115007127"/>
      <w:bookmarkStart w:id="87" w:name="_Toc31057"/>
      <w:r>
        <w:rPr>
          <w:rFonts w:eastAsia="宋体"/>
        </w:rPr>
        <w:t>环境风险评价</w:t>
      </w:r>
      <w:bookmarkEnd w:id="86"/>
      <w:bookmarkEnd w:id="87"/>
    </w:p>
    <w:p>
      <w:pPr>
        <w:pStyle w:val="5"/>
        <w:rPr>
          <w:rFonts w:cs="Times New Roman"/>
        </w:rPr>
      </w:pPr>
      <w:r>
        <w:rPr>
          <w:rFonts w:cs="Times New Roman"/>
        </w:rPr>
        <w:t>环境风险评价目的</w:t>
      </w:r>
    </w:p>
    <w:p>
      <w:pPr>
        <w:pStyle w:val="7"/>
        <w:ind w:firstLine="480"/>
      </w:pPr>
      <w:r>
        <w:t>根据《建设项目环境风险评价技术导则》（HJ169-2018）（以下简称风险导则），建设项目环境风险评价是对建设项目的环境风险进行分析、预测和评估，提出环境风险预防、控制、减缓措施，明确环境风险监控及应急建议要求，为建设项目环境风险防控提供科学依据。</w:t>
      </w:r>
    </w:p>
    <w:p>
      <w:pPr>
        <w:pStyle w:val="7"/>
        <w:ind w:firstLine="480"/>
      </w:pPr>
      <w:r>
        <w:t>本次环境风险评价将把风险事故引起厂界外环境质量的恶化及对人群健康影响的预测和防护作为评价工作重点。按照风险导则规定的方法，通过分析该工程项目中主要物料的危险性和毒性，识别其潜在危险源并提出防治措施，达到降低风险性、降低危害程度，保护环境的目的。</w:t>
      </w:r>
    </w:p>
    <w:p>
      <w:pPr>
        <w:pStyle w:val="5"/>
      </w:pPr>
      <w:r>
        <w:t>评价依据</w:t>
      </w:r>
    </w:p>
    <w:p>
      <w:pPr>
        <w:pStyle w:val="6"/>
        <w:snapToGrid/>
      </w:pPr>
      <w:r>
        <w:t>风险调查</w:t>
      </w:r>
    </w:p>
    <w:p>
      <w:pPr>
        <w:pStyle w:val="7"/>
        <w:ind w:firstLine="480"/>
      </w:pPr>
      <w:r>
        <w:t>根据工程分析，本项目不涉及危险物质，滴灌带及其原料主要成分是聚乙烯，聚乙烯无毒、无臭、化学稳定性好。项目生产过程产生的废气主要成分为非甲烷总烃，其浓度较低，无燃烧、爆炸等危险性。项目也不存在风险导则定义的高温、高压生产工艺。</w:t>
      </w:r>
    </w:p>
    <w:p>
      <w:pPr>
        <w:pStyle w:val="6"/>
      </w:pPr>
      <w:r>
        <w:t>环境风险评价工作等级</w:t>
      </w:r>
    </w:p>
    <w:p>
      <w:pPr>
        <w:pStyle w:val="7"/>
        <w:ind w:firstLine="480"/>
      </w:pPr>
      <w:r>
        <w:t>本项目原辅材料为废旧滴灌带、聚乙烯颗粒、黑色母、抗老化剂等，中间产品为再生塑料颗粒料，产品为滴灌带</w:t>
      </w:r>
      <w:r>
        <w:rPr>
          <w:rFonts w:hint="eastAsia"/>
        </w:rPr>
        <w:t>和水带</w:t>
      </w:r>
      <w:r>
        <w:t>，项目生产过程不涉及风险导则附录B中的危险物质。因此本项目Q值为0，环境风险潜势为Ⅰ，环境风险评价工作等级为简单分析。</w:t>
      </w:r>
    </w:p>
    <w:p>
      <w:pPr>
        <w:pStyle w:val="5"/>
        <w:rPr>
          <w:rFonts w:cs="Times New Roman"/>
        </w:rPr>
      </w:pPr>
      <w:r>
        <w:rPr>
          <w:rFonts w:cs="Times New Roman"/>
        </w:rPr>
        <w:t>环境风险识别</w:t>
      </w:r>
    </w:p>
    <w:p>
      <w:pPr>
        <w:pStyle w:val="7"/>
        <w:ind w:firstLine="480"/>
      </w:pPr>
      <w:r>
        <w:t>根据《关于进一步加强环境影响评价管理防范环境风险的通知》（环发 [2012]77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pPr>
        <w:pStyle w:val="6"/>
      </w:pPr>
      <w:r>
        <w:t>风险识别的范围和类型</w:t>
      </w:r>
    </w:p>
    <w:p>
      <w:pPr>
        <w:pStyle w:val="7"/>
        <w:ind w:firstLine="480"/>
      </w:pPr>
      <w:r>
        <w:t>根据风险导则要求，环境风险识别包括三个方面的内容：</w:t>
      </w:r>
    </w:p>
    <w:p>
      <w:pPr>
        <w:pStyle w:val="7"/>
        <w:ind w:firstLine="480"/>
      </w:pPr>
      <w:r>
        <w:t>（1）物质危险性识别，包括主要原辅材料、燃料、中间产品、副产品、最终产品、污染物、火灾和爆炸伴生/次生物等。</w:t>
      </w:r>
    </w:p>
    <w:p>
      <w:pPr>
        <w:pStyle w:val="7"/>
        <w:ind w:firstLine="480"/>
      </w:pPr>
      <w:r>
        <w:t>（2）生产系统危险性识别，包括主要生产装置、储运设施、公用工程和辅助生产设施，以及环境保护设施等。</w:t>
      </w:r>
    </w:p>
    <w:p>
      <w:pPr>
        <w:pStyle w:val="7"/>
        <w:ind w:firstLine="480"/>
      </w:pPr>
      <w:r>
        <w:t>（3）危险物质向环境转移的途径识别，包括分析危险物质特性及可能的环境风险类型，识别危险物质影响环境的途径，分析可能影响的环境敏感目标。</w:t>
      </w:r>
    </w:p>
    <w:p>
      <w:pPr>
        <w:pStyle w:val="6"/>
      </w:pPr>
      <w:r>
        <w:t>物质危险性识别</w:t>
      </w:r>
    </w:p>
    <w:p>
      <w:pPr>
        <w:pStyle w:val="7"/>
        <w:ind w:firstLine="480"/>
      </w:pPr>
      <w:r>
        <w:t>根据工程分析，本项目不涉及危险物质，滴灌带及其原料主要成分是聚乙烯，聚乙烯无毒、无臭、化学稳定性好。项目生产过程产生的废气主要成分为非甲烷总烃，其浓度较低，无燃烧、爆炸等危险性。</w:t>
      </w:r>
    </w:p>
    <w:p>
      <w:pPr>
        <w:pStyle w:val="6"/>
      </w:pPr>
      <w:r>
        <w:t>生产设施及生产过程危险性识别</w:t>
      </w:r>
    </w:p>
    <w:p>
      <w:pPr>
        <w:pStyle w:val="7"/>
        <w:ind w:firstLine="480"/>
      </w:pPr>
      <w:r>
        <w:t>本项目生产工艺中熔融挤出机控制温度为180-200℃左右、滴灌带挤塑温度为170℃左右，设备不属于高温设备，也不涉及危险物质。</w:t>
      </w:r>
    </w:p>
    <w:p>
      <w:pPr>
        <w:pStyle w:val="5"/>
        <w:rPr>
          <w:rFonts w:cs="Times New Roman"/>
        </w:rPr>
      </w:pPr>
      <w:r>
        <w:rPr>
          <w:rFonts w:cs="Times New Roman"/>
        </w:rPr>
        <w:t>环境风险影响分析</w:t>
      </w:r>
    </w:p>
    <w:p>
      <w:pPr>
        <w:pStyle w:val="7"/>
        <w:ind w:firstLine="480"/>
      </w:pPr>
      <w:r>
        <w:t>根据项目使用的物质分析，对照风险评价导则中物质危险性标准，本项目无环境风险物质。项目可能存在的风险事故为废旧塑料及滴灌带</w:t>
      </w:r>
      <w:r>
        <w:rPr>
          <w:rFonts w:hint="eastAsia"/>
        </w:rPr>
        <w:t>/水带</w:t>
      </w:r>
      <w:r>
        <w:t>等塑料制品发生火灾，以及火灾后产生的废气污染物及消防废水可能产生的环境污染。</w:t>
      </w:r>
    </w:p>
    <w:p>
      <w:pPr>
        <w:pStyle w:val="7"/>
        <w:ind w:firstLine="480"/>
      </w:pPr>
      <w:r>
        <w:t>火灾次生污染物对周围环境的影响：塑料燃烧过程，在高温的作用下，塑料中的各类有机物发生分解，其中含有一氧化碳和多种有机物成分，如果吸入可能会对身体造成损害，必须保证发生火灾事故时，厂内工作人员及下风向200m范围内人员能够及时疏散。</w:t>
      </w:r>
    </w:p>
    <w:p>
      <w:pPr>
        <w:pStyle w:val="7"/>
        <w:ind w:firstLine="480"/>
      </w:pPr>
      <w:r>
        <w:t>火灾消防废水对周围水环境的影响：火灾后如果使用消防水灭火，大量消防水会夹带吸收的物质在车间及厂区内漫流，扩散到周围环境，会带来一定的污染，本项目应杜绝消防水直接外排。</w:t>
      </w:r>
    </w:p>
    <w:p>
      <w:pPr>
        <w:pStyle w:val="7"/>
        <w:ind w:firstLine="480"/>
      </w:pPr>
      <w:r>
        <w:t>本项目主要的环境风险因素为火灾事故伴生/次生CO、有机废气污染物造成局部大气污染，建设单位采取了相应的风险防范措施，最大限度地降低事故发生的概率，减小事故发生时造成的不利影响，其环境风险在可接受范围内。</w:t>
      </w:r>
    </w:p>
    <w:p>
      <w:pPr>
        <w:pStyle w:val="7"/>
        <w:ind w:firstLine="480"/>
        <w:rPr>
          <w:rFonts w:cs="Times New Roman"/>
        </w:rPr>
      </w:pPr>
      <w:r>
        <w:t>本项目</w:t>
      </w:r>
      <w:r>
        <w:rPr>
          <w:rFonts w:hint="eastAsia"/>
        </w:rPr>
        <w:t>循环沉淀池</w:t>
      </w:r>
      <w:r>
        <w:t>可兼做事故池，容积约为</w:t>
      </w:r>
      <w:r>
        <w:rPr>
          <w:rFonts w:hint="eastAsia"/>
        </w:rPr>
        <w:t>4</w:t>
      </w:r>
      <w:r>
        <w:t>00m³，容纳火灾事故后的废水。消防事故结束后进行沉淀处理，本项目消防废水水质简单，沉淀隔渣后，可作为废塑料清洗用水。</w:t>
      </w:r>
    </w:p>
    <w:p>
      <w:pPr>
        <w:pStyle w:val="5"/>
        <w:rPr>
          <w:rFonts w:cs="Times New Roman"/>
        </w:rPr>
      </w:pPr>
      <w:r>
        <w:rPr>
          <w:rFonts w:cs="Times New Roman"/>
        </w:rPr>
        <w:t>环境风险防范措施及应急要求</w:t>
      </w:r>
    </w:p>
    <w:p>
      <w:pPr>
        <w:pStyle w:val="6"/>
      </w:pPr>
      <w:r>
        <w:t>环境风险防范措施</w:t>
      </w:r>
    </w:p>
    <w:p>
      <w:pPr>
        <w:pStyle w:val="7"/>
        <w:ind w:firstLine="480"/>
      </w:pPr>
      <w:r>
        <w:t>为进一步减少环境风险事故，评价提出以下风险防范措施：</w:t>
      </w:r>
    </w:p>
    <w:p>
      <w:pPr>
        <w:pStyle w:val="7"/>
        <w:ind w:firstLine="480"/>
      </w:pPr>
      <w:r>
        <w:rPr>
          <w:rFonts w:hint="eastAsia"/>
        </w:rPr>
        <w:t>①</w:t>
      </w:r>
      <w:r>
        <w:t>产品包装整齐，贮存于仓库阴凉、干燥、通风处。</w:t>
      </w:r>
    </w:p>
    <w:p>
      <w:pPr>
        <w:pStyle w:val="7"/>
        <w:ind w:firstLine="480"/>
      </w:pPr>
      <w:r>
        <w:rPr>
          <w:rFonts w:hint="eastAsia"/>
        </w:rPr>
        <w:t>②</w:t>
      </w:r>
      <w:r>
        <w:t>严格遵守安全防火规定，贮存区应配备足够的消防器材，日常专人巡查仓库，并定期检修消防器材。</w:t>
      </w:r>
    </w:p>
    <w:p>
      <w:pPr>
        <w:pStyle w:val="7"/>
        <w:ind w:firstLine="480"/>
      </w:pPr>
      <w:r>
        <w:rPr>
          <w:rFonts w:hint="eastAsia"/>
        </w:rPr>
        <w:t>③</w:t>
      </w:r>
      <w:r>
        <w:t>建立安全生产制度，加强安全教育、宣传及培训，严格生产操作规范，定期检查生产设备，杜绝生产事故发生。</w:t>
      </w:r>
    </w:p>
    <w:p>
      <w:pPr>
        <w:pStyle w:val="7"/>
        <w:ind w:firstLine="480"/>
      </w:pPr>
      <w:r>
        <w:rPr>
          <w:rFonts w:hint="eastAsia"/>
        </w:rPr>
        <w:t>④</w:t>
      </w:r>
      <w:r>
        <w:t>制定应急预案。在日常应强化管理和培训，提高操作人员的技术素质，一旦发生突发事故，应立即启动应急预案，采取急救措施，并及时向当地生态环境等有关部门报告，把风险危害减小到最低水平。</w:t>
      </w:r>
    </w:p>
    <w:p>
      <w:pPr>
        <w:pStyle w:val="7"/>
        <w:ind w:firstLine="480"/>
      </w:pPr>
      <w:r>
        <w:rPr>
          <w:rFonts w:hint="eastAsia"/>
        </w:rPr>
        <w:t>⑤循环沉淀池</w:t>
      </w:r>
      <w:r>
        <w:t>兼做事故池，在发生风险事故时，将产生的事故废水暂存于废水池中。</w:t>
      </w:r>
    </w:p>
    <w:p>
      <w:pPr>
        <w:pStyle w:val="6"/>
      </w:pPr>
      <w:r>
        <w:t>环境风险应急预案</w:t>
      </w:r>
    </w:p>
    <w:p>
      <w:pPr>
        <w:pStyle w:val="7"/>
        <w:ind w:firstLine="480"/>
      </w:pPr>
      <w:r>
        <w:t>本项目环境应急预案作为事故风险防范和应急对策的重要组成部分，应急组织机构应制定应急计划，其基本内容应包括应急组织、应急设施、应急通讯联络、应急监测、应急安全保卫、应急撤离措施、应急救援、应急状态中止、事故后果评价和应急报告等。应急预案主要内容及要求见</w:t>
      </w:r>
      <w:r>
        <w:rPr>
          <w:rFonts w:hint="eastAsia"/>
        </w:rPr>
        <w:t>表5.3-1</w:t>
      </w:r>
      <w:r>
        <w:t>。</w:t>
      </w:r>
    </w:p>
    <w:p>
      <w:pPr>
        <w:pStyle w:val="36"/>
        <w:spacing w:before="156"/>
        <w:rPr>
          <w:rFonts w:eastAsia="宋体"/>
        </w:rPr>
      </w:pPr>
      <w:bookmarkStart w:id="88" w:name="_Ref111563678"/>
      <w:r>
        <w:rPr>
          <w:rFonts w:eastAsia="宋体"/>
        </w:rPr>
        <w:t>表</w:t>
      </w:r>
      <w:r>
        <w:rPr>
          <w:rFonts w:hint="eastAsia" w:eastAsia="宋体"/>
        </w:rPr>
        <w:t>5.3-1</w:t>
      </w:r>
      <w:bookmarkEnd w:id="88"/>
      <w:r>
        <w:rPr>
          <w:rFonts w:eastAsia="宋体"/>
        </w:rPr>
        <w:t xml:space="preserve">  环境风险应急预案内容及要求</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8"/>
        <w:gridCol w:w="2997"/>
        <w:gridCol w:w="4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序号</w:t>
            </w:r>
          </w:p>
        </w:tc>
        <w:tc>
          <w:tcPr>
            <w:tcW w:w="1803" w:type="pct"/>
            <w:tcMar>
              <w:left w:w="0" w:type="dxa"/>
              <w:right w:w="0" w:type="dxa"/>
            </w:tcMar>
            <w:vAlign w:val="center"/>
          </w:tcPr>
          <w:p>
            <w:pPr>
              <w:pStyle w:val="34"/>
            </w:pPr>
            <w:r>
              <w:t>项目</w:t>
            </w:r>
          </w:p>
        </w:tc>
        <w:tc>
          <w:tcPr>
            <w:tcW w:w="2783" w:type="pct"/>
            <w:tcMar>
              <w:left w:w="0" w:type="dxa"/>
              <w:right w:w="0" w:type="dxa"/>
            </w:tcMar>
            <w:vAlign w:val="center"/>
          </w:tcPr>
          <w:p>
            <w:pPr>
              <w:pStyle w:val="34"/>
            </w:pPr>
            <w: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1</w:t>
            </w:r>
          </w:p>
        </w:tc>
        <w:tc>
          <w:tcPr>
            <w:tcW w:w="1803" w:type="pct"/>
            <w:tcMar>
              <w:left w:w="0" w:type="dxa"/>
              <w:right w:w="0" w:type="dxa"/>
            </w:tcMar>
            <w:vAlign w:val="center"/>
          </w:tcPr>
          <w:p>
            <w:pPr>
              <w:pStyle w:val="34"/>
              <w:ind w:left="105" w:leftChars="50"/>
              <w:jc w:val="left"/>
            </w:pPr>
            <w:r>
              <w:t>应急计划区</w:t>
            </w:r>
          </w:p>
        </w:tc>
        <w:tc>
          <w:tcPr>
            <w:tcW w:w="2783" w:type="pct"/>
            <w:tcMar>
              <w:left w:w="0" w:type="dxa"/>
              <w:right w:w="0" w:type="dxa"/>
            </w:tcMar>
            <w:vAlign w:val="center"/>
          </w:tcPr>
          <w:p>
            <w:pPr>
              <w:pStyle w:val="34"/>
              <w:ind w:left="105" w:leftChars="50"/>
              <w:jc w:val="left"/>
            </w:pPr>
            <w:r>
              <w:t>危险目标：生产区。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2</w:t>
            </w:r>
          </w:p>
        </w:tc>
        <w:tc>
          <w:tcPr>
            <w:tcW w:w="1803" w:type="pct"/>
            <w:tcMar>
              <w:left w:w="0" w:type="dxa"/>
              <w:right w:w="0" w:type="dxa"/>
            </w:tcMar>
            <w:vAlign w:val="center"/>
          </w:tcPr>
          <w:p>
            <w:pPr>
              <w:pStyle w:val="34"/>
              <w:ind w:left="105" w:leftChars="50"/>
              <w:jc w:val="left"/>
            </w:pPr>
            <w:r>
              <w:t>应急组织机构、人员</w:t>
            </w:r>
          </w:p>
        </w:tc>
        <w:tc>
          <w:tcPr>
            <w:tcW w:w="2783" w:type="pct"/>
            <w:tcMar>
              <w:left w:w="0" w:type="dxa"/>
              <w:right w:w="0" w:type="dxa"/>
            </w:tcMar>
            <w:vAlign w:val="center"/>
          </w:tcPr>
          <w:p>
            <w:pPr>
              <w:pStyle w:val="34"/>
              <w:ind w:left="105" w:leftChars="50"/>
              <w:jc w:val="left"/>
            </w:pPr>
            <w:r>
              <w:t>工厂、地区应急组织机构、人员。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3</w:t>
            </w:r>
          </w:p>
        </w:tc>
        <w:tc>
          <w:tcPr>
            <w:tcW w:w="1803" w:type="pct"/>
            <w:tcMar>
              <w:left w:w="0" w:type="dxa"/>
              <w:right w:w="0" w:type="dxa"/>
            </w:tcMar>
            <w:vAlign w:val="center"/>
          </w:tcPr>
          <w:p>
            <w:pPr>
              <w:pStyle w:val="34"/>
              <w:ind w:left="105" w:leftChars="50"/>
              <w:jc w:val="left"/>
            </w:pPr>
            <w:r>
              <w:t>预案分级响应条件</w:t>
            </w:r>
          </w:p>
        </w:tc>
        <w:tc>
          <w:tcPr>
            <w:tcW w:w="2783" w:type="pct"/>
            <w:tcMar>
              <w:left w:w="0" w:type="dxa"/>
              <w:right w:w="0" w:type="dxa"/>
            </w:tcMar>
            <w:vAlign w:val="center"/>
          </w:tcPr>
          <w:p>
            <w:pPr>
              <w:pStyle w:val="34"/>
              <w:ind w:left="105" w:leftChars="50"/>
              <w:jc w:val="left"/>
            </w:pPr>
            <w: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4</w:t>
            </w:r>
          </w:p>
        </w:tc>
        <w:tc>
          <w:tcPr>
            <w:tcW w:w="1803" w:type="pct"/>
            <w:tcMar>
              <w:left w:w="0" w:type="dxa"/>
              <w:right w:w="0" w:type="dxa"/>
            </w:tcMar>
            <w:vAlign w:val="center"/>
          </w:tcPr>
          <w:p>
            <w:pPr>
              <w:pStyle w:val="34"/>
              <w:ind w:left="105" w:leftChars="50"/>
              <w:jc w:val="left"/>
            </w:pPr>
            <w:r>
              <w:t>应急救援保障</w:t>
            </w:r>
          </w:p>
        </w:tc>
        <w:tc>
          <w:tcPr>
            <w:tcW w:w="2783" w:type="pct"/>
            <w:tcMar>
              <w:left w:w="0" w:type="dxa"/>
              <w:right w:w="0" w:type="dxa"/>
            </w:tcMar>
            <w:vAlign w:val="center"/>
          </w:tcPr>
          <w:p>
            <w:pPr>
              <w:pStyle w:val="34"/>
              <w:ind w:left="105" w:leftChars="50"/>
              <w:jc w:val="left"/>
            </w:pPr>
            <w:r>
              <w:t>应急设施，设备与器材等。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5</w:t>
            </w:r>
          </w:p>
        </w:tc>
        <w:tc>
          <w:tcPr>
            <w:tcW w:w="1803" w:type="pct"/>
            <w:tcMar>
              <w:left w:w="0" w:type="dxa"/>
              <w:right w:w="0" w:type="dxa"/>
            </w:tcMar>
            <w:vAlign w:val="center"/>
          </w:tcPr>
          <w:p>
            <w:pPr>
              <w:pStyle w:val="34"/>
              <w:ind w:left="105" w:leftChars="50"/>
              <w:jc w:val="left"/>
            </w:pPr>
            <w:r>
              <w:t>报警、通讯联络方式</w:t>
            </w:r>
          </w:p>
        </w:tc>
        <w:tc>
          <w:tcPr>
            <w:tcW w:w="2783" w:type="pct"/>
            <w:tcMar>
              <w:left w:w="0" w:type="dxa"/>
              <w:right w:w="0" w:type="dxa"/>
            </w:tcMar>
            <w:vAlign w:val="center"/>
          </w:tcPr>
          <w:p>
            <w:pPr>
              <w:pStyle w:val="34"/>
              <w:ind w:left="105" w:leftChars="50"/>
              <w:jc w:val="left"/>
            </w:pPr>
            <w: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6</w:t>
            </w:r>
          </w:p>
        </w:tc>
        <w:tc>
          <w:tcPr>
            <w:tcW w:w="1803" w:type="pct"/>
            <w:tcMar>
              <w:left w:w="0" w:type="dxa"/>
              <w:right w:w="0" w:type="dxa"/>
            </w:tcMar>
            <w:vAlign w:val="center"/>
          </w:tcPr>
          <w:p>
            <w:pPr>
              <w:pStyle w:val="34"/>
              <w:ind w:left="105" w:leftChars="50"/>
              <w:jc w:val="left"/>
            </w:pPr>
            <w:r>
              <w:t>应急环境监测、抢险、救援及控制措施</w:t>
            </w:r>
          </w:p>
        </w:tc>
        <w:tc>
          <w:tcPr>
            <w:tcW w:w="2783" w:type="pct"/>
            <w:tcMar>
              <w:left w:w="0" w:type="dxa"/>
              <w:right w:w="0" w:type="dxa"/>
            </w:tcMar>
            <w:vAlign w:val="center"/>
          </w:tcPr>
          <w:p>
            <w:pPr>
              <w:pStyle w:val="34"/>
              <w:ind w:left="105" w:leftChars="50"/>
              <w:jc w:val="left"/>
            </w:pPr>
            <w: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7</w:t>
            </w:r>
          </w:p>
        </w:tc>
        <w:tc>
          <w:tcPr>
            <w:tcW w:w="1803" w:type="pct"/>
            <w:tcMar>
              <w:left w:w="0" w:type="dxa"/>
              <w:right w:w="0" w:type="dxa"/>
            </w:tcMar>
            <w:vAlign w:val="center"/>
          </w:tcPr>
          <w:p>
            <w:pPr>
              <w:pStyle w:val="34"/>
              <w:ind w:left="105" w:leftChars="50"/>
              <w:jc w:val="left"/>
            </w:pPr>
            <w:r>
              <w:t>应急检测、防护措施、清除泄漏措施和器材</w:t>
            </w:r>
          </w:p>
        </w:tc>
        <w:tc>
          <w:tcPr>
            <w:tcW w:w="2783" w:type="pct"/>
            <w:tcMar>
              <w:left w:w="0" w:type="dxa"/>
              <w:right w:w="0" w:type="dxa"/>
            </w:tcMar>
            <w:vAlign w:val="center"/>
          </w:tcPr>
          <w:p>
            <w:pPr>
              <w:pStyle w:val="34"/>
              <w:ind w:left="105" w:leftChars="50"/>
              <w:jc w:val="left"/>
            </w:pPr>
            <w: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8</w:t>
            </w:r>
          </w:p>
        </w:tc>
        <w:tc>
          <w:tcPr>
            <w:tcW w:w="1803" w:type="pct"/>
            <w:tcMar>
              <w:left w:w="0" w:type="dxa"/>
              <w:right w:w="0" w:type="dxa"/>
            </w:tcMar>
            <w:vAlign w:val="center"/>
          </w:tcPr>
          <w:p>
            <w:pPr>
              <w:pStyle w:val="34"/>
              <w:ind w:left="105" w:leftChars="50"/>
              <w:jc w:val="left"/>
            </w:pPr>
            <w:r>
              <w:t>人员紧急撤离、疏散，应急剂量控制、撤离组织计划</w:t>
            </w:r>
          </w:p>
        </w:tc>
        <w:tc>
          <w:tcPr>
            <w:tcW w:w="2783" w:type="pct"/>
            <w:tcMar>
              <w:left w:w="0" w:type="dxa"/>
              <w:right w:w="0" w:type="dxa"/>
            </w:tcMar>
            <w:vAlign w:val="center"/>
          </w:tcPr>
          <w:p>
            <w:pPr>
              <w:pStyle w:val="34"/>
              <w:ind w:left="105" w:leftChars="50"/>
              <w:jc w:val="left"/>
            </w:pPr>
            <w:r>
              <w:t>事故现场、工厂邻近区、受事故影响的区域人员及公众对毒物应急剂量控制规定，撤离组织计划及救护，医疗救护与公众健康。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9</w:t>
            </w:r>
          </w:p>
        </w:tc>
        <w:tc>
          <w:tcPr>
            <w:tcW w:w="1803" w:type="pct"/>
            <w:tcMar>
              <w:left w:w="0" w:type="dxa"/>
              <w:right w:w="0" w:type="dxa"/>
            </w:tcMar>
            <w:vAlign w:val="center"/>
          </w:tcPr>
          <w:p>
            <w:pPr>
              <w:pStyle w:val="34"/>
              <w:ind w:left="105" w:leftChars="50"/>
              <w:jc w:val="left"/>
            </w:pPr>
            <w:r>
              <w:t>事故应急救援关闭程序与恢复措施</w:t>
            </w:r>
          </w:p>
        </w:tc>
        <w:tc>
          <w:tcPr>
            <w:tcW w:w="2783" w:type="pct"/>
            <w:tcMar>
              <w:left w:w="0" w:type="dxa"/>
              <w:right w:w="0" w:type="dxa"/>
            </w:tcMar>
            <w:vAlign w:val="center"/>
          </w:tcPr>
          <w:p>
            <w:pPr>
              <w:pStyle w:val="34"/>
              <w:ind w:left="105" w:leftChars="50"/>
              <w:jc w:val="left"/>
            </w:pPr>
            <w:r>
              <w:t>规定应急状态终止程序；</w:t>
            </w:r>
          </w:p>
          <w:p>
            <w:pPr>
              <w:pStyle w:val="34"/>
              <w:ind w:left="105" w:leftChars="50"/>
              <w:jc w:val="left"/>
            </w:pPr>
            <w:r>
              <w:t>事故现场善后处理，恢复措施；</w:t>
            </w:r>
          </w:p>
          <w:p>
            <w:pPr>
              <w:pStyle w:val="34"/>
              <w:ind w:left="105" w:leftChars="50"/>
              <w:jc w:val="left"/>
            </w:pPr>
            <w:r>
              <w:t>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10</w:t>
            </w:r>
          </w:p>
        </w:tc>
        <w:tc>
          <w:tcPr>
            <w:tcW w:w="1803" w:type="pct"/>
            <w:tcMar>
              <w:left w:w="0" w:type="dxa"/>
              <w:right w:w="0" w:type="dxa"/>
            </w:tcMar>
            <w:vAlign w:val="center"/>
          </w:tcPr>
          <w:p>
            <w:pPr>
              <w:pStyle w:val="34"/>
              <w:ind w:left="105" w:leftChars="50"/>
              <w:jc w:val="left"/>
            </w:pPr>
            <w:r>
              <w:t>应急培训计划</w:t>
            </w:r>
          </w:p>
        </w:tc>
        <w:tc>
          <w:tcPr>
            <w:tcW w:w="2783" w:type="pct"/>
            <w:tcMar>
              <w:left w:w="0" w:type="dxa"/>
              <w:right w:w="0" w:type="dxa"/>
            </w:tcMar>
            <w:vAlign w:val="center"/>
          </w:tcPr>
          <w:p>
            <w:pPr>
              <w:pStyle w:val="34"/>
              <w:ind w:left="105" w:leftChars="50"/>
              <w:jc w:val="left"/>
            </w:pPr>
            <w: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14" w:type="pct"/>
            <w:tcMar>
              <w:left w:w="0" w:type="dxa"/>
              <w:right w:w="0" w:type="dxa"/>
            </w:tcMar>
            <w:vAlign w:val="center"/>
          </w:tcPr>
          <w:p>
            <w:pPr>
              <w:pStyle w:val="34"/>
            </w:pPr>
            <w:r>
              <w:t>11</w:t>
            </w:r>
          </w:p>
        </w:tc>
        <w:tc>
          <w:tcPr>
            <w:tcW w:w="1803" w:type="pct"/>
            <w:tcMar>
              <w:left w:w="0" w:type="dxa"/>
              <w:right w:w="0" w:type="dxa"/>
            </w:tcMar>
            <w:vAlign w:val="center"/>
          </w:tcPr>
          <w:p>
            <w:pPr>
              <w:pStyle w:val="34"/>
              <w:ind w:left="105" w:leftChars="50"/>
              <w:jc w:val="left"/>
            </w:pPr>
            <w:r>
              <w:t>公众教育和信息</w:t>
            </w:r>
          </w:p>
        </w:tc>
        <w:tc>
          <w:tcPr>
            <w:tcW w:w="2783" w:type="pct"/>
            <w:tcMar>
              <w:left w:w="0" w:type="dxa"/>
              <w:right w:w="0" w:type="dxa"/>
            </w:tcMar>
            <w:vAlign w:val="center"/>
          </w:tcPr>
          <w:p>
            <w:pPr>
              <w:pStyle w:val="34"/>
              <w:ind w:left="105" w:leftChars="50"/>
              <w:jc w:val="left"/>
            </w:pPr>
            <w:r>
              <w:t>对工厂邻近地区开展公众教育、培训和发布有关信息。</w:t>
            </w:r>
          </w:p>
        </w:tc>
      </w:tr>
    </w:tbl>
    <w:p>
      <w:pPr>
        <w:pStyle w:val="5"/>
        <w:rPr>
          <w:rFonts w:cs="Times New Roman"/>
        </w:rPr>
      </w:pPr>
      <w:r>
        <w:rPr>
          <w:rFonts w:cs="Times New Roman"/>
        </w:rPr>
        <w:t>风险评价结论</w:t>
      </w:r>
    </w:p>
    <w:p>
      <w:pPr>
        <w:pStyle w:val="7"/>
        <w:ind w:firstLine="480"/>
      </w:pPr>
      <w:r>
        <w:t>本项目环境风险事故类型主要为火灾引起的次生污染物质扩散，风险发生概率及危害也较低，通过采取完善的风险防范措施后，项目环境风险可防可控。</w:t>
      </w:r>
    </w:p>
    <w:p>
      <w:pPr>
        <w:pStyle w:val="7"/>
        <w:ind w:firstLine="199" w:firstLineChars="83"/>
        <w:sectPr>
          <w:pgSz w:w="11906" w:h="16838"/>
          <w:pgMar w:top="1440" w:right="1797" w:bottom="1440" w:left="1797" w:header="851" w:footer="992" w:gutter="0"/>
          <w:pgNumType w:fmt="numberInDash"/>
          <w:cols w:space="720" w:num="1"/>
          <w:docGrid w:type="lines" w:linePitch="312" w:charSpace="0"/>
        </w:sectPr>
      </w:pPr>
    </w:p>
    <w:p>
      <w:pPr>
        <w:pStyle w:val="3"/>
        <w:spacing w:before="156" w:after="156"/>
        <w:jc w:val="center"/>
        <w:rPr>
          <w:rFonts w:eastAsia="宋体"/>
        </w:rPr>
      </w:pPr>
      <w:bookmarkStart w:id="89" w:name="_Toc8089"/>
      <w:r>
        <w:rPr>
          <w:rFonts w:eastAsia="宋体"/>
        </w:rPr>
        <w:t>环境保护措施及其可行性论证</w:t>
      </w:r>
      <w:bookmarkEnd w:id="89"/>
    </w:p>
    <w:p>
      <w:pPr>
        <w:pStyle w:val="4"/>
        <w:spacing w:before="156" w:after="156"/>
        <w:rPr>
          <w:rFonts w:eastAsia="宋体"/>
        </w:rPr>
      </w:pPr>
      <w:bookmarkStart w:id="90" w:name="_Toc27100"/>
      <w:r>
        <w:rPr>
          <w:rFonts w:eastAsia="宋体"/>
        </w:rPr>
        <w:t>施工期环境保护措施</w:t>
      </w:r>
      <w:bookmarkEnd w:id="90"/>
    </w:p>
    <w:p>
      <w:pPr>
        <w:pStyle w:val="5"/>
        <w:rPr>
          <w:rFonts w:cs="Times New Roman"/>
        </w:rPr>
      </w:pPr>
      <w:r>
        <w:rPr>
          <w:rFonts w:cs="Times New Roman"/>
        </w:rPr>
        <w:t>施工期废气污染防治措施</w:t>
      </w:r>
    </w:p>
    <w:p>
      <w:pPr>
        <w:pStyle w:val="6"/>
      </w:pPr>
      <w:r>
        <w:rPr>
          <w:rFonts w:hint="eastAsia"/>
        </w:rPr>
        <w:t>施工扬尘</w:t>
      </w:r>
    </w:p>
    <w:p>
      <w:pPr>
        <w:pStyle w:val="7"/>
        <w:ind w:firstLine="480"/>
        <w:rPr>
          <w:rFonts w:cs="Times New Roman"/>
          <w:lang w:val="zh-CN"/>
        </w:rPr>
      </w:pPr>
      <w:r>
        <w:rPr>
          <w:rFonts w:cs="Times New Roman"/>
          <w:lang w:val="zh-CN"/>
        </w:rPr>
        <w:t>在整个施工过程期间，施工产生的扬尘主要集中在土建施工阶段。扬尘的大小与施工现场条件、管理水平、施工季节及天气等诸多因素有关。</w:t>
      </w:r>
    </w:p>
    <w:p>
      <w:pPr>
        <w:pStyle w:val="7"/>
        <w:ind w:firstLine="480"/>
        <w:rPr>
          <w:rFonts w:cs="Times New Roman"/>
          <w:lang w:val="zh-CN"/>
        </w:rPr>
      </w:pPr>
      <w:r>
        <w:rPr>
          <w:rFonts w:cs="Times New Roman"/>
          <w:lang w:val="zh-CN"/>
        </w:rPr>
        <w:t>施工期扬尘来源主要有以下几方面：土方挖掘、低洼处回填土时产生的扬尘；土方及建筑材料堆放过程产生的扬尘；施工垃圾的清理及堆放过程产生的扬尘；土方运输、建筑材料的运输途中产生的扬尘。施工扬尘的大小随施工季节、气象条件、工程内容和施工管理不同差别较大，影响范围可达100m～300m。因此，在建设期应对运输的道路及时清扫和浇水，并加强施工管理，控制施工期间的粉尘，避免对周围环境产生较大的影响。施工单位应加强管理，按进度、有计划地进行文明施工，并进一步采取以下措施：</w:t>
      </w:r>
    </w:p>
    <w:p>
      <w:pPr>
        <w:pStyle w:val="7"/>
        <w:ind w:firstLine="480"/>
        <w:rPr>
          <w:rFonts w:cs="Times New Roman"/>
          <w:lang w:val="zh-CN"/>
        </w:rPr>
      </w:pPr>
      <w:r>
        <w:rPr>
          <w:rFonts w:cs="Times New Roman"/>
          <w:lang w:val="zh-CN"/>
        </w:rPr>
        <w:t>（1）施工区域四周建设可重复利用的高围挡，减少扬尘对周边环境的影响。</w:t>
      </w:r>
    </w:p>
    <w:p>
      <w:pPr>
        <w:pStyle w:val="7"/>
        <w:ind w:firstLine="480"/>
        <w:rPr>
          <w:rFonts w:cs="Times New Roman"/>
          <w:lang w:val="zh-CN"/>
        </w:rPr>
      </w:pPr>
      <w:r>
        <w:rPr>
          <w:rFonts w:cs="Times New Roman"/>
          <w:lang w:val="zh-CN"/>
        </w:rPr>
        <w:t>（2）严格控制车辆超载，尽量避免沙土洒漏，减少二次扬尘产生的来源。</w:t>
      </w:r>
    </w:p>
    <w:p>
      <w:pPr>
        <w:pStyle w:val="7"/>
        <w:ind w:firstLine="480"/>
        <w:rPr>
          <w:rFonts w:cs="Times New Roman"/>
          <w:lang w:val="zh-CN"/>
        </w:rPr>
      </w:pPr>
      <w:r>
        <w:rPr>
          <w:rFonts w:cs="Times New Roman"/>
          <w:lang w:val="zh-CN"/>
        </w:rPr>
        <w:t>（3）施工过程的渣土、垃圾、土堆必须有防尘措施并及时清运；建筑材料应存放在临时仓库内，或加盖苫布，防止风致扬尘。</w:t>
      </w:r>
    </w:p>
    <w:p>
      <w:pPr>
        <w:pStyle w:val="7"/>
        <w:ind w:firstLine="480"/>
        <w:rPr>
          <w:rFonts w:cs="Times New Roman"/>
          <w:lang w:val="zh-CN"/>
        </w:rPr>
      </w:pPr>
      <w:r>
        <w:rPr>
          <w:rFonts w:cs="Times New Roman"/>
          <w:lang w:val="zh-CN"/>
        </w:rPr>
        <w:t>（4）基建完成应及时清理和平整场地，并立即着手项目绿化工作，绿化应与主体工程同步设计、建设和验收。</w:t>
      </w:r>
    </w:p>
    <w:p>
      <w:pPr>
        <w:pStyle w:val="7"/>
        <w:ind w:firstLine="480"/>
        <w:rPr>
          <w:rFonts w:cs="Times New Roman"/>
          <w:lang w:val="zh-CN"/>
        </w:rPr>
      </w:pPr>
      <w:r>
        <w:rPr>
          <w:rFonts w:cs="Times New Roman"/>
          <w:lang w:val="zh-CN"/>
        </w:rPr>
        <w:t>（5）施工现场严禁焚烧各类废弃物。</w:t>
      </w:r>
      <w:r>
        <w:rPr>
          <w:rFonts w:cs="Times New Roman"/>
          <w:lang w:val="zh-CN"/>
        </w:rPr>
        <w:tab/>
      </w:r>
    </w:p>
    <w:p>
      <w:pPr>
        <w:pStyle w:val="7"/>
        <w:ind w:firstLine="480"/>
        <w:rPr>
          <w:rFonts w:cs="Times New Roman"/>
          <w:lang w:val="zh-CN"/>
        </w:rPr>
      </w:pPr>
      <w:r>
        <w:rPr>
          <w:rFonts w:cs="Times New Roman"/>
          <w:lang w:val="zh-CN"/>
        </w:rPr>
        <w:t>（6）建筑施工现场在进行土方开挖、回填、转运作业前，应对可能造成的扬尘污染程度进行判定，在正常施工情况下不能有效控制扬尘的，应当对拟作业的土方采取增加土方湿度等处理措施，以有效减少扬尘污染。施工过程中应当采取有效降尘防尘措施，多余土方应及时清运出场。现场堆置需要回填使用的土方应进行表面固化和覆盖。</w:t>
      </w:r>
    </w:p>
    <w:p>
      <w:pPr>
        <w:pStyle w:val="7"/>
        <w:ind w:firstLine="480"/>
        <w:rPr>
          <w:rFonts w:cs="Times New Roman"/>
          <w:lang w:val="zh-CN"/>
        </w:rPr>
      </w:pPr>
      <w:r>
        <w:rPr>
          <w:rFonts w:cs="Times New Roman"/>
          <w:lang w:val="zh-CN"/>
        </w:rPr>
        <w:t>（7）干旱天气、重污染天气以及需要重点防控时段要增加洒水频次；出现五级及以上大风天气，必须采取防扬尘应急措施，且不得进行土方开挖、回填、转运作业等作业。</w:t>
      </w:r>
    </w:p>
    <w:p>
      <w:pPr>
        <w:pStyle w:val="7"/>
        <w:ind w:firstLine="480"/>
        <w:rPr>
          <w:rFonts w:cs="Times New Roman"/>
          <w:lang w:val="zh-CN"/>
        </w:rPr>
      </w:pPr>
      <w:r>
        <w:rPr>
          <w:rFonts w:cs="Times New Roman"/>
          <w:lang w:val="zh-CN"/>
        </w:rPr>
        <w:t>（8）另外，施工单位应强化工地扬尘污染防治：</w:t>
      </w:r>
    </w:p>
    <w:p>
      <w:pPr>
        <w:pStyle w:val="7"/>
        <w:ind w:firstLine="480"/>
        <w:rPr>
          <w:rFonts w:cs="Times New Roman"/>
        </w:rPr>
      </w:pPr>
      <w:r>
        <w:rPr>
          <w:rFonts w:hint="eastAsia" w:cs="Times New Roman"/>
        </w:rPr>
        <w:t>1.建设工程开工前，按照标准在施工现场周边设置围挡，并对围挡进行维护；</w:t>
      </w:r>
    </w:p>
    <w:p>
      <w:pPr>
        <w:pStyle w:val="7"/>
        <w:ind w:firstLine="480"/>
        <w:rPr>
          <w:rFonts w:cs="Times New Roman"/>
        </w:rPr>
      </w:pPr>
      <w:r>
        <w:rPr>
          <w:rFonts w:hint="eastAsia" w:cs="Times New Roman"/>
        </w:rPr>
        <w:t>2.在施工现场出入口公示施工现场负责人、环保监督员、扬尘污染主要控制措施、举报电话等信息；</w:t>
      </w:r>
    </w:p>
    <w:p>
      <w:pPr>
        <w:pStyle w:val="7"/>
        <w:ind w:firstLine="480"/>
        <w:rPr>
          <w:rFonts w:cs="Times New Roman"/>
        </w:rPr>
      </w:pPr>
      <w:r>
        <w:rPr>
          <w:rFonts w:hint="eastAsia" w:cs="Times New Roman"/>
        </w:rPr>
        <w:t>3.对施工现场内主要道路和物料堆放场地进行硬化，对其他裸露场地进行覆盖或者临时绿化，对土方进行集中堆放，并采取覆盖或者密闭等措施；</w:t>
      </w:r>
    </w:p>
    <w:p>
      <w:pPr>
        <w:pStyle w:val="7"/>
        <w:ind w:firstLine="480"/>
        <w:rPr>
          <w:rFonts w:cs="Times New Roman"/>
        </w:rPr>
      </w:pPr>
      <w:r>
        <w:rPr>
          <w:rFonts w:hint="eastAsia" w:cs="Times New Roman"/>
        </w:rPr>
        <w:t>4.施工现场出口处应当设置车辆冲洗设施，施工车辆冲洗干净后方可上路行驶；</w:t>
      </w:r>
    </w:p>
    <w:p>
      <w:pPr>
        <w:pStyle w:val="7"/>
        <w:ind w:firstLine="480"/>
        <w:rPr>
          <w:rFonts w:cs="Times New Roman"/>
        </w:rPr>
      </w:pPr>
      <w:r>
        <w:rPr>
          <w:rFonts w:hint="eastAsia" w:cs="Times New Roman"/>
        </w:rPr>
        <w:t>5.道路挖掘施工过程中，及时覆盖破损路面，并采取洒水等措施防治扬尘污染；道路挖掘施工完成后应当及时修复路面；临时便道应当进行硬化处理，并定时洒水；</w:t>
      </w:r>
    </w:p>
    <w:p>
      <w:pPr>
        <w:pStyle w:val="7"/>
        <w:ind w:firstLine="480"/>
        <w:rPr>
          <w:rFonts w:cs="Times New Roman"/>
        </w:rPr>
      </w:pPr>
      <w:r>
        <w:rPr>
          <w:rFonts w:hint="eastAsia" w:cs="Times New Roman"/>
        </w:rPr>
        <w:t>6.及时对施工现场进行清理和平整，不得从高处向下倾倒或者抛洒各类物料和建筑垃圾。</w:t>
      </w:r>
    </w:p>
    <w:p>
      <w:pPr>
        <w:pStyle w:val="7"/>
        <w:ind w:firstLine="480"/>
        <w:rPr>
          <w:rFonts w:cs="Times New Roman"/>
        </w:rPr>
      </w:pPr>
      <w:r>
        <w:rPr>
          <w:rFonts w:hint="eastAsia" w:cs="Times New Roman"/>
        </w:rPr>
        <w:t>7.拆除建（构）筑物，应当配备防风抑尘设备，进行湿法作业。</w:t>
      </w:r>
    </w:p>
    <w:p>
      <w:pPr>
        <w:pStyle w:val="7"/>
        <w:ind w:firstLine="480"/>
        <w:rPr>
          <w:rFonts w:cs="Times New Roman"/>
        </w:rPr>
      </w:pPr>
      <w:r>
        <w:rPr>
          <w:rFonts w:hint="eastAsia" w:cs="Times New Roman"/>
        </w:rPr>
        <w:t>8.露天装卸物料应当采取密闭或者喷淋等抑尘措施；输送的物料应当在装料、卸料处配备吸尘、喷淋等防尘设施。</w:t>
      </w:r>
    </w:p>
    <w:p>
      <w:pPr>
        <w:pStyle w:val="7"/>
        <w:ind w:firstLine="456"/>
        <w:rPr>
          <w:rFonts w:cs="Cambria Math"/>
          <w:spacing w:val="-6"/>
          <w:lang w:val="zh-CN"/>
        </w:rPr>
      </w:pPr>
      <w:r>
        <w:rPr>
          <w:rFonts w:cs="Cambria Math"/>
          <w:spacing w:val="-6"/>
          <w:lang w:val="zh-CN"/>
        </w:rPr>
        <w:t>通过加强管理，采取评价建议措施，切实落实好防尘、降尘措施，施工扬尘不会对周围环境产生较大影响，同时其对环境的影响也将随着施工的结束而消失。</w:t>
      </w:r>
    </w:p>
    <w:p>
      <w:pPr>
        <w:pStyle w:val="6"/>
        <w:rPr>
          <w:rFonts w:cs="Cambria Math"/>
          <w:spacing w:val="-6"/>
        </w:rPr>
      </w:pPr>
      <w:r>
        <w:rPr>
          <w:rFonts w:hint="eastAsia" w:cs="Cambria Math"/>
          <w:spacing w:val="-6"/>
        </w:rPr>
        <w:t>机械废气</w:t>
      </w:r>
    </w:p>
    <w:p>
      <w:pPr>
        <w:pStyle w:val="7"/>
        <w:ind w:firstLine="456"/>
        <w:rPr>
          <w:rFonts w:cs="Cambria Math"/>
          <w:spacing w:val="-6"/>
        </w:rPr>
      </w:pPr>
      <w:r>
        <w:rPr>
          <w:rFonts w:hint="eastAsia" w:cs="Cambria Math"/>
          <w:spacing w:val="-6"/>
        </w:rPr>
        <w:t>施工期间，使用机动车运送原材料、设备和建筑机械设备的运转，均会排放一定量的CO、NOx以及未完全燃烧的THC等。由于施工期大部分运输车辆主要运送建筑垃圾及原材料、施工机械，施工机械排放的废气和运输车辆尾气的污染源较分散，且具有流动性，其影响也较分散和短暂，通过加强管理，控制车速，可有效减少施工机械和运输车辆排放的大气污染物。</w:t>
      </w:r>
    </w:p>
    <w:p>
      <w:pPr>
        <w:pStyle w:val="7"/>
        <w:ind w:firstLine="456"/>
        <w:rPr>
          <w:rFonts w:cs="Cambria Math"/>
          <w:spacing w:val="-6"/>
        </w:rPr>
      </w:pPr>
      <w:r>
        <w:rPr>
          <w:rFonts w:hint="eastAsia" w:cs="Cambria Math"/>
          <w:spacing w:val="-6"/>
        </w:rPr>
        <w:t>采取措施：</w:t>
      </w:r>
    </w:p>
    <w:p>
      <w:pPr>
        <w:pStyle w:val="7"/>
        <w:ind w:firstLine="456"/>
        <w:rPr>
          <w:rFonts w:cs="Cambria Math"/>
          <w:spacing w:val="-6"/>
        </w:rPr>
      </w:pPr>
      <w:r>
        <w:rPr>
          <w:rFonts w:hint="eastAsia" w:cs="Cambria Math"/>
          <w:spacing w:val="-6"/>
        </w:rPr>
        <w:t>由于机械废气属间断性无组织排放，特点是排放量小，污染源较分散，且具有流动性，加之施工场地开阔，扩散条件良好，其影响也较分散和短暂，通过加强管理，控制车速，可有效减少施工机械和运输车辆排放的大气污染物。采取相应措施后对区域环境影响较小，且随施工期结束而结束。</w:t>
      </w:r>
    </w:p>
    <w:p>
      <w:pPr>
        <w:pStyle w:val="7"/>
        <w:ind w:firstLine="456"/>
        <w:rPr>
          <w:rFonts w:cs="Cambria Math"/>
          <w:spacing w:val="-6"/>
        </w:rPr>
      </w:pPr>
      <w:r>
        <w:rPr>
          <w:rFonts w:hint="eastAsia" w:cs="Cambria Math"/>
          <w:spacing w:val="-6"/>
        </w:rPr>
        <w:t>在进行以上防治措施后，再加上项目所在场地扩散条件较好，排放量小，且属间断无组织排放，因此本项目装修施工产生的废气可实现达标排放，对周边环境影响较小。</w:t>
      </w:r>
    </w:p>
    <w:p>
      <w:pPr>
        <w:pStyle w:val="5"/>
        <w:rPr>
          <w:rFonts w:cs="Times New Roman"/>
        </w:rPr>
      </w:pPr>
      <w:r>
        <w:rPr>
          <w:rFonts w:cs="Times New Roman"/>
        </w:rPr>
        <w:t>施工期废水污染物防治措施</w:t>
      </w:r>
    </w:p>
    <w:p>
      <w:pPr>
        <w:pStyle w:val="7"/>
        <w:ind w:firstLine="480"/>
        <w:rPr>
          <w:rFonts w:cs="Times New Roman"/>
          <w:lang w:val="zh-CN"/>
        </w:rPr>
      </w:pPr>
      <w:r>
        <w:rPr>
          <w:rFonts w:cs="Times New Roman"/>
          <w:lang w:val="zh-CN"/>
        </w:rPr>
        <w:t>施工期间，生产废水和生活污水若不进行妥善处理，将会对外环境造成一定污染，因此对施工期废水要求做好以下防治措施：</w:t>
      </w:r>
    </w:p>
    <w:p>
      <w:pPr>
        <w:pStyle w:val="7"/>
        <w:ind w:firstLine="480"/>
        <w:rPr>
          <w:rFonts w:cs="Times New Roman"/>
          <w:lang w:val="zh-CN"/>
        </w:rPr>
      </w:pPr>
      <w:r>
        <w:rPr>
          <w:rFonts w:cs="Times New Roman"/>
          <w:lang w:val="zh-CN"/>
        </w:rPr>
        <w:t>（1）施工单位应对地面水的排放应进行有组织设计，严禁乱排、乱流污染环境。</w:t>
      </w:r>
    </w:p>
    <w:p>
      <w:pPr>
        <w:pStyle w:val="7"/>
        <w:ind w:firstLine="480"/>
        <w:rPr>
          <w:rFonts w:cs="Times New Roman"/>
          <w:lang w:val="zh-CN"/>
        </w:rPr>
      </w:pPr>
      <w:r>
        <w:rPr>
          <w:rFonts w:cs="Times New Roman"/>
          <w:lang w:val="zh-CN"/>
        </w:rPr>
        <w:t>（2）严禁将施工废水直接排放。对施工产生的泥浆水及洗车平台废水应设置临时沉砂池，含泥沙雨水、泥浆水经沉砂池沉淀后全部回用。</w:t>
      </w:r>
    </w:p>
    <w:p>
      <w:pPr>
        <w:pStyle w:val="7"/>
        <w:ind w:firstLine="480"/>
      </w:pPr>
      <w:r>
        <w:rPr>
          <w:rFonts w:cs="Times New Roman"/>
          <w:lang w:val="zh-CN"/>
        </w:rPr>
        <w:t>（3）施工期先行建设防渗化粪池，施工生活污水暂存于防渗化粪池内，定期由环卫</w:t>
      </w:r>
      <w:r>
        <w:rPr>
          <w:rFonts w:hint="eastAsia" w:cs="Times New Roman"/>
          <w:lang w:val="zh-CN"/>
        </w:rPr>
        <w:t>部门</w:t>
      </w:r>
      <w:r>
        <w:rPr>
          <w:rFonts w:cs="Times New Roman"/>
          <w:lang w:val="zh-CN"/>
        </w:rPr>
        <w:t>拉运处理。施工期结束后防渗化粪池不拆除，运营期继续使用。</w:t>
      </w:r>
    </w:p>
    <w:p>
      <w:pPr>
        <w:pStyle w:val="7"/>
        <w:ind w:firstLine="480"/>
        <w:rPr>
          <w:lang w:val="zh-CN"/>
        </w:rPr>
      </w:pPr>
      <w:r>
        <w:rPr>
          <w:rFonts w:hint="eastAsia"/>
          <w:lang w:val="zh-CN"/>
        </w:rPr>
        <w:t>综上，施工期废水对周围地表水环境无影响。</w:t>
      </w:r>
    </w:p>
    <w:p>
      <w:pPr>
        <w:pStyle w:val="5"/>
        <w:rPr>
          <w:rFonts w:cs="Times New Roman"/>
        </w:rPr>
      </w:pPr>
      <w:r>
        <w:rPr>
          <w:rFonts w:cs="Times New Roman"/>
        </w:rPr>
        <w:t>施工期噪声防治措施</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为将施工噪声污染程度降低到最低程度，评价对施工提出以下要求：</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（1）采用先进的施工工艺和低噪声设备，合理安排施工时间，尽量避免大量高噪声施工设备同时施工，安排高噪声施工作业在白天完成。夜间（22:00～06:00）禁止进行对周边环境产生噪声污染的施工作业。</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（2）施工中防止机械噪声的超标，特别是应避免推土机、挖掘机等夜间作业。必须使用商品砼及液压打桩机，减少噪声源强。打桩机禁止夜间作业。</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（3）施工车辆噪声的防治应选择运载车辆的运行线路和时间，应尽量避开噪声敏感区域和噪声敏感时段。</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（4）制定科学的施工计划，合理安排。</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5）加强施工设备的维护保养，发生故障应及时维修，保持润滑、紧固各部件，减少运行振动噪声；施工机械设备应安放稳固，并与地面保持良好接触，有条件的应使用减振机座。加强施工管理、文明施工，杜绝施工机械在运行过程中因维护不当而产生的其他噪声。</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6）为保护施工人员的健康，施工单位要合理安排工作人员，轮流操作高强度噪声的施工机械，减少接触高噪声施工机械的时间，或穿插安排操作高噪声和低噪声施工机械的工作。加强对施工人员的个人防护，对高噪声机械设备附近工作的施工人员，可采取配备耳塞、耳机、防声头盔等防噪用具。</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（7）建设单位应责成施工单位在施工现场标明施工通告和投诉电话，建设单位在接到投诉后，应及时与当地环保部门取得联系，以便能及时处理各种环境纠纷。</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（8）加强施工期间道路交通的管理，保持道路畅通也是减缓施工期噪声影响的重要手段。</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（9）提高施工人员特别是现场施工负责人员的环保意识，施工部门负责人应学习国家相关环保法律、法规，增强环保意识，明确认识噪声对人体的危害。</w:t>
      </w:r>
    </w:p>
    <w:p>
      <w:pPr>
        <w:pStyle w:val="7"/>
        <w:ind w:firstLine="480"/>
      </w:pPr>
      <w:r>
        <w:t>采取有效措施对场址施工噪声进行控制后，会将本项目施工噪声对周围环境影响控制在最低水平</w:t>
      </w:r>
      <w:r>
        <w:rPr>
          <w:rFonts w:hint="eastAsia"/>
        </w:rPr>
        <w:t>，不超过《建筑施工场界环境噪声排放标准》（</w:t>
      </w:r>
      <w:r>
        <w:rPr>
          <w:rFonts w:hint="eastAsia" w:cs="Times New Roman"/>
          <w:szCs w:val="21"/>
        </w:rPr>
        <w:t>GB12523-2011</w:t>
      </w:r>
      <w:r>
        <w:rPr>
          <w:rFonts w:hint="eastAsia"/>
        </w:rPr>
        <w:t>）中表1规定的排放限值。</w:t>
      </w:r>
    </w:p>
    <w:p>
      <w:pPr>
        <w:pStyle w:val="5"/>
        <w:rPr>
          <w:rFonts w:cs="Times New Roman"/>
        </w:rPr>
      </w:pPr>
      <w:r>
        <w:rPr>
          <w:rFonts w:cs="Times New Roman"/>
        </w:rPr>
        <w:t>施工期固体废物防治措施</w:t>
      </w:r>
    </w:p>
    <w:p>
      <w:pPr>
        <w:pStyle w:val="7"/>
        <w:ind w:firstLine="480"/>
        <w:rPr>
          <w:rFonts w:cs="Times New Roman"/>
          <w:lang w:val="zh-CN"/>
        </w:rPr>
      </w:pPr>
      <w:r>
        <w:rPr>
          <w:rFonts w:cs="Times New Roman"/>
          <w:lang w:val="zh-CN"/>
        </w:rPr>
        <w:t>施工期产生的固体废物主要为生活垃圾和建筑垃圾。</w:t>
      </w:r>
    </w:p>
    <w:p>
      <w:pPr>
        <w:pStyle w:val="7"/>
        <w:ind w:firstLine="480"/>
        <w:rPr>
          <w:rFonts w:cs="Times New Roman"/>
          <w:lang w:val="zh-CN"/>
        </w:rPr>
      </w:pPr>
      <w:r>
        <w:rPr>
          <w:rFonts w:cs="Times New Roman"/>
          <w:lang w:val="zh-CN"/>
        </w:rPr>
        <w:t>（1）生活垃圾：生活垃圾应集中收集于封闭垃圾箱内，定期由环卫部门统一处置。</w:t>
      </w:r>
    </w:p>
    <w:p>
      <w:pPr>
        <w:pStyle w:val="7"/>
        <w:ind w:firstLine="480"/>
        <w:rPr>
          <w:rFonts w:cs="Times New Roman"/>
          <w:lang w:val="zh-CN"/>
        </w:rPr>
      </w:pPr>
      <w:r>
        <w:rPr>
          <w:rFonts w:cs="Times New Roman"/>
          <w:lang w:val="zh-CN"/>
        </w:rPr>
        <w:t>（2）建筑垃圾：施工期建筑垃圾主要包括渣土、残砖断瓦、废瓷片、废玻璃、废钢筋头、废金属碎片、废包装袋等。建筑垃圾若长期堆存，会产生扬尘，影响周围环境，应由施工方清运至管理部门指定的</w:t>
      </w:r>
      <w:r>
        <w:rPr>
          <w:rFonts w:hint="eastAsia" w:cs="Times New Roman"/>
          <w:lang w:val="zh-CN"/>
        </w:rPr>
        <w:t>地方</w:t>
      </w:r>
      <w:r>
        <w:rPr>
          <w:rFonts w:cs="Times New Roman"/>
          <w:lang w:val="zh-CN"/>
        </w:rPr>
        <w:t>。</w:t>
      </w:r>
    </w:p>
    <w:p>
      <w:pPr>
        <w:pStyle w:val="7"/>
        <w:ind w:firstLine="480"/>
        <w:rPr>
          <w:rFonts w:cs="Times New Roman"/>
          <w:lang w:val="zh-CN"/>
        </w:rPr>
      </w:pPr>
      <w:r>
        <w:rPr>
          <w:rFonts w:cs="Times New Roman"/>
          <w:lang w:val="zh-CN"/>
        </w:rPr>
        <w:t>施工过程中，固体废物经过以上措施处理后，不会对环境质量造成</w:t>
      </w:r>
      <w:r>
        <w:rPr>
          <w:rFonts w:hint="eastAsia" w:cs="Times New Roman"/>
          <w:lang w:val="zh-CN"/>
        </w:rPr>
        <w:t>二次污染</w:t>
      </w:r>
      <w:r>
        <w:rPr>
          <w:rFonts w:cs="Times New Roman"/>
          <w:lang w:val="zh-CN"/>
        </w:rPr>
        <w:t>。</w:t>
      </w:r>
    </w:p>
    <w:p>
      <w:pPr>
        <w:pStyle w:val="5"/>
        <w:rPr>
          <w:rFonts w:cs="Times New Roman"/>
        </w:rPr>
      </w:pPr>
      <w:r>
        <w:rPr>
          <w:rFonts w:cs="Times New Roman"/>
        </w:rPr>
        <w:t>施工期</w:t>
      </w:r>
      <w:r>
        <w:rPr>
          <w:rFonts w:hint="eastAsia" w:cs="Times New Roman"/>
        </w:rPr>
        <w:t>生态保护</w:t>
      </w:r>
      <w:r>
        <w:rPr>
          <w:rFonts w:cs="Times New Roman"/>
        </w:rPr>
        <w:t>防治措施</w:t>
      </w:r>
    </w:p>
    <w:p>
      <w:pPr>
        <w:pStyle w:val="7"/>
        <w:ind w:firstLine="480"/>
        <w:rPr>
          <w:rFonts w:cs="Times New Roman"/>
        </w:rPr>
      </w:pPr>
      <w:r>
        <w:rPr>
          <w:rFonts w:hint="eastAsia" w:cs="Times New Roman"/>
        </w:rPr>
        <w:t>项目区域主要为农田生态系统，区域人迹活动频繁，项目区域生态系统不敏感。本项目不涉及占用基本农田保护区，目前项目区域为建设用地，在工程影响范围内，受工程影响的植物均属一般常见种，其生长范围广，适应性强，因此施工活动不会影响项目区所在区域的生态系统稳定性和完整性。</w:t>
      </w:r>
    </w:p>
    <w:p>
      <w:pPr>
        <w:pStyle w:val="7"/>
        <w:ind w:firstLine="480"/>
        <w:rPr>
          <w:rFonts w:cs="Times New Roman"/>
        </w:rPr>
      </w:pPr>
      <w:r>
        <w:rPr>
          <w:rFonts w:hint="eastAsia" w:cs="Times New Roman"/>
        </w:rPr>
        <w:t>施工期水土流失主要来源于工程建设区和弃渣流失，建设过程中将扰动当地的原生地貌，损坏土地，破坏植被，造成水土流失。建议施工期采取如下措施：对于土质较好的地段，建议采用深挖、表土回覆的方式；对于砾石土，建议将石土分离，土层覆于地表，易于植被恢复。应避开风季、暴雨季施工，减少水土流失。如此能够有效减轻项目施工造成的水土流水影响。</w:t>
      </w:r>
    </w:p>
    <w:p>
      <w:pPr>
        <w:pStyle w:val="4"/>
        <w:spacing w:before="156" w:after="156"/>
        <w:rPr>
          <w:rFonts w:eastAsia="宋体"/>
          <w:lang w:val="zh-CN"/>
        </w:rPr>
      </w:pPr>
      <w:bookmarkStart w:id="91" w:name="_Toc78482190"/>
      <w:bookmarkStart w:id="92" w:name="_Toc109829204"/>
      <w:bookmarkStart w:id="93" w:name="_Toc3310"/>
      <w:r>
        <w:rPr>
          <w:rFonts w:eastAsia="宋体"/>
          <w:lang w:val="zh-CN"/>
        </w:rPr>
        <w:t>运营期环境保护措施及可行性分析</w:t>
      </w:r>
      <w:bookmarkEnd w:id="91"/>
      <w:bookmarkEnd w:id="92"/>
      <w:bookmarkEnd w:id="93"/>
    </w:p>
    <w:p>
      <w:pPr>
        <w:pStyle w:val="5"/>
        <w:rPr>
          <w:rFonts w:cs="Times New Roman"/>
        </w:rPr>
      </w:pPr>
      <w:r>
        <w:rPr>
          <w:rFonts w:cs="Times New Roman"/>
        </w:rPr>
        <w:t>废气治理措施及可行性分析</w:t>
      </w:r>
    </w:p>
    <w:p>
      <w:pPr>
        <w:pStyle w:val="6"/>
      </w:pPr>
      <w:r>
        <w:t>废气治理措施比选</w:t>
      </w:r>
    </w:p>
    <w:p>
      <w:pPr>
        <w:pStyle w:val="7"/>
        <w:ind w:firstLine="480"/>
        <w:rPr>
          <w:rFonts w:cs="Times New Roman"/>
          <w:lang w:val="zh-CN"/>
        </w:rPr>
      </w:pPr>
      <w:r>
        <w:rPr>
          <w:rFonts w:cs="Times New Roman"/>
          <w:lang w:val="zh-CN"/>
        </w:rPr>
        <w:t>根据工程分析，本项目运营期产生的废气主要为</w:t>
      </w:r>
      <w:r>
        <w:rPr>
          <w:rFonts w:hint="eastAsia" w:cs="Times New Roman"/>
          <w:lang w:val="zh-CN"/>
        </w:rPr>
        <w:t>废旧塑料</w:t>
      </w:r>
      <w:r>
        <w:rPr>
          <w:rFonts w:cs="Times New Roman"/>
          <w:lang w:val="zh-CN"/>
        </w:rPr>
        <w:t>造粒生产线、滴灌带</w:t>
      </w:r>
      <w:r>
        <w:rPr>
          <w:rFonts w:hint="eastAsia" w:cs="Times New Roman"/>
          <w:lang w:val="zh-CN"/>
        </w:rPr>
        <w:t>及水带</w:t>
      </w:r>
      <w:r>
        <w:rPr>
          <w:rFonts w:cs="Times New Roman"/>
          <w:lang w:val="zh-CN"/>
        </w:rPr>
        <w:t>生产线产生的有机废气，主要为非甲烷总烃。</w:t>
      </w:r>
    </w:p>
    <w:p>
      <w:pPr>
        <w:pStyle w:val="7"/>
        <w:ind w:firstLine="480"/>
        <w:rPr>
          <w:rFonts w:cs="Times New Roman"/>
          <w:lang w:val="zh-CN"/>
        </w:rPr>
      </w:pPr>
      <w:r>
        <w:rPr>
          <w:rFonts w:cs="Times New Roman"/>
          <w:lang w:val="zh-CN"/>
        </w:rPr>
        <w:t>根据《挥发性有机物（VOCs）污染防治技术政策》（公告2013年第31号）：对于含低浓度VOCs的废气，有回收价值时可采用吸附技术、吸收技术对有机溶剂回收后达标排放；不宜回收时，可采用吸附浓缩燃烧技术、生物技术、吸收技术、等离子体技术或紫外光高级氧化技术等净化后达标排放。恶臭气体污染源可采用生物技术、等离子体技术、吸附技术、吸收技术、紫外光高级氧化技术或组合技术等进行净化。净化后的恶臭气体除满足达标排放的要求外，还应采取高空排放等措施，避免产生扰民问题。</w:t>
      </w:r>
    </w:p>
    <w:p>
      <w:pPr>
        <w:pStyle w:val="7"/>
        <w:ind w:firstLine="480"/>
        <w:rPr>
          <w:rFonts w:cs="Times New Roman"/>
          <w:lang w:val="zh-CN"/>
        </w:rPr>
      </w:pPr>
      <w:r>
        <w:rPr>
          <w:rFonts w:cs="Times New Roman"/>
          <w:lang w:val="zh-CN"/>
        </w:rPr>
        <w:t>各类有机废气净化的方法主要优缺点见</w:t>
      </w:r>
      <w:r>
        <w:rPr>
          <w:rFonts w:hint="eastAsia" w:cs="Times New Roman"/>
          <w:lang w:val="zh-CN"/>
        </w:rPr>
        <w:t>表6.2-1</w:t>
      </w:r>
      <w:r>
        <w:rPr>
          <w:rFonts w:cs="Times New Roman"/>
          <w:lang w:val="zh-CN"/>
        </w:rPr>
        <w:t>。</w:t>
      </w:r>
    </w:p>
    <w:p>
      <w:pPr>
        <w:pStyle w:val="36"/>
        <w:spacing w:before="156"/>
        <w:rPr>
          <w:rFonts w:eastAsia="宋体"/>
        </w:rPr>
      </w:pPr>
      <w:bookmarkStart w:id="94" w:name="_Ref111566982"/>
      <w:r>
        <w:rPr>
          <w:rFonts w:eastAsia="宋体"/>
        </w:rPr>
        <w:t>表</w:t>
      </w:r>
      <w:r>
        <w:rPr>
          <w:rFonts w:hint="eastAsia" w:eastAsia="宋体"/>
        </w:rPr>
        <w:t>6.2-1</w:t>
      </w:r>
      <w:bookmarkEnd w:id="94"/>
      <w:r>
        <w:rPr>
          <w:rFonts w:eastAsia="宋体"/>
        </w:rPr>
        <w:t xml:space="preserve">  有机废气主要净化方法比较一览表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
        <w:gridCol w:w="2429"/>
        <w:gridCol w:w="2149"/>
        <w:gridCol w:w="2149"/>
        <w:gridCol w:w="1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7" w:type="pct"/>
            <w:tcBorders>
              <w:tl2br w:val="nil"/>
              <w:tr2bl w:val="nil"/>
            </w:tcBorders>
            <w:vAlign w:val="center"/>
          </w:tcPr>
          <w:p>
            <w:pPr>
              <w:pStyle w:val="34"/>
            </w:pPr>
            <w:r>
              <w:t>方法</w:t>
            </w:r>
          </w:p>
        </w:tc>
        <w:tc>
          <w:tcPr>
            <w:tcW w:w="1423" w:type="pct"/>
            <w:tcBorders>
              <w:tl2br w:val="nil"/>
              <w:tr2bl w:val="nil"/>
            </w:tcBorders>
            <w:vAlign w:val="center"/>
          </w:tcPr>
          <w:p>
            <w:pPr>
              <w:pStyle w:val="34"/>
            </w:pPr>
            <w:r>
              <w:t>原理</w:t>
            </w:r>
          </w:p>
        </w:tc>
        <w:tc>
          <w:tcPr>
            <w:tcW w:w="1259" w:type="pct"/>
            <w:tcBorders>
              <w:tl2br w:val="nil"/>
              <w:tr2bl w:val="nil"/>
            </w:tcBorders>
            <w:vAlign w:val="center"/>
          </w:tcPr>
          <w:p>
            <w:pPr>
              <w:pStyle w:val="34"/>
            </w:pPr>
            <w:r>
              <w:t>优点</w:t>
            </w:r>
          </w:p>
        </w:tc>
        <w:tc>
          <w:tcPr>
            <w:tcW w:w="1259" w:type="pct"/>
            <w:tcBorders>
              <w:tl2br w:val="nil"/>
              <w:tr2bl w:val="nil"/>
            </w:tcBorders>
            <w:vAlign w:val="center"/>
          </w:tcPr>
          <w:p>
            <w:pPr>
              <w:pStyle w:val="34"/>
            </w:pPr>
            <w:r>
              <w:t>缺点</w:t>
            </w:r>
          </w:p>
        </w:tc>
        <w:tc>
          <w:tcPr>
            <w:tcW w:w="819" w:type="pct"/>
            <w:tcBorders>
              <w:tl2br w:val="nil"/>
              <w:tr2bl w:val="nil"/>
            </w:tcBorders>
            <w:vAlign w:val="center"/>
          </w:tcPr>
          <w:p>
            <w:pPr>
              <w:pStyle w:val="34"/>
            </w:pPr>
            <w:r>
              <w:t>适用范围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7" w:type="pct"/>
            <w:tcBorders>
              <w:tl2br w:val="nil"/>
              <w:tr2bl w:val="nil"/>
            </w:tcBorders>
            <w:vAlign w:val="center"/>
          </w:tcPr>
          <w:p>
            <w:pPr>
              <w:pStyle w:val="34"/>
            </w:pPr>
            <w:r>
              <w:t>吸附法</w:t>
            </w:r>
          </w:p>
        </w:tc>
        <w:tc>
          <w:tcPr>
            <w:tcW w:w="1423" w:type="pct"/>
            <w:tcBorders>
              <w:tl2br w:val="nil"/>
              <w:tr2bl w:val="nil"/>
            </w:tcBorders>
            <w:vAlign w:val="center"/>
          </w:tcPr>
          <w:p>
            <w:pPr>
              <w:pStyle w:val="34"/>
            </w:pPr>
            <w:r>
              <w:t>废气的分子扩散到固体吸附剂表面，有害成分被吸附而达到净化</w:t>
            </w:r>
          </w:p>
        </w:tc>
        <w:tc>
          <w:tcPr>
            <w:tcW w:w="1259" w:type="pct"/>
            <w:tcBorders>
              <w:tl2br w:val="nil"/>
              <w:tr2bl w:val="nil"/>
            </w:tcBorders>
            <w:vAlign w:val="center"/>
          </w:tcPr>
          <w:p>
            <w:pPr>
              <w:pStyle w:val="34"/>
            </w:pPr>
            <w:r>
              <w:t>可处理含有低浓度的碳氢化合物和低温废气；溶剂可回收，进行有效利用；处理程度可以控制</w:t>
            </w:r>
          </w:p>
        </w:tc>
        <w:tc>
          <w:tcPr>
            <w:tcW w:w="1259" w:type="pct"/>
            <w:tcBorders>
              <w:tl2br w:val="nil"/>
              <w:tr2bl w:val="nil"/>
            </w:tcBorders>
            <w:vAlign w:val="center"/>
          </w:tcPr>
          <w:p>
            <w:pPr>
              <w:pStyle w:val="34"/>
            </w:pPr>
            <w:r>
              <w:t>活性炭再生和补充需要花费的费用多；在处理喷漆室废气时要预先除漆雾</w:t>
            </w:r>
          </w:p>
        </w:tc>
        <w:tc>
          <w:tcPr>
            <w:tcW w:w="819" w:type="pct"/>
            <w:tcBorders>
              <w:tl2br w:val="nil"/>
              <w:tr2bl w:val="nil"/>
            </w:tcBorders>
            <w:vAlign w:val="center"/>
          </w:tcPr>
          <w:p>
            <w:pPr>
              <w:pStyle w:val="34"/>
            </w:pPr>
            <w:r>
              <w:t>适用常温、低浓度、废气量较小时的废气治理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7" w:type="pct"/>
            <w:tcBorders>
              <w:tl2br w:val="nil"/>
              <w:tr2bl w:val="nil"/>
            </w:tcBorders>
            <w:vAlign w:val="center"/>
          </w:tcPr>
          <w:p>
            <w:pPr>
              <w:pStyle w:val="34"/>
            </w:pPr>
            <w:r>
              <w:t>直接燃烧法</w:t>
            </w:r>
          </w:p>
        </w:tc>
        <w:tc>
          <w:tcPr>
            <w:tcW w:w="1423" w:type="pct"/>
            <w:tcBorders>
              <w:tl2br w:val="nil"/>
              <w:tr2bl w:val="nil"/>
            </w:tcBorders>
            <w:vAlign w:val="center"/>
          </w:tcPr>
          <w:p>
            <w:pPr>
              <w:pStyle w:val="34"/>
            </w:pPr>
            <w:r>
              <w:t>废气引入燃烧室与火焰直接接触，使有害物燃烧生成CO</w:t>
            </w:r>
            <w:r>
              <w:rPr>
                <w:vertAlign w:val="subscript"/>
              </w:rPr>
              <w:t>2</w:t>
            </w:r>
            <w:r>
              <w:t>和H</w:t>
            </w:r>
            <w:r>
              <w:rPr>
                <w:vertAlign w:val="subscript"/>
              </w:rPr>
              <w:t>2</w:t>
            </w:r>
            <w:r>
              <w:t>O，使废气净化</w:t>
            </w:r>
          </w:p>
        </w:tc>
        <w:tc>
          <w:tcPr>
            <w:tcW w:w="1259" w:type="pct"/>
            <w:tcBorders>
              <w:tl2br w:val="nil"/>
              <w:tr2bl w:val="nil"/>
            </w:tcBorders>
            <w:vAlign w:val="center"/>
          </w:tcPr>
          <w:p>
            <w:pPr>
              <w:pStyle w:val="34"/>
            </w:pPr>
            <w:r>
              <w:t>燃烧效率高，管理容易；仅烧嘴需经常维护，维护简单；装置占地面积小；不稳定因素少，可靠性高</w:t>
            </w:r>
          </w:p>
        </w:tc>
        <w:tc>
          <w:tcPr>
            <w:tcW w:w="1259" w:type="pct"/>
            <w:tcBorders>
              <w:tl2br w:val="nil"/>
              <w:tr2bl w:val="nil"/>
            </w:tcBorders>
            <w:vAlign w:val="center"/>
          </w:tcPr>
          <w:p>
            <w:pPr>
              <w:pStyle w:val="34"/>
            </w:pPr>
            <w:r>
              <w:t>处理温度高，需燃料费高；燃烧装置、燃烧室、热回收装置等设备造价高；处理像喷漆室浓度低、风量大的废气不经济</w:t>
            </w:r>
          </w:p>
        </w:tc>
        <w:tc>
          <w:tcPr>
            <w:tcW w:w="819" w:type="pct"/>
            <w:tcBorders>
              <w:tl2br w:val="nil"/>
              <w:tr2bl w:val="nil"/>
            </w:tcBorders>
            <w:vAlign w:val="center"/>
          </w:tcPr>
          <w:p>
            <w:pPr>
              <w:pStyle w:val="34"/>
            </w:pPr>
            <w:r>
              <w:t>适用于有机溶剂含量高、湿度高的废气治理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7" w:type="pct"/>
            <w:tcBorders>
              <w:tl2br w:val="nil"/>
              <w:tr2bl w:val="nil"/>
            </w:tcBorders>
            <w:vAlign w:val="center"/>
          </w:tcPr>
          <w:p>
            <w:pPr>
              <w:pStyle w:val="34"/>
            </w:pPr>
            <w:r>
              <w:t>催化燃烧法</w:t>
            </w:r>
          </w:p>
        </w:tc>
        <w:tc>
          <w:tcPr>
            <w:tcW w:w="1423" w:type="pct"/>
            <w:tcBorders>
              <w:tl2br w:val="nil"/>
              <w:tr2bl w:val="nil"/>
            </w:tcBorders>
            <w:vAlign w:val="center"/>
          </w:tcPr>
          <w:p>
            <w:pPr>
              <w:pStyle w:val="34"/>
            </w:pPr>
            <w:r>
              <w:t>在催化剂作用下，使有机物废气在引燃点温度以下燃烧生成CO</w:t>
            </w:r>
            <w:r>
              <w:rPr>
                <w:vertAlign w:val="subscript"/>
              </w:rPr>
              <w:t>2</w:t>
            </w:r>
            <w:r>
              <w:t>和H</w:t>
            </w:r>
            <w:r>
              <w:rPr>
                <w:vertAlign w:val="subscript"/>
              </w:rPr>
              <w:t>2</w:t>
            </w:r>
            <w:r>
              <w:t>O而被净化</w:t>
            </w:r>
          </w:p>
        </w:tc>
        <w:tc>
          <w:tcPr>
            <w:tcW w:w="1259" w:type="pct"/>
            <w:tcBorders>
              <w:tl2br w:val="nil"/>
              <w:tr2bl w:val="nil"/>
            </w:tcBorders>
            <w:vAlign w:val="center"/>
          </w:tcPr>
          <w:p>
            <w:pPr>
              <w:pStyle w:val="34"/>
            </w:pPr>
            <w:r>
              <w:t>与直接燃烧法相比，能在低温下氧化分解，燃料费可省1/2；装置占地面积小；NOx生成少</w:t>
            </w:r>
          </w:p>
        </w:tc>
        <w:tc>
          <w:tcPr>
            <w:tcW w:w="1259" w:type="pct"/>
            <w:tcBorders>
              <w:tl2br w:val="nil"/>
              <w:tr2bl w:val="nil"/>
            </w:tcBorders>
            <w:vAlign w:val="center"/>
          </w:tcPr>
          <w:p>
            <w:pPr>
              <w:pStyle w:val="34"/>
            </w:pPr>
            <w:r>
              <w:t>催化剂价格高，需考虑催化剂中毒和催化剂寿命；必须进行前处理除去尘埃、漆雾等；催化剂和设备价格高</w:t>
            </w:r>
          </w:p>
        </w:tc>
        <w:tc>
          <w:tcPr>
            <w:tcW w:w="819" w:type="pct"/>
            <w:tcBorders>
              <w:tl2br w:val="nil"/>
              <w:tr2bl w:val="nil"/>
            </w:tcBorders>
            <w:vAlign w:val="center"/>
          </w:tcPr>
          <w:p>
            <w:pPr>
              <w:pStyle w:val="34"/>
            </w:pPr>
            <w:r>
              <w:t>适用于废气温度高、流量小、有机溶剂浓度高、含杂质少的场合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7" w:type="pct"/>
            <w:tcBorders>
              <w:tl2br w:val="nil"/>
              <w:tr2bl w:val="nil"/>
            </w:tcBorders>
            <w:vAlign w:val="center"/>
          </w:tcPr>
          <w:p>
            <w:pPr>
              <w:pStyle w:val="34"/>
            </w:pPr>
            <w:r>
              <w:t>吸收法</w:t>
            </w:r>
          </w:p>
        </w:tc>
        <w:tc>
          <w:tcPr>
            <w:tcW w:w="1423" w:type="pct"/>
            <w:tcBorders>
              <w:tl2br w:val="nil"/>
              <w:tr2bl w:val="nil"/>
            </w:tcBorders>
            <w:vAlign w:val="center"/>
          </w:tcPr>
          <w:p>
            <w:pPr>
              <w:pStyle w:val="34"/>
            </w:pPr>
            <w:r>
              <w:t>液体作为吸收剂，使废气中有害气体被吸收剂所吸收从而达到净化</w:t>
            </w:r>
          </w:p>
        </w:tc>
        <w:tc>
          <w:tcPr>
            <w:tcW w:w="1259" w:type="pct"/>
            <w:tcBorders>
              <w:tl2br w:val="nil"/>
              <w:tr2bl w:val="nil"/>
            </w:tcBorders>
            <w:vAlign w:val="center"/>
          </w:tcPr>
          <w:p>
            <w:pPr>
              <w:pStyle w:val="34"/>
            </w:pPr>
            <w:r>
              <w:t>设备费用低，运转费用少；无爆炸、火灾等危险，安全性高；适宜处理喷漆室和挥发室排出废气</w:t>
            </w:r>
          </w:p>
        </w:tc>
        <w:tc>
          <w:tcPr>
            <w:tcW w:w="1259" w:type="pct"/>
            <w:tcBorders>
              <w:tl2br w:val="nil"/>
              <w:tr2bl w:val="nil"/>
            </w:tcBorders>
            <w:vAlign w:val="center"/>
          </w:tcPr>
          <w:p>
            <w:pPr>
              <w:pStyle w:val="34"/>
            </w:pPr>
            <w:r>
              <w:t>需要对产生废水进行二次处理，对涂料品种有限制</w:t>
            </w:r>
          </w:p>
        </w:tc>
        <w:tc>
          <w:tcPr>
            <w:tcW w:w="819" w:type="pct"/>
            <w:tcBorders>
              <w:tl2br w:val="nil"/>
              <w:tr2bl w:val="nil"/>
            </w:tcBorders>
            <w:vAlign w:val="center"/>
          </w:tcPr>
          <w:p>
            <w:pPr>
              <w:pStyle w:val="34"/>
            </w:pPr>
            <w:r>
              <w:t>适用于高、低浓度有机废气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7" w:type="pct"/>
            <w:tcBorders>
              <w:tl2br w:val="nil"/>
              <w:tr2bl w:val="nil"/>
            </w:tcBorders>
            <w:vAlign w:val="center"/>
          </w:tcPr>
          <w:p>
            <w:pPr>
              <w:pStyle w:val="34"/>
            </w:pPr>
            <w:r>
              <w:t>冷凝法</w:t>
            </w:r>
          </w:p>
        </w:tc>
        <w:tc>
          <w:tcPr>
            <w:tcW w:w="1423" w:type="pct"/>
            <w:tcBorders>
              <w:tl2br w:val="nil"/>
              <w:tr2bl w:val="nil"/>
            </w:tcBorders>
            <w:vAlign w:val="center"/>
          </w:tcPr>
          <w:p>
            <w:pPr>
              <w:pStyle w:val="34"/>
            </w:pPr>
            <w:r>
              <w:t>降低有害气体的温度，能使其某些成分冷凝成液体的原理</w:t>
            </w:r>
          </w:p>
        </w:tc>
        <w:tc>
          <w:tcPr>
            <w:tcW w:w="1259" w:type="pct"/>
            <w:tcBorders>
              <w:tl2br w:val="nil"/>
              <w:tr2bl w:val="nil"/>
            </w:tcBorders>
            <w:vAlign w:val="center"/>
          </w:tcPr>
          <w:p>
            <w:pPr>
              <w:pStyle w:val="34"/>
            </w:pPr>
            <w:r>
              <w:t>设备、操作条件简单，回收物质纯度高</w:t>
            </w:r>
          </w:p>
        </w:tc>
        <w:tc>
          <w:tcPr>
            <w:tcW w:w="1259" w:type="pct"/>
            <w:tcBorders>
              <w:tl2br w:val="nil"/>
              <w:tr2bl w:val="nil"/>
            </w:tcBorders>
            <w:vAlign w:val="center"/>
          </w:tcPr>
          <w:p>
            <w:pPr>
              <w:pStyle w:val="34"/>
            </w:pPr>
            <w:r>
              <w:t>净化效率低，不能达到标准要求</w:t>
            </w:r>
          </w:p>
        </w:tc>
        <w:tc>
          <w:tcPr>
            <w:tcW w:w="819" w:type="pct"/>
            <w:tcBorders>
              <w:tl2br w:val="nil"/>
              <w:tr2bl w:val="nil"/>
            </w:tcBorders>
            <w:vAlign w:val="center"/>
          </w:tcPr>
          <w:p>
            <w:pPr>
              <w:pStyle w:val="34"/>
            </w:pPr>
            <w:r>
              <w:t>适用于组分单一的高浓度有机废气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7" w:type="pct"/>
            <w:tcBorders>
              <w:tl2br w:val="nil"/>
              <w:tr2bl w:val="nil"/>
            </w:tcBorders>
            <w:vAlign w:val="center"/>
          </w:tcPr>
          <w:p>
            <w:pPr>
              <w:pStyle w:val="34"/>
            </w:pPr>
            <w:r>
              <w:t>UV光氧催化净化法</w:t>
            </w:r>
          </w:p>
        </w:tc>
        <w:tc>
          <w:tcPr>
            <w:tcW w:w="1423" w:type="pct"/>
            <w:tcBorders>
              <w:tl2br w:val="nil"/>
              <w:tr2bl w:val="nil"/>
            </w:tcBorders>
            <w:vAlign w:val="center"/>
          </w:tcPr>
          <w:p>
            <w:pPr>
              <w:pStyle w:val="34"/>
            </w:pPr>
            <w:r>
              <w:t>利用特制的高能UV紫外线光束照射有机废气，裂解有机废气的分子键，瞬间打开断裂VOC类，非甲烷总烃、苯、甲苯、二甲苯的分子链结构，降解转变为低分子化合物，如二氧化碳和水等物质</w:t>
            </w:r>
          </w:p>
        </w:tc>
        <w:tc>
          <w:tcPr>
            <w:tcW w:w="1259" w:type="pct"/>
            <w:tcBorders>
              <w:tl2br w:val="nil"/>
              <w:tr2bl w:val="nil"/>
            </w:tcBorders>
            <w:vAlign w:val="center"/>
          </w:tcPr>
          <w:p>
            <w:pPr>
              <w:pStyle w:val="34"/>
            </w:pPr>
            <w:r>
              <w:t>适应性强，处理效率高、无需添加任何辅助物质、无二次污染、设备配置安装灵活、运行成本低</w:t>
            </w:r>
          </w:p>
        </w:tc>
        <w:tc>
          <w:tcPr>
            <w:tcW w:w="1259" w:type="pct"/>
            <w:tcBorders>
              <w:tl2br w:val="nil"/>
              <w:tr2bl w:val="nil"/>
            </w:tcBorders>
            <w:vAlign w:val="center"/>
          </w:tcPr>
          <w:p>
            <w:pPr>
              <w:pStyle w:val="34"/>
            </w:pPr>
            <w:r>
              <w:t>无明显缺点</w:t>
            </w:r>
          </w:p>
        </w:tc>
        <w:tc>
          <w:tcPr>
            <w:tcW w:w="819" w:type="pct"/>
            <w:tcBorders>
              <w:tl2br w:val="nil"/>
              <w:tr2bl w:val="nil"/>
            </w:tcBorders>
            <w:vAlign w:val="center"/>
          </w:tcPr>
          <w:p>
            <w:pPr>
              <w:pStyle w:val="34"/>
            </w:pPr>
            <w:r>
              <w:t>适用范围广泛、适用于高浓度、大气量、不同工业有机废气处理</w:t>
            </w:r>
          </w:p>
        </w:tc>
      </w:tr>
    </w:tbl>
    <w:p>
      <w:pPr>
        <w:pStyle w:val="7"/>
        <w:ind w:firstLine="480"/>
        <w:rPr>
          <w:rFonts w:cs="Times New Roman"/>
        </w:rPr>
      </w:pPr>
      <w:r>
        <w:rPr>
          <w:rFonts w:cs="Times New Roman"/>
        </w:rPr>
        <w:t>由上表可知，针对小型生产加工型产生有机废气的企业，从环境、经济等角度分析，UV光氧催化方法非常合适，该方法集中了以上几种处理方式的优点，且基本没有明显缺点。本项目产生的挥发性有机废气没有回收利用价值，结合上表各种有机废气净化方法，同时考虑去除效率、运行费用等，最终确定本项目采用UV光氧催化+活性炭吸附处理有机废气。</w:t>
      </w:r>
    </w:p>
    <w:p>
      <w:pPr>
        <w:pStyle w:val="6"/>
      </w:pPr>
      <w:r>
        <w:t>废气治理措施原理及特点</w:t>
      </w:r>
    </w:p>
    <w:p>
      <w:pPr>
        <w:pStyle w:val="7"/>
        <w:ind w:firstLine="480"/>
        <w:rPr>
          <w:rFonts w:cs="Times New Roman"/>
        </w:rPr>
      </w:pPr>
      <w:r>
        <w:rPr>
          <w:rFonts w:cs="Times New Roman"/>
        </w:rPr>
        <w:t>1.运行原理</w:t>
      </w:r>
    </w:p>
    <w:p>
      <w:pPr>
        <w:pStyle w:val="7"/>
        <w:ind w:firstLine="480"/>
        <w:rPr>
          <w:rFonts w:cs="Times New Roman"/>
        </w:rPr>
      </w:pPr>
      <w:r>
        <w:rPr>
          <w:rFonts w:cs="Times New Roman"/>
        </w:rPr>
        <w:t>（1）UV光氧催化装置</w:t>
      </w:r>
    </w:p>
    <w:p>
      <w:pPr>
        <w:pStyle w:val="7"/>
        <w:ind w:firstLine="480"/>
        <w:rPr>
          <w:rFonts w:cs="Times New Roman"/>
        </w:rPr>
      </w:pPr>
      <w:r>
        <w:rPr>
          <w:rFonts w:ascii="Cambria Math" w:hAnsi="Cambria Math" w:cs="Cambria Math"/>
        </w:rPr>
        <w:t>①</w:t>
      </w:r>
      <w:r>
        <w:rPr>
          <w:rFonts w:cs="Times New Roman"/>
        </w:rPr>
        <w:t>利用特制的高能UV紫外线光束照射有机废气和恶臭气体，裂解有机废气和恶臭气体的分子键，瞬间打开断裂氨、硫化氢、二硫化碳、甲硫醇、甲硫醚、二甲二硫、三甲胺、苯乙烯以及VOC类，苯、甲苯、二甲苯的分子链结构，降解转变为低分子化合物，如二氧化碳和水等物质。</w:t>
      </w:r>
    </w:p>
    <w:p>
      <w:pPr>
        <w:pStyle w:val="7"/>
        <w:ind w:firstLine="480"/>
        <w:rPr>
          <w:rFonts w:cs="Times New Roman"/>
        </w:rPr>
      </w:pPr>
      <w:r>
        <w:rPr>
          <w:rFonts w:ascii="Cambria Math" w:hAnsi="Cambria Math" w:cs="Cambria Math"/>
        </w:rPr>
        <w:t>②</w:t>
      </w:r>
      <w:r>
        <w:rPr>
          <w:rFonts w:cs="Times New Roman"/>
        </w:rPr>
        <w:t>利用高能臭氧分解空气中的氧分子产生游离氧，即活性氧，因游离氧所携正负电子不平衡所以需与氧分子结合，进而产生臭氧，使游离状态的污染物分子与臭氧氧化结合成小分子无害或低害的化合物。如CO</w:t>
      </w:r>
      <w:r>
        <w:rPr>
          <w:rFonts w:cs="Times New Roman"/>
          <w:vertAlign w:val="subscript"/>
        </w:rPr>
        <w:t>2</w:t>
      </w:r>
      <w:r>
        <w:rPr>
          <w:rFonts w:cs="Times New Roman"/>
        </w:rPr>
        <w:t>、H</w:t>
      </w:r>
      <w:r>
        <w:rPr>
          <w:rFonts w:cs="Times New Roman"/>
          <w:vertAlign w:val="subscript"/>
        </w:rPr>
        <w:t>2</w:t>
      </w:r>
      <w:r>
        <w:rPr>
          <w:rFonts w:cs="Times New Roman"/>
        </w:rPr>
        <w:t>O等。UV+O</w:t>
      </w:r>
      <w:r>
        <w:rPr>
          <w:rFonts w:cs="Times New Roman"/>
          <w:vertAlign w:val="subscript"/>
        </w:rPr>
        <w:t>2</w:t>
      </w:r>
      <w:r>
        <w:rPr>
          <w:rFonts w:cs="Times New Roman"/>
        </w:rPr>
        <w:t>→O</w:t>
      </w:r>
      <w:r>
        <w:rPr>
          <w:rFonts w:cs="Times New Roman"/>
          <w:vertAlign w:val="superscript"/>
        </w:rPr>
        <w:t>-</w:t>
      </w:r>
      <w:r>
        <w:rPr>
          <w:rFonts w:cs="Times New Roman"/>
        </w:rPr>
        <w:t>+O*（活性氧）O+O</w:t>
      </w:r>
      <w:r>
        <w:rPr>
          <w:rFonts w:cs="Times New Roman"/>
          <w:vertAlign w:val="subscript"/>
        </w:rPr>
        <w:t>2</w:t>
      </w:r>
      <w:r>
        <w:rPr>
          <w:rFonts w:cs="Times New Roman"/>
        </w:rPr>
        <w:t>→O</w:t>
      </w:r>
      <w:r>
        <w:rPr>
          <w:rFonts w:cs="Times New Roman"/>
          <w:vertAlign w:val="subscript"/>
        </w:rPr>
        <w:t>3</w:t>
      </w:r>
      <w:r>
        <w:rPr>
          <w:rFonts w:cs="Times New Roman"/>
        </w:rPr>
        <w:t>（臭氧）。</w:t>
      </w:r>
    </w:p>
    <w:p>
      <w:pPr>
        <w:pStyle w:val="7"/>
        <w:ind w:firstLine="480"/>
        <w:rPr>
          <w:rFonts w:cs="Times New Roman"/>
        </w:rPr>
      </w:pPr>
      <w:r>
        <w:rPr>
          <w:rFonts w:ascii="Cambria Math" w:hAnsi="Cambria Math" w:cs="Cambria Math"/>
        </w:rPr>
        <w:t>③</w:t>
      </w:r>
      <w:r>
        <w:rPr>
          <w:rFonts w:cs="Times New Roman"/>
        </w:rPr>
        <w:t>利用特制的TiO</w:t>
      </w:r>
      <w:r>
        <w:rPr>
          <w:rFonts w:cs="Times New Roman"/>
          <w:vertAlign w:val="subscript"/>
        </w:rPr>
        <w:t>2</w:t>
      </w:r>
      <w:r>
        <w:rPr>
          <w:rFonts w:cs="Times New Roman"/>
        </w:rPr>
        <w:t>光触媒催化氧化过滤棉，在UV紫外光的照射下，对空气进行协同催化反应，产生大量臭氧，对有机废气和恶臭气体进行催化氧化协同分解反应，使有机废气和恶臭气体物质降解转化成低分子化合物、水和二氧化碳，从而达到脱臭及杀灭细菌的目的。</w:t>
      </w:r>
    </w:p>
    <w:p>
      <w:pPr>
        <w:pStyle w:val="7"/>
        <w:ind w:firstLine="480"/>
        <w:rPr>
          <w:rFonts w:cs="Times New Roman"/>
        </w:rPr>
      </w:pPr>
      <w:r>
        <w:rPr>
          <w:rFonts w:cs="Times New Roman"/>
        </w:rPr>
        <w:t>（2）活性炭吸附装置</w:t>
      </w:r>
    </w:p>
    <w:p>
      <w:pPr>
        <w:pStyle w:val="7"/>
        <w:ind w:firstLine="464"/>
        <w:rPr>
          <w:rFonts w:cs="Times New Roman"/>
          <w:spacing w:val="-4"/>
        </w:rPr>
      </w:pPr>
      <w:r>
        <w:rPr>
          <w:rFonts w:cs="Times New Roman"/>
          <w:spacing w:val="-4"/>
        </w:rPr>
        <w:t>活性炭是经过活化处理后的碳，其具备比表面积大，孔隙多的特点，使其具有较强吸附能力。颗粒碳比表面积一般可达700-1200m</w:t>
      </w:r>
      <w:r>
        <w:rPr>
          <w:rFonts w:cs="Times New Roman"/>
          <w:spacing w:val="-4"/>
          <w:vertAlign w:val="superscript"/>
        </w:rPr>
        <w:t>2</w:t>
      </w:r>
      <w:r>
        <w:rPr>
          <w:rFonts w:cs="Times New Roman"/>
          <w:spacing w:val="-4"/>
        </w:rPr>
        <w:t>/g，其孔径大小范围在1.5nm-5um之间。其吸附方式主要通过2种途径：一是活性炭与气体分子间的范德华力，当气体分子经过活性炭表面，范德华力起主导作用时，气体分子先被吸附至活性炭外表面，小于活性炭孔径的分子经内部扩散转移至内表面，从而达到吸附的效果，此为物理吸附；二是吸附质与吸附剂表面原子间的化学键合成，此为化学吸附。活性炭吸附一般适用于大风量、低浓度、低湿度、低含尘的有机废气。</w:t>
      </w:r>
    </w:p>
    <w:p>
      <w:pPr>
        <w:pStyle w:val="7"/>
        <w:ind w:firstLine="480"/>
        <w:rPr>
          <w:rFonts w:cs="Times New Roman"/>
        </w:rPr>
      </w:pPr>
      <w:r>
        <w:rPr>
          <w:rFonts w:cs="Times New Roman"/>
        </w:rPr>
        <w:t>2.技术特点</w:t>
      </w:r>
    </w:p>
    <w:p>
      <w:pPr>
        <w:pStyle w:val="7"/>
        <w:ind w:firstLine="480"/>
        <w:rPr>
          <w:rFonts w:cs="Times New Roman"/>
        </w:rPr>
      </w:pPr>
      <w:r>
        <w:rPr>
          <w:rFonts w:cs="Times New Roman"/>
        </w:rPr>
        <w:t>适应性强：可适应绝大部分高浓度，大气量，不同有机气体物质的净化处理，通过合理的模块配置可广泛应用于：炼油厂、橡胶厂、化工厂、制药厂、污水处理厂、垃圾转运站、污水泵房、中央空调等气体的脱臭灭菌净化处理。可每天24小时连续工作，运行稳定可靠。</w:t>
      </w:r>
    </w:p>
    <w:p>
      <w:pPr>
        <w:pStyle w:val="7"/>
        <w:ind w:firstLine="480"/>
        <w:rPr>
          <w:rFonts w:cs="Times New Roman"/>
        </w:rPr>
      </w:pPr>
      <w:r>
        <w:rPr>
          <w:rFonts w:cs="Times New Roman"/>
        </w:rPr>
        <w:t>高效去除率：能高效去除挥发性有机物（VOC</w:t>
      </w:r>
      <w:r>
        <w:rPr>
          <w:rFonts w:hint="eastAsia" w:cs="Times New Roman"/>
        </w:rPr>
        <w:t>s</w:t>
      </w:r>
      <w:r>
        <w:rPr>
          <w:rFonts w:cs="Times New Roman"/>
        </w:rPr>
        <w:t>）及硫化氢、氨气等无机物类污染物，各种恶臭味，脱臭效率最高可达99%以上。</w:t>
      </w:r>
    </w:p>
    <w:p>
      <w:pPr>
        <w:pStyle w:val="7"/>
        <w:ind w:firstLine="480"/>
        <w:rPr>
          <w:rFonts w:cs="Times New Roman"/>
        </w:rPr>
      </w:pPr>
      <w:r>
        <w:rPr>
          <w:rFonts w:cs="Times New Roman"/>
        </w:rPr>
        <w:t>运行成本低：本设备无任何机械装置，无运动噪音，无需专人管理和日常维护，只需作定期检查维护，维护和能耗低，风阻极低，可节约大量排风动力能耗。</w:t>
      </w:r>
    </w:p>
    <w:p>
      <w:pPr>
        <w:pStyle w:val="7"/>
        <w:ind w:firstLine="464"/>
        <w:rPr>
          <w:rFonts w:cs="Times New Roman"/>
          <w:spacing w:val="-4"/>
        </w:rPr>
      </w:pPr>
      <w:r>
        <w:rPr>
          <w:rFonts w:cs="Times New Roman"/>
          <w:spacing w:val="-4"/>
        </w:rPr>
        <w:t>安全可靠：因采用光解原理，模块采取隔爆处理，消除了安全隐患，防火、防爆、防腐蚀性能高，设备性能安全稳定，特别适用于高浓度易燃易爆废气的场合。</w:t>
      </w:r>
    </w:p>
    <w:p>
      <w:pPr>
        <w:pStyle w:val="7"/>
        <w:ind w:firstLine="480"/>
        <w:rPr>
          <w:rFonts w:cs="Times New Roman"/>
        </w:rPr>
      </w:pPr>
      <w:r>
        <w:rPr>
          <w:rFonts w:cs="Times New Roman"/>
        </w:rPr>
        <w:t>无需预处理：有机气体无需进行特殊的预处理，如加温、加湿等，设备工作环境温度在-30℃～95℃之间，湿度在30%～98%、pH值在2～13范围均可正常工作，无需添加其他物质及药剂参与处理。</w:t>
      </w:r>
    </w:p>
    <w:p>
      <w:pPr>
        <w:pStyle w:val="7"/>
        <w:ind w:firstLine="480"/>
        <w:rPr>
          <w:rFonts w:cs="Times New Roman"/>
        </w:rPr>
      </w:pPr>
      <w:r>
        <w:rPr>
          <w:rFonts w:cs="Times New Roman"/>
        </w:rPr>
        <w:t>配置安装灵活：可根据风量及气体浓度的大小，灵活配置光解氧化模块的个数，采用抽屉式插拔安装形式，配件统一、安装及维护方便。备件可在线维护和更换，方便灵活。</w:t>
      </w:r>
    </w:p>
    <w:p>
      <w:pPr>
        <w:pStyle w:val="7"/>
        <w:ind w:firstLine="456"/>
        <w:rPr>
          <w:rFonts w:cs="Times New Roman"/>
          <w:spacing w:val="-6"/>
        </w:rPr>
      </w:pPr>
      <w:r>
        <w:rPr>
          <w:rFonts w:cs="Times New Roman"/>
          <w:spacing w:val="-6"/>
        </w:rPr>
        <w:t>根据《排污许可证申请与核发技术规范 废弃资源加工工业》（HJ1034-2019）附录 A.1，废塑料加工熔融挤出（造粒）工序产生的非甲烷总烃治理可行技术包括高温焚烧、催化燃烧、活性炭吸附。根据《排污许可证申请与核发技术规范 橡胶和塑料制品工业》（HJ1122-2020）附录 A.2“塑料制品工业排污单位废气污染防治可行技术参考表”，塑料板、管、型材制造等产生的非甲烷总烃治理可行技术包括喷淋、吸附、吸附浓缩+热力燃烧/催化燃烧。本项目</w:t>
      </w:r>
      <w:r>
        <w:rPr>
          <w:rFonts w:hint="eastAsia" w:cs="Times New Roman"/>
          <w:spacing w:val="-6"/>
        </w:rPr>
        <w:t>废旧塑料</w:t>
      </w:r>
      <w:r>
        <w:rPr>
          <w:rFonts w:cs="Times New Roman"/>
          <w:spacing w:val="-6"/>
        </w:rPr>
        <w:t>造粒</w:t>
      </w:r>
      <w:r>
        <w:rPr>
          <w:rFonts w:hint="eastAsia" w:cs="Times New Roman"/>
          <w:spacing w:val="-6"/>
        </w:rPr>
        <w:t>、</w:t>
      </w:r>
      <w:r>
        <w:rPr>
          <w:rFonts w:cs="Times New Roman"/>
          <w:spacing w:val="-6"/>
        </w:rPr>
        <w:t>滴灌带</w:t>
      </w:r>
      <w:r>
        <w:rPr>
          <w:rFonts w:hint="eastAsia" w:cs="Times New Roman"/>
          <w:spacing w:val="-6"/>
        </w:rPr>
        <w:t>及水带</w:t>
      </w:r>
      <w:r>
        <w:rPr>
          <w:rFonts w:cs="Times New Roman"/>
          <w:spacing w:val="-6"/>
        </w:rPr>
        <w:t>生产有机废气采用“UV光氧催化+活性炭吸附”两级处理，为可行性技术。</w:t>
      </w:r>
    </w:p>
    <w:p>
      <w:pPr>
        <w:pStyle w:val="6"/>
      </w:pPr>
      <w:r>
        <w:t>达标排放分析</w:t>
      </w:r>
    </w:p>
    <w:p>
      <w:pPr>
        <w:pStyle w:val="7"/>
        <w:ind w:firstLine="480"/>
        <w:rPr>
          <w:rFonts w:cs="Times New Roman"/>
        </w:rPr>
      </w:pPr>
      <w:r>
        <w:rPr>
          <w:rFonts w:cs="Times New Roman"/>
          <w:lang w:val="zh-CN"/>
        </w:rPr>
        <w:t>本项目回收的废旧滴灌带</w:t>
      </w:r>
      <w:r>
        <w:rPr>
          <w:rFonts w:hint="eastAsia" w:cs="Times New Roman"/>
          <w:lang w:val="zh-CN"/>
        </w:rPr>
        <w:t>及废水带</w:t>
      </w:r>
      <w:r>
        <w:rPr>
          <w:rFonts w:cs="Times New Roman"/>
          <w:lang w:val="zh-CN"/>
        </w:rPr>
        <w:t>经过抽拉和运输，使得废滴灌带沾的泥土几乎都掉了，而附在滴灌带上的泥土量极少，且堆放过程不易扬尘；且《排放源统计调查产排污核算方法和系数手册》中“附表2 工业源固体物料堆场颗粒物核算系数手册”也是指块状、粉状等粒径在一定范围内的物料堆放才考虑颗粒物排放，因此不考虑滴灌带堆放的扬尘。项目废旧滴灌带</w:t>
      </w:r>
      <w:r>
        <w:rPr>
          <w:rFonts w:hint="eastAsia" w:cs="Times New Roman"/>
          <w:lang w:val="zh-CN"/>
        </w:rPr>
        <w:t>及废水带</w:t>
      </w:r>
      <w:r>
        <w:rPr>
          <w:rFonts w:cs="Times New Roman"/>
          <w:lang w:val="zh-CN"/>
        </w:rPr>
        <w:t>采用湿式破碎，破碎直径约为10cm的碎片，废旧滴灌带</w:t>
      </w:r>
      <w:r>
        <w:rPr>
          <w:rFonts w:hint="eastAsia" w:cs="Times New Roman"/>
          <w:lang w:val="zh-CN"/>
        </w:rPr>
        <w:t>及废水带</w:t>
      </w:r>
      <w:r>
        <w:rPr>
          <w:rFonts w:cs="Times New Roman"/>
          <w:lang w:val="zh-CN"/>
        </w:rPr>
        <w:t>碎片直径较大，且破碎采用湿式破碎，因此破碎过程中几乎不产生粉尘。</w:t>
      </w:r>
    </w:p>
    <w:p>
      <w:pPr>
        <w:pStyle w:val="7"/>
        <w:ind w:firstLine="480"/>
        <w:rPr>
          <w:rFonts w:cs="Times New Roman"/>
        </w:rPr>
      </w:pPr>
      <w:r>
        <w:rPr>
          <w:rFonts w:cs="Times New Roman"/>
        </w:rPr>
        <w:t>本评价要求建设单位在造粒工段及滴灌带生产工段分别对每台挤出成型设备安装集气罩收集废气，收集的废气进入一套UV光氧催化装置+活性炭吸附装置净化处理后通过一根15m高排气筒排放；根据工程分析，项目产生的非甲烷总烃经处理后排放浓度为</w:t>
      </w:r>
      <w:r>
        <w:rPr>
          <w:rFonts w:hint="eastAsia" w:cs="Times New Roman"/>
        </w:rPr>
        <w:t>61</w:t>
      </w:r>
      <w:r>
        <w:rPr>
          <w:rFonts w:cs="Times New Roman"/>
        </w:rPr>
        <w:t>mg/m</w:t>
      </w:r>
      <w:r>
        <w:rPr>
          <w:rFonts w:cs="Times New Roman"/>
          <w:vertAlign w:val="superscript"/>
        </w:rPr>
        <w:t>3</w:t>
      </w:r>
      <w:r>
        <w:rPr>
          <w:rFonts w:cs="Times New Roman"/>
        </w:rPr>
        <w:t>，</w:t>
      </w:r>
      <w:r>
        <w:rPr>
          <w:rFonts w:cs="Times New Roman"/>
          <w:lang w:val="zh-CN"/>
        </w:rPr>
        <w:t>排放浓度满足</w:t>
      </w:r>
      <w:r>
        <w:rPr>
          <w:rFonts w:hint="eastAsia" w:cs="Times New Roman"/>
          <w:lang w:val="zh-CN"/>
        </w:rPr>
        <w:t>《合成树脂工业污染物排放标准》（GB 31572-2015，含2024年修改单）</w:t>
      </w:r>
      <w:r>
        <w:rPr>
          <w:rFonts w:cs="Times New Roman"/>
          <w:lang w:val="zh-CN"/>
        </w:rPr>
        <w:t>中表4大气污染物非甲烷总烃排放限值要求（100mg/m</w:t>
      </w:r>
      <w:r>
        <w:rPr>
          <w:rFonts w:cs="Times New Roman"/>
          <w:vertAlign w:val="superscript"/>
          <w:lang w:val="zh-CN"/>
        </w:rPr>
        <w:t>3</w:t>
      </w:r>
      <w:r>
        <w:rPr>
          <w:rFonts w:cs="Times New Roman"/>
          <w:lang w:val="zh-CN"/>
        </w:rPr>
        <w:t>）</w:t>
      </w:r>
      <w:r>
        <w:rPr>
          <w:rFonts w:cs="Times New Roman"/>
        </w:rPr>
        <w:t>。</w:t>
      </w:r>
    </w:p>
    <w:p>
      <w:pPr>
        <w:pStyle w:val="7"/>
        <w:ind w:firstLine="480"/>
        <w:rPr>
          <w:rFonts w:cs="Times New Roman"/>
        </w:rPr>
      </w:pPr>
      <w:r>
        <w:rPr>
          <w:rFonts w:cs="Times New Roman"/>
        </w:rPr>
        <w:t>针对生产车间无组织排放的非甲烷总烃，其主要影响车间室内环境空气，建设单位通过加强管理，做好造粒车间、成品车间通风工作以改善空气环境；同时加强操作工人的自我防护，配备必要的劳保用品（口罩、眼镜等），并严格按照相关劳动规范作业，以尽量减轻废气排放对环境空气及员工健康的影响。</w:t>
      </w:r>
    </w:p>
    <w:p>
      <w:pPr>
        <w:pStyle w:val="7"/>
        <w:ind w:firstLine="480"/>
        <w:rPr>
          <w:rFonts w:cs="Times New Roman"/>
        </w:rPr>
      </w:pPr>
      <w:r>
        <w:rPr>
          <w:rFonts w:cs="Times New Roman"/>
        </w:rPr>
        <w:t>环评要求建设单位对废旧滴灌带及废水带严格管理，</w:t>
      </w:r>
      <w:r>
        <w:rPr>
          <w:rFonts w:hint="eastAsia" w:cs="Times New Roman"/>
        </w:rPr>
        <w:t>其均于</w:t>
      </w:r>
      <w:r>
        <w:rPr>
          <w:rFonts w:cs="Times New Roman"/>
        </w:rPr>
        <w:t>原料库房</w:t>
      </w:r>
      <w:r>
        <w:rPr>
          <w:rFonts w:hint="eastAsia" w:cs="Times New Roman"/>
        </w:rPr>
        <w:t>内</w:t>
      </w:r>
      <w:r>
        <w:rPr>
          <w:rFonts w:cs="Times New Roman"/>
        </w:rPr>
        <w:t>堆存，严禁露天堆放、敞开式作业；针对装卸粉尘，评价要求建设单位合理装卸、降低装卸高度并设置挡板、运输车辆采用篷布遮盖，防止大风起尘等措施降低装卸粉尘；原料破碎采用湿法破碎。</w:t>
      </w:r>
    </w:p>
    <w:p>
      <w:pPr>
        <w:pStyle w:val="7"/>
        <w:ind w:firstLine="480"/>
        <w:rPr>
          <w:rFonts w:cs="Times New Roman"/>
        </w:rPr>
      </w:pPr>
      <w:r>
        <w:rPr>
          <w:rFonts w:cs="Times New Roman"/>
        </w:rPr>
        <w:t>综上所述，项目运营期产生的各项废气均采取相应处置措施，根据分析项目采取的各项废气治理措施均合理可行，符合《废塑料污染控制技术规范》（HJ364-2022）中相关要求。综上所述，项目废气治理措施合理可行。</w:t>
      </w:r>
    </w:p>
    <w:p>
      <w:pPr>
        <w:pStyle w:val="5"/>
        <w:rPr>
          <w:rFonts w:cs="Times New Roman"/>
        </w:rPr>
      </w:pPr>
      <w:r>
        <w:rPr>
          <w:rFonts w:cs="Times New Roman"/>
        </w:rPr>
        <w:t>废水污染防治措施及其可行性分析</w:t>
      </w:r>
    </w:p>
    <w:p>
      <w:pPr>
        <w:pStyle w:val="7"/>
        <w:ind w:firstLine="480"/>
        <w:rPr>
          <w:rFonts w:cs="Times New Roman"/>
        </w:rPr>
      </w:pPr>
      <w:r>
        <w:rPr>
          <w:rFonts w:cs="Times New Roman"/>
        </w:rPr>
        <w:t>本项目生产废水为原料清洗废水，清洗废水经沉淀处理后循环使用，不外排；生活污水在厂区化粪池暂存，</w:t>
      </w:r>
      <w:r>
        <w:rPr>
          <w:rFonts w:cs="Times New Roman"/>
          <w:lang w:val="zh-CN"/>
        </w:rPr>
        <w:t>定期由环卫</w:t>
      </w:r>
      <w:r>
        <w:rPr>
          <w:rFonts w:hint="eastAsia" w:cs="Times New Roman"/>
          <w:lang w:val="zh-CN"/>
        </w:rPr>
        <w:t>部门</w:t>
      </w:r>
      <w:r>
        <w:rPr>
          <w:rFonts w:cs="Times New Roman"/>
          <w:lang w:val="zh-CN"/>
        </w:rPr>
        <w:t>拉运处理</w:t>
      </w:r>
      <w:r>
        <w:rPr>
          <w:rFonts w:cs="Times New Roman"/>
        </w:rPr>
        <w:t>。</w:t>
      </w:r>
    </w:p>
    <w:p>
      <w:pPr>
        <w:pStyle w:val="6"/>
      </w:pPr>
      <w:r>
        <w:t>生产废水</w:t>
      </w:r>
    </w:p>
    <w:p>
      <w:pPr>
        <w:spacing w:line="360" w:lineRule="auto"/>
        <w:ind w:firstLine="480" w:firstLineChars="200"/>
        <w:rPr>
          <w:rFonts w:ascii="Times New Roman" w:hAnsi="Times New Roman"/>
          <w:sz w:val="24"/>
        </w:rPr>
      </w:pPr>
      <w:r>
        <w:rPr>
          <w:rFonts w:ascii="Times New Roman" w:hAnsi="Times New Roman"/>
          <w:sz w:val="24"/>
        </w:rPr>
        <w:t>根据《废塑料污染控制技术规范》（HJ 364-2022）中的要求，“废塑料预处理、再生利用等过程中产生的废水和厂区产生的</w:t>
      </w:r>
      <w:r>
        <w:rPr>
          <w:rFonts w:hint="eastAsia" w:ascii="Times New Roman" w:hAnsi="Times New Roman"/>
          <w:sz w:val="24"/>
        </w:rPr>
        <w:t>生活污水</w:t>
      </w:r>
      <w:r>
        <w:rPr>
          <w:rFonts w:ascii="Times New Roman" w:hAnsi="Times New Roman"/>
          <w:sz w:val="24"/>
        </w:rPr>
        <w:t>，企业应有配套的废水收集设施。废水宜在厂区内处理并循环利用。”本项目清洗工序配套设置有三级沉淀池（容积400m</w:t>
      </w:r>
      <w:r>
        <w:rPr>
          <w:rFonts w:ascii="Times New Roman" w:hAnsi="Times New Roman"/>
          <w:sz w:val="24"/>
          <w:vertAlign w:val="superscript"/>
        </w:rPr>
        <w:t>3</w:t>
      </w:r>
      <w:r>
        <w:rPr>
          <w:rFonts w:ascii="Times New Roman" w:hAnsi="Times New Roman"/>
          <w:sz w:val="24"/>
        </w:rPr>
        <w:t>）一座，项目产生清洗废水量27.</w:t>
      </w:r>
      <w:r>
        <w:rPr>
          <w:rFonts w:hint="eastAsia" w:ascii="Times New Roman" w:hAnsi="Times New Roman"/>
          <w:sz w:val="24"/>
        </w:rPr>
        <w:t>8</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/d，沉淀循环池设计可满足24h沉淀时间，一方面保证废水充分入池处理，另一方面保证沉淀效果，以便回用。项目停产后，沉淀池内废水不外排，待开工时继续循环使用。</w:t>
      </w:r>
    </w:p>
    <w:p>
      <w:pPr>
        <w:pStyle w:val="6"/>
      </w:pPr>
      <w:r>
        <w:t>生活污水</w:t>
      </w:r>
    </w:p>
    <w:p>
      <w:pPr>
        <w:pStyle w:val="7"/>
        <w:ind w:firstLine="480"/>
        <w:rPr>
          <w:rFonts w:cs="Times New Roman"/>
        </w:rPr>
      </w:pPr>
      <w:r>
        <w:rPr>
          <w:rFonts w:cs="Times New Roman"/>
          <w:lang w:val="zh-CN"/>
        </w:rPr>
        <w:t>项目劳动定员</w:t>
      </w:r>
      <w:r>
        <w:rPr>
          <w:rFonts w:cs="Times New Roman"/>
        </w:rPr>
        <w:t>30</w:t>
      </w:r>
      <w:r>
        <w:rPr>
          <w:rFonts w:cs="Times New Roman"/>
          <w:lang w:val="zh-CN"/>
        </w:rPr>
        <w:t>人，</w:t>
      </w:r>
      <w:r>
        <w:rPr>
          <w:rFonts w:hint="eastAsia" w:cs="Times New Roman"/>
          <w:lang w:val="zh-CN"/>
        </w:rPr>
        <w:t>员工</w:t>
      </w:r>
      <w:r>
        <w:rPr>
          <w:rFonts w:cs="Times New Roman"/>
          <w:lang w:val="zh-CN"/>
        </w:rPr>
        <w:t>生活污水产生量为</w:t>
      </w:r>
      <w:r>
        <w:rPr>
          <w:rFonts w:cs="Times New Roman"/>
        </w:rPr>
        <w:t>432</w:t>
      </w:r>
      <w:r>
        <w:rPr>
          <w:rFonts w:cs="Times New Roman"/>
          <w:lang w:val="zh-CN"/>
        </w:rPr>
        <w:t>m³/a。建设单位在厂区建设了一座30m³的化粪池临时储存生活污水，定期</w:t>
      </w:r>
      <w:r>
        <w:rPr>
          <w:rFonts w:hint="eastAsia" w:cs="Times New Roman"/>
          <w:lang w:val="zh-CN"/>
        </w:rPr>
        <w:t>由环卫部门拉运统一处理</w:t>
      </w:r>
      <w:r>
        <w:rPr>
          <w:rFonts w:cs="Times New Roman"/>
          <w:lang w:val="zh-CN"/>
        </w:rPr>
        <w:t>。</w:t>
      </w:r>
    </w:p>
    <w:p>
      <w:pPr>
        <w:pStyle w:val="7"/>
        <w:ind w:firstLine="480"/>
        <w:rPr>
          <w:rFonts w:cs="Times New Roman"/>
        </w:rPr>
      </w:pPr>
      <w:r>
        <w:rPr>
          <w:rFonts w:cs="Times New Roman"/>
        </w:rPr>
        <w:t>为了防止生活污水拉运过程中出现的环境风险，建设单位要按照相关规定建立环境管理台账制度，与</w:t>
      </w:r>
      <w:r>
        <w:rPr>
          <w:rFonts w:hint="eastAsia" w:cs="Times New Roman"/>
        </w:rPr>
        <w:t>环卫</w:t>
      </w:r>
      <w:r>
        <w:rPr>
          <w:rFonts w:hint="eastAsia" w:cs="Times New Roman"/>
          <w:lang w:eastAsia="zh-CN"/>
        </w:rPr>
        <w:t>部门</w:t>
      </w:r>
      <w:r>
        <w:rPr>
          <w:rFonts w:cs="Times New Roman"/>
        </w:rPr>
        <w:t>签订污水拉运处置协议，明确责任人，并将污水拉运录入管理台账，确保污水由专业拉运单位直接拉运至</w:t>
      </w:r>
      <w:r>
        <w:rPr>
          <w:rFonts w:hint="eastAsia" w:cs="Times New Roman"/>
        </w:rPr>
        <w:t>绿化/农田</w:t>
      </w:r>
      <w:r>
        <w:rPr>
          <w:rFonts w:cs="Times New Roman"/>
        </w:rPr>
        <w:t>统一处理，严禁随意排放。</w:t>
      </w:r>
    </w:p>
    <w:p>
      <w:pPr>
        <w:pStyle w:val="6"/>
      </w:pPr>
      <w:r>
        <w:t>地下水污染防治措施</w:t>
      </w:r>
    </w:p>
    <w:p>
      <w:pPr>
        <w:pStyle w:val="7"/>
        <w:ind w:firstLine="480"/>
        <w:rPr>
          <w:rFonts w:cs="Times New Roman"/>
        </w:rPr>
      </w:pPr>
      <w:r>
        <w:rPr>
          <w:rFonts w:cs="Times New Roman"/>
        </w:rPr>
        <w:t>为防止本项目产生的污水下渗对地下水造成污染，环评要求对项目区采取分区防渗措施。</w:t>
      </w:r>
    </w:p>
    <w:p>
      <w:pPr>
        <w:pStyle w:val="7"/>
        <w:ind w:firstLine="480"/>
        <w:rPr>
          <w:rFonts w:cs="Times New Roman"/>
        </w:rPr>
      </w:pPr>
      <w:r>
        <w:rPr>
          <w:rFonts w:cs="Times New Roman"/>
        </w:rPr>
        <w:t>（1）源头控制措施</w:t>
      </w:r>
    </w:p>
    <w:p>
      <w:pPr>
        <w:pStyle w:val="7"/>
        <w:ind w:firstLine="480"/>
        <w:rPr>
          <w:rFonts w:cs="Times New Roman"/>
        </w:rPr>
      </w:pPr>
      <w:r>
        <w:rPr>
          <w:rFonts w:cs="Times New Roman"/>
        </w:rPr>
        <w:t>循环沉淀池等主要构筑物均采用钢筋混凝土结构，严防污水下渗，以避免对地下水潜水层的污染。另外，建议采纳以下措施：</w:t>
      </w:r>
    </w:p>
    <w:p>
      <w:pPr>
        <w:pStyle w:val="7"/>
        <w:ind w:firstLine="480"/>
        <w:rPr>
          <w:rFonts w:cs="Times New Roman"/>
        </w:rPr>
      </w:pPr>
      <w:r>
        <w:rPr>
          <w:rFonts w:ascii="Cambria Math" w:hAnsi="Cambria Math" w:cs="Cambria Math"/>
        </w:rPr>
        <w:t>①</w:t>
      </w:r>
      <w:r>
        <w:rPr>
          <w:rFonts w:cs="Times New Roman"/>
        </w:rPr>
        <w:t xml:space="preserve"> 各车间必须加强管理，严格控制跑冒滴漏现象发生；</w:t>
      </w:r>
    </w:p>
    <w:p>
      <w:pPr>
        <w:pStyle w:val="7"/>
        <w:ind w:firstLine="480"/>
        <w:rPr>
          <w:rFonts w:cs="Times New Roman"/>
        </w:rPr>
      </w:pPr>
      <w:r>
        <w:rPr>
          <w:rFonts w:ascii="Cambria Math" w:hAnsi="Cambria Math" w:cs="Cambria Math"/>
        </w:rPr>
        <w:t>②</w:t>
      </w:r>
      <w:r>
        <w:rPr>
          <w:rFonts w:cs="Times New Roman"/>
        </w:rPr>
        <w:t xml:space="preserve"> 各车间发现跑冒滴漏现象时，必须及时采取</w:t>
      </w:r>
      <w:r>
        <w:rPr>
          <w:rFonts w:hint="eastAsia" w:cs="Times New Roman"/>
        </w:rPr>
        <w:t>修理</w:t>
      </w:r>
      <w:r>
        <w:rPr>
          <w:rFonts w:cs="Times New Roman"/>
        </w:rPr>
        <w:t>措施，控制跑冒滴漏进一步扩大；</w:t>
      </w:r>
    </w:p>
    <w:p>
      <w:pPr>
        <w:pStyle w:val="7"/>
        <w:ind w:firstLine="480"/>
        <w:rPr>
          <w:rFonts w:cs="Times New Roman"/>
        </w:rPr>
      </w:pPr>
      <w:r>
        <w:rPr>
          <w:rFonts w:ascii="Cambria Math" w:hAnsi="Cambria Math" w:cs="Cambria Math"/>
        </w:rPr>
        <w:t>③</w:t>
      </w:r>
      <w:r>
        <w:rPr>
          <w:rFonts w:cs="Times New Roman"/>
        </w:rPr>
        <w:t xml:space="preserve"> 发现管线、阀门、清洗槽等泄漏时，及时停产检修。加强收集管网的维护和管理，保证管道畅通。</w:t>
      </w:r>
    </w:p>
    <w:p>
      <w:pPr>
        <w:pStyle w:val="7"/>
        <w:ind w:firstLine="480"/>
        <w:rPr>
          <w:rFonts w:cs="Times New Roman"/>
        </w:rPr>
      </w:pPr>
      <w:r>
        <w:rPr>
          <w:rFonts w:cs="Times New Roman"/>
        </w:rPr>
        <w:t>（2）分区防控措施</w:t>
      </w:r>
    </w:p>
    <w:p>
      <w:pPr>
        <w:pStyle w:val="7"/>
        <w:ind w:firstLine="480"/>
        <w:rPr>
          <w:rFonts w:cs="Times New Roman"/>
        </w:rPr>
      </w:pPr>
      <w:r>
        <w:rPr>
          <w:rFonts w:cs="Times New Roman"/>
        </w:rPr>
        <w:t>根据物料或者污染物泄漏的途径和生产单元所处的位置，将项目区厂区分为简单防渗区、一般防渗区和重点防渗区。</w:t>
      </w:r>
    </w:p>
    <w:p>
      <w:pPr>
        <w:pStyle w:val="7"/>
        <w:ind w:firstLine="480"/>
        <w:rPr>
          <w:rFonts w:cs="Times New Roman"/>
        </w:rPr>
      </w:pPr>
      <w:r>
        <w:rPr>
          <w:rFonts w:cs="Times New Roman"/>
        </w:rPr>
        <w:t>参照《环境影响评价技术导则 地下水环境》（HJ610-2016）的分区防控措施，根据场地天然包气带防污性能、污染控制难易程度和污染物特性，参照</w:t>
      </w:r>
      <w:r>
        <w:rPr>
          <w:rFonts w:hint="eastAsia" w:cs="Times New Roman"/>
          <w:lang w:val="zh-CN"/>
        </w:rPr>
        <w:t>表6.2-2</w:t>
      </w:r>
      <w:r>
        <w:rPr>
          <w:rFonts w:cs="Times New Roman"/>
        </w:rPr>
        <w:t>对项目厂区提出防渗技术要求。</w:t>
      </w:r>
    </w:p>
    <w:p>
      <w:pPr>
        <w:pStyle w:val="36"/>
        <w:spacing w:before="156"/>
        <w:rPr>
          <w:rFonts w:eastAsia="宋体"/>
        </w:rPr>
      </w:pPr>
      <w:bookmarkStart w:id="95" w:name="_Ref111567968"/>
      <w:r>
        <w:rPr>
          <w:rFonts w:eastAsia="宋体"/>
        </w:rPr>
        <w:t>表</w:t>
      </w:r>
      <w:r>
        <w:rPr>
          <w:rFonts w:hint="eastAsia" w:eastAsia="宋体"/>
        </w:rPr>
        <w:t>6.2-2</w:t>
      </w:r>
      <w:bookmarkEnd w:id="95"/>
      <w:r>
        <w:rPr>
          <w:rFonts w:eastAsia="宋体"/>
        </w:rPr>
        <w:t xml:space="preserve">  地下水污染防渗分区参照表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392"/>
        <w:gridCol w:w="1109"/>
        <w:gridCol w:w="1704"/>
        <w:gridCol w:w="2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blHeader/>
          <w:jc w:val="center"/>
        </w:trPr>
        <w:tc>
          <w:tcPr>
            <w:tcW w:w="831" w:type="pct"/>
            <w:tcBorders>
              <w:tl2br w:val="nil"/>
              <w:tr2bl w:val="nil"/>
            </w:tcBorders>
            <w:vAlign w:val="center"/>
          </w:tcPr>
          <w:p>
            <w:pPr>
              <w:pStyle w:val="34"/>
            </w:pPr>
            <w:r>
              <w:t>防渗分区</w:t>
            </w:r>
          </w:p>
        </w:tc>
        <w:tc>
          <w:tcPr>
            <w:tcW w:w="816" w:type="pct"/>
            <w:tcBorders>
              <w:tl2br w:val="nil"/>
              <w:tr2bl w:val="nil"/>
            </w:tcBorders>
            <w:vAlign w:val="center"/>
          </w:tcPr>
          <w:p>
            <w:pPr>
              <w:pStyle w:val="34"/>
            </w:pPr>
            <w:r>
              <w:t>天然包气带</w:t>
            </w:r>
          </w:p>
          <w:p>
            <w:pPr>
              <w:pStyle w:val="34"/>
            </w:pPr>
            <w:r>
              <w:t>防污性能</w:t>
            </w:r>
          </w:p>
        </w:tc>
        <w:tc>
          <w:tcPr>
            <w:tcW w:w="650" w:type="pct"/>
            <w:tcBorders>
              <w:tl2br w:val="nil"/>
              <w:tr2bl w:val="nil"/>
            </w:tcBorders>
            <w:vAlign w:val="center"/>
          </w:tcPr>
          <w:p>
            <w:pPr>
              <w:pStyle w:val="34"/>
            </w:pPr>
            <w:r>
              <w:t>污染控制</w:t>
            </w:r>
          </w:p>
          <w:p>
            <w:pPr>
              <w:pStyle w:val="34"/>
            </w:pPr>
            <w:r>
              <w:t>难易程度</w:t>
            </w:r>
          </w:p>
        </w:tc>
        <w:tc>
          <w:tcPr>
            <w:tcW w:w="999" w:type="pct"/>
            <w:tcBorders>
              <w:tl2br w:val="nil"/>
              <w:tr2bl w:val="nil"/>
            </w:tcBorders>
            <w:vAlign w:val="center"/>
          </w:tcPr>
          <w:p>
            <w:pPr>
              <w:pStyle w:val="34"/>
            </w:pPr>
            <w:r>
              <w:t>污染物类型</w:t>
            </w:r>
          </w:p>
        </w:tc>
        <w:tc>
          <w:tcPr>
            <w:tcW w:w="1704" w:type="pct"/>
            <w:tcBorders>
              <w:tl2br w:val="nil"/>
              <w:tr2bl w:val="nil"/>
            </w:tcBorders>
            <w:vAlign w:val="center"/>
          </w:tcPr>
          <w:p>
            <w:pPr>
              <w:pStyle w:val="34"/>
            </w:pPr>
            <w: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vMerge w:val="restart"/>
            <w:tcBorders>
              <w:tl2br w:val="nil"/>
              <w:tr2bl w:val="nil"/>
            </w:tcBorders>
            <w:vAlign w:val="center"/>
          </w:tcPr>
          <w:p>
            <w:pPr>
              <w:pStyle w:val="34"/>
            </w:pPr>
            <w:r>
              <w:t>重点防渗区</w:t>
            </w:r>
          </w:p>
        </w:tc>
        <w:tc>
          <w:tcPr>
            <w:tcW w:w="816" w:type="pct"/>
            <w:tcBorders>
              <w:tl2br w:val="nil"/>
              <w:tr2bl w:val="nil"/>
            </w:tcBorders>
            <w:vAlign w:val="center"/>
          </w:tcPr>
          <w:p>
            <w:pPr>
              <w:pStyle w:val="34"/>
            </w:pPr>
            <w:r>
              <w:t>弱</w:t>
            </w:r>
          </w:p>
        </w:tc>
        <w:tc>
          <w:tcPr>
            <w:tcW w:w="650" w:type="pct"/>
            <w:tcBorders>
              <w:tl2br w:val="nil"/>
              <w:tr2bl w:val="nil"/>
            </w:tcBorders>
            <w:vAlign w:val="center"/>
          </w:tcPr>
          <w:p>
            <w:pPr>
              <w:pStyle w:val="34"/>
            </w:pPr>
            <w:r>
              <w:t>难</w:t>
            </w:r>
          </w:p>
        </w:tc>
        <w:tc>
          <w:tcPr>
            <w:tcW w:w="999" w:type="pct"/>
            <w:vMerge w:val="restart"/>
            <w:tcBorders>
              <w:tl2br w:val="nil"/>
              <w:tr2bl w:val="nil"/>
            </w:tcBorders>
            <w:vAlign w:val="center"/>
          </w:tcPr>
          <w:p>
            <w:pPr>
              <w:pStyle w:val="34"/>
            </w:pPr>
            <w:r>
              <w:t>重金属、持久性有机物污染物</w:t>
            </w:r>
          </w:p>
        </w:tc>
        <w:tc>
          <w:tcPr>
            <w:tcW w:w="1704" w:type="pct"/>
            <w:vMerge w:val="restart"/>
            <w:tcBorders>
              <w:tl2br w:val="nil"/>
              <w:tr2bl w:val="nil"/>
            </w:tcBorders>
            <w:vAlign w:val="center"/>
          </w:tcPr>
          <w:p>
            <w:pPr>
              <w:pStyle w:val="34"/>
            </w:pPr>
            <w:r>
              <w:t>等效黏土防渗层Mb≥6.0m，K≤1×10</w:t>
            </w:r>
            <w:r>
              <w:rPr>
                <w:vertAlign w:val="superscript"/>
              </w:rPr>
              <w:t>-7</w:t>
            </w:r>
            <w: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vMerge w:val="continue"/>
            <w:tcBorders>
              <w:tl2br w:val="nil"/>
              <w:tr2bl w:val="nil"/>
            </w:tcBorders>
            <w:vAlign w:val="center"/>
          </w:tcPr>
          <w:p>
            <w:pPr>
              <w:pStyle w:val="34"/>
            </w:pPr>
          </w:p>
        </w:tc>
        <w:tc>
          <w:tcPr>
            <w:tcW w:w="816" w:type="pct"/>
            <w:tcBorders>
              <w:tl2br w:val="nil"/>
              <w:tr2bl w:val="nil"/>
            </w:tcBorders>
            <w:vAlign w:val="center"/>
          </w:tcPr>
          <w:p>
            <w:pPr>
              <w:pStyle w:val="34"/>
            </w:pPr>
            <w:r>
              <w:t>中-强</w:t>
            </w:r>
          </w:p>
        </w:tc>
        <w:tc>
          <w:tcPr>
            <w:tcW w:w="650" w:type="pct"/>
            <w:tcBorders>
              <w:tl2br w:val="nil"/>
              <w:tr2bl w:val="nil"/>
            </w:tcBorders>
            <w:vAlign w:val="center"/>
          </w:tcPr>
          <w:p>
            <w:pPr>
              <w:pStyle w:val="34"/>
            </w:pPr>
            <w:r>
              <w:t>难</w:t>
            </w:r>
          </w:p>
        </w:tc>
        <w:tc>
          <w:tcPr>
            <w:tcW w:w="999" w:type="pct"/>
            <w:vMerge w:val="continue"/>
            <w:tcBorders>
              <w:tl2br w:val="nil"/>
              <w:tr2bl w:val="nil"/>
            </w:tcBorders>
            <w:vAlign w:val="center"/>
          </w:tcPr>
          <w:p>
            <w:pPr>
              <w:pStyle w:val="34"/>
            </w:pPr>
          </w:p>
        </w:tc>
        <w:tc>
          <w:tcPr>
            <w:tcW w:w="1704"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vMerge w:val="continue"/>
            <w:tcBorders>
              <w:tl2br w:val="nil"/>
              <w:tr2bl w:val="nil"/>
            </w:tcBorders>
            <w:vAlign w:val="center"/>
          </w:tcPr>
          <w:p>
            <w:pPr>
              <w:pStyle w:val="34"/>
            </w:pPr>
          </w:p>
        </w:tc>
        <w:tc>
          <w:tcPr>
            <w:tcW w:w="816" w:type="pct"/>
            <w:tcBorders>
              <w:tl2br w:val="nil"/>
              <w:tr2bl w:val="nil"/>
            </w:tcBorders>
            <w:vAlign w:val="center"/>
          </w:tcPr>
          <w:p>
            <w:pPr>
              <w:pStyle w:val="34"/>
            </w:pPr>
            <w:r>
              <w:t>弱</w:t>
            </w:r>
          </w:p>
        </w:tc>
        <w:tc>
          <w:tcPr>
            <w:tcW w:w="650" w:type="pct"/>
            <w:tcBorders>
              <w:tl2br w:val="nil"/>
              <w:tr2bl w:val="nil"/>
            </w:tcBorders>
            <w:vAlign w:val="center"/>
          </w:tcPr>
          <w:p>
            <w:pPr>
              <w:pStyle w:val="34"/>
            </w:pPr>
            <w:r>
              <w:t>易</w:t>
            </w:r>
          </w:p>
        </w:tc>
        <w:tc>
          <w:tcPr>
            <w:tcW w:w="999" w:type="pct"/>
            <w:vMerge w:val="continue"/>
            <w:tcBorders>
              <w:tl2br w:val="nil"/>
              <w:tr2bl w:val="nil"/>
            </w:tcBorders>
            <w:vAlign w:val="center"/>
          </w:tcPr>
          <w:p>
            <w:pPr>
              <w:pStyle w:val="34"/>
            </w:pPr>
          </w:p>
        </w:tc>
        <w:tc>
          <w:tcPr>
            <w:tcW w:w="1704"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vMerge w:val="restart"/>
            <w:tcBorders>
              <w:tl2br w:val="nil"/>
              <w:tr2bl w:val="nil"/>
            </w:tcBorders>
            <w:vAlign w:val="center"/>
          </w:tcPr>
          <w:p>
            <w:pPr>
              <w:pStyle w:val="34"/>
            </w:pPr>
            <w:r>
              <w:t>一般防渗区</w:t>
            </w:r>
          </w:p>
        </w:tc>
        <w:tc>
          <w:tcPr>
            <w:tcW w:w="816" w:type="pct"/>
            <w:tcBorders>
              <w:tl2br w:val="nil"/>
              <w:tr2bl w:val="nil"/>
            </w:tcBorders>
            <w:vAlign w:val="center"/>
          </w:tcPr>
          <w:p>
            <w:pPr>
              <w:pStyle w:val="34"/>
            </w:pPr>
            <w:r>
              <w:t>弱</w:t>
            </w:r>
          </w:p>
        </w:tc>
        <w:tc>
          <w:tcPr>
            <w:tcW w:w="650" w:type="pct"/>
            <w:tcBorders>
              <w:tl2br w:val="nil"/>
              <w:tr2bl w:val="nil"/>
            </w:tcBorders>
            <w:vAlign w:val="center"/>
          </w:tcPr>
          <w:p>
            <w:pPr>
              <w:pStyle w:val="34"/>
            </w:pPr>
            <w:r>
              <w:t>易-难</w:t>
            </w:r>
          </w:p>
        </w:tc>
        <w:tc>
          <w:tcPr>
            <w:tcW w:w="999" w:type="pct"/>
            <w:vMerge w:val="restart"/>
            <w:tcBorders>
              <w:tl2br w:val="nil"/>
              <w:tr2bl w:val="nil"/>
            </w:tcBorders>
            <w:vAlign w:val="center"/>
          </w:tcPr>
          <w:p>
            <w:pPr>
              <w:pStyle w:val="34"/>
            </w:pPr>
            <w:r>
              <w:t>其他类型</w:t>
            </w:r>
          </w:p>
        </w:tc>
        <w:tc>
          <w:tcPr>
            <w:tcW w:w="1704" w:type="pct"/>
            <w:vMerge w:val="restart"/>
            <w:tcBorders>
              <w:tl2br w:val="nil"/>
              <w:tr2bl w:val="nil"/>
            </w:tcBorders>
            <w:vAlign w:val="center"/>
          </w:tcPr>
          <w:p>
            <w:pPr>
              <w:pStyle w:val="34"/>
            </w:pPr>
            <w:r>
              <w:t>等效黏土防渗层Mb≥1.5m，K≤1×10</w:t>
            </w:r>
            <w:r>
              <w:rPr>
                <w:vertAlign w:val="superscript"/>
              </w:rPr>
              <w:t>-7</w:t>
            </w:r>
            <w:r>
              <w:t>cm/s；或参照GB</w:t>
            </w:r>
            <w:r>
              <w:rPr>
                <w:rFonts w:hint="eastAsia"/>
              </w:rPr>
              <w:t>16889</w:t>
            </w:r>
            <w:r>
              <w:t>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vMerge w:val="continue"/>
            <w:tcBorders>
              <w:tl2br w:val="nil"/>
              <w:tr2bl w:val="nil"/>
            </w:tcBorders>
            <w:vAlign w:val="center"/>
          </w:tcPr>
          <w:p>
            <w:pPr>
              <w:pStyle w:val="34"/>
            </w:pPr>
          </w:p>
        </w:tc>
        <w:tc>
          <w:tcPr>
            <w:tcW w:w="816" w:type="pct"/>
            <w:tcBorders>
              <w:tl2br w:val="nil"/>
              <w:tr2bl w:val="nil"/>
            </w:tcBorders>
            <w:vAlign w:val="center"/>
          </w:tcPr>
          <w:p>
            <w:pPr>
              <w:pStyle w:val="34"/>
            </w:pPr>
            <w:r>
              <w:t>中-强</w:t>
            </w:r>
          </w:p>
        </w:tc>
        <w:tc>
          <w:tcPr>
            <w:tcW w:w="650" w:type="pct"/>
            <w:tcBorders>
              <w:tl2br w:val="nil"/>
              <w:tr2bl w:val="nil"/>
            </w:tcBorders>
            <w:vAlign w:val="center"/>
          </w:tcPr>
          <w:p>
            <w:pPr>
              <w:pStyle w:val="34"/>
            </w:pPr>
            <w:r>
              <w:t>难</w:t>
            </w:r>
          </w:p>
        </w:tc>
        <w:tc>
          <w:tcPr>
            <w:tcW w:w="999" w:type="pct"/>
            <w:vMerge w:val="continue"/>
            <w:tcBorders>
              <w:tl2br w:val="nil"/>
              <w:tr2bl w:val="nil"/>
            </w:tcBorders>
            <w:vAlign w:val="center"/>
          </w:tcPr>
          <w:p>
            <w:pPr>
              <w:pStyle w:val="34"/>
            </w:pPr>
          </w:p>
        </w:tc>
        <w:tc>
          <w:tcPr>
            <w:tcW w:w="1704"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vMerge w:val="continue"/>
            <w:tcBorders>
              <w:tl2br w:val="nil"/>
              <w:tr2bl w:val="nil"/>
            </w:tcBorders>
            <w:vAlign w:val="center"/>
          </w:tcPr>
          <w:p>
            <w:pPr>
              <w:pStyle w:val="34"/>
            </w:pPr>
          </w:p>
        </w:tc>
        <w:tc>
          <w:tcPr>
            <w:tcW w:w="816" w:type="pct"/>
            <w:tcBorders>
              <w:tl2br w:val="nil"/>
              <w:tr2bl w:val="nil"/>
            </w:tcBorders>
            <w:vAlign w:val="center"/>
          </w:tcPr>
          <w:p>
            <w:pPr>
              <w:pStyle w:val="34"/>
            </w:pPr>
            <w:r>
              <w:t>中</w:t>
            </w:r>
          </w:p>
        </w:tc>
        <w:tc>
          <w:tcPr>
            <w:tcW w:w="650" w:type="pct"/>
            <w:tcBorders>
              <w:tl2br w:val="nil"/>
              <w:tr2bl w:val="nil"/>
            </w:tcBorders>
            <w:vAlign w:val="center"/>
          </w:tcPr>
          <w:p>
            <w:pPr>
              <w:pStyle w:val="34"/>
            </w:pPr>
            <w:r>
              <w:t>易</w:t>
            </w:r>
          </w:p>
        </w:tc>
        <w:tc>
          <w:tcPr>
            <w:tcW w:w="999" w:type="pct"/>
            <w:vMerge w:val="restart"/>
            <w:tcBorders>
              <w:tl2br w:val="nil"/>
              <w:tr2bl w:val="nil"/>
            </w:tcBorders>
            <w:vAlign w:val="center"/>
          </w:tcPr>
          <w:p>
            <w:pPr>
              <w:pStyle w:val="34"/>
            </w:pPr>
            <w:r>
              <w:t>重金属、持久性有机物污染物</w:t>
            </w:r>
          </w:p>
        </w:tc>
        <w:tc>
          <w:tcPr>
            <w:tcW w:w="1704"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vMerge w:val="continue"/>
            <w:tcBorders>
              <w:tl2br w:val="nil"/>
              <w:tr2bl w:val="nil"/>
            </w:tcBorders>
            <w:vAlign w:val="center"/>
          </w:tcPr>
          <w:p>
            <w:pPr>
              <w:pStyle w:val="34"/>
            </w:pPr>
          </w:p>
        </w:tc>
        <w:tc>
          <w:tcPr>
            <w:tcW w:w="816" w:type="pct"/>
            <w:tcBorders>
              <w:tl2br w:val="nil"/>
              <w:tr2bl w:val="nil"/>
            </w:tcBorders>
            <w:vAlign w:val="center"/>
          </w:tcPr>
          <w:p>
            <w:pPr>
              <w:pStyle w:val="34"/>
            </w:pPr>
            <w:r>
              <w:t>强</w:t>
            </w:r>
          </w:p>
        </w:tc>
        <w:tc>
          <w:tcPr>
            <w:tcW w:w="650" w:type="pct"/>
            <w:tcBorders>
              <w:tl2br w:val="nil"/>
              <w:tr2bl w:val="nil"/>
            </w:tcBorders>
            <w:vAlign w:val="center"/>
          </w:tcPr>
          <w:p>
            <w:pPr>
              <w:pStyle w:val="34"/>
            </w:pPr>
            <w:r>
              <w:t>易</w:t>
            </w:r>
          </w:p>
        </w:tc>
        <w:tc>
          <w:tcPr>
            <w:tcW w:w="999" w:type="pct"/>
            <w:vMerge w:val="continue"/>
            <w:tcBorders>
              <w:tl2br w:val="nil"/>
              <w:tr2bl w:val="nil"/>
            </w:tcBorders>
            <w:vAlign w:val="center"/>
          </w:tcPr>
          <w:p>
            <w:pPr>
              <w:pStyle w:val="34"/>
            </w:pPr>
          </w:p>
        </w:tc>
        <w:tc>
          <w:tcPr>
            <w:tcW w:w="1704"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1" w:type="pct"/>
            <w:tcBorders>
              <w:tl2br w:val="nil"/>
              <w:tr2bl w:val="nil"/>
            </w:tcBorders>
            <w:vAlign w:val="center"/>
          </w:tcPr>
          <w:p>
            <w:pPr>
              <w:pStyle w:val="34"/>
            </w:pPr>
            <w:r>
              <w:t>简单防渗区</w:t>
            </w:r>
          </w:p>
        </w:tc>
        <w:tc>
          <w:tcPr>
            <w:tcW w:w="816" w:type="pct"/>
            <w:tcBorders>
              <w:tl2br w:val="nil"/>
              <w:tr2bl w:val="nil"/>
            </w:tcBorders>
            <w:vAlign w:val="center"/>
          </w:tcPr>
          <w:p>
            <w:pPr>
              <w:pStyle w:val="34"/>
              <w:rPr>
                <w:spacing w:val="-6"/>
              </w:rPr>
            </w:pPr>
            <w:r>
              <w:t>中-强</w:t>
            </w:r>
          </w:p>
        </w:tc>
        <w:tc>
          <w:tcPr>
            <w:tcW w:w="650" w:type="pct"/>
            <w:tcBorders>
              <w:tl2br w:val="nil"/>
              <w:tr2bl w:val="nil"/>
            </w:tcBorders>
            <w:vAlign w:val="center"/>
          </w:tcPr>
          <w:p>
            <w:pPr>
              <w:pStyle w:val="34"/>
            </w:pPr>
            <w:r>
              <w:t>易</w:t>
            </w:r>
          </w:p>
        </w:tc>
        <w:tc>
          <w:tcPr>
            <w:tcW w:w="999" w:type="pct"/>
            <w:tcBorders>
              <w:tl2br w:val="nil"/>
              <w:tr2bl w:val="nil"/>
            </w:tcBorders>
            <w:vAlign w:val="center"/>
          </w:tcPr>
          <w:p>
            <w:pPr>
              <w:pStyle w:val="34"/>
            </w:pPr>
            <w:r>
              <w:t>其他类型</w:t>
            </w:r>
          </w:p>
        </w:tc>
        <w:tc>
          <w:tcPr>
            <w:tcW w:w="1704" w:type="pct"/>
            <w:tcBorders>
              <w:tl2br w:val="nil"/>
              <w:tr2bl w:val="nil"/>
            </w:tcBorders>
            <w:vAlign w:val="center"/>
          </w:tcPr>
          <w:p>
            <w:pPr>
              <w:pStyle w:val="34"/>
            </w:pPr>
            <w:r>
              <w:t>一般地面硬化</w:t>
            </w:r>
          </w:p>
        </w:tc>
      </w:tr>
    </w:tbl>
    <w:p>
      <w:pPr>
        <w:pStyle w:val="7"/>
        <w:ind w:firstLine="480"/>
        <w:rPr>
          <w:rFonts w:cs="Times New Roman"/>
        </w:rPr>
      </w:pPr>
      <w:r>
        <w:rPr>
          <w:rFonts w:cs="Times New Roman"/>
        </w:rPr>
        <w:t>本项目</w:t>
      </w:r>
      <w:r>
        <w:rPr>
          <w:rFonts w:hint="eastAsia" w:cs="Times New Roman"/>
        </w:rPr>
        <w:t>危废贮存库</w:t>
      </w:r>
      <w:r>
        <w:rPr>
          <w:rFonts w:cs="Times New Roman"/>
        </w:rPr>
        <w:t>暂存的危废一旦发生泄漏对环境具有潜在危害，因此</w:t>
      </w:r>
      <w:r>
        <w:rPr>
          <w:rFonts w:hint="eastAsia" w:cs="Times New Roman"/>
        </w:rPr>
        <w:t>危废贮存库</w:t>
      </w:r>
      <w:r>
        <w:rPr>
          <w:rFonts w:cs="Times New Roman"/>
        </w:rPr>
        <w:t>按重点防渗区要求进行防渗，设置等效粘土防渗层Mb≥6.0m，K≤1×10</w:t>
      </w:r>
      <w:r>
        <w:rPr>
          <w:rFonts w:cs="Times New Roman"/>
          <w:vertAlign w:val="superscript"/>
        </w:rPr>
        <w:t>-</w:t>
      </w:r>
      <w:r>
        <w:rPr>
          <w:rFonts w:hint="eastAsia" w:cs="Times New Roman"/>
          <w:vertAlign w:val="superscript"/>
        </w:rPr>
        <w:t>7</w:t>
      </w:r>
      <w:r>
        <w:rPr>
          <w:rFonts w:cs="Times New Roman"/>
        </w:rPr>
        <w:t>cm/s的防渗层。</w:t>
      </w:r>
    </w:p>
    <w:p>
      <w:pPr>
        <w:pStyle w:val="7"/>
        <w:ind w:firstLine="480"/>
        <w:rPr>
          <w:rFonts w:cs="Times New Roman"/>
        </w:rPr>
      </w:pPr>
      <w:r>
        <w:rPr>
          <w:rFonts w:hint="eastAsia" w:cs="Times New Roman"/>
        </w:rPr>
        <w:t>本</w:t>
      </w:r>
      <w:r>
        <w:rPr>
          <w:rFonts w:cs="Times New Roman"/>
        </w:rPr>
        <w:t>项目生产过程不涉及重金属、持久性有机物污染物等，根据区域地质勘查资料，项目区天然包气带防污性能为弱；项目沉淀池及化粪池污染控制难易程度为易，可按一般防渗区要求进行防渗，设置等效粘土防渗层Mb≥1.5m，K≤1×10</w:t>
      </w:r>
      <w:r>
        <w:rPr>
          <w:rFonts w:cs="Times New Roman"/>
          <w:vertAlign w:val="superscript"/>
        </w:rPr>
        <w:t>-7</w:t>
      </w:r>
      <w:r>
        <w:rPr>
          <w:rFonts w:cs="Times New Roman"/>
        </w:rPr>
        <w:t>cm/s的防渗层。</w:t>
      </w:r>
    </w:p>
    <w:p>
      <w:pPr>
        <w:pStyle w:val="7"/>
        <w:ind w:firstLine="480"/>
        <w:rPr>
          <w:rFonts w:cs="Times New Roman"/>
        </w:rPr>
      </w:pPr>
      <w:r>
        <w:rPr>
          <w:rFonts w:hint="eastAsia" w:cs="Times New Roman"/>
        </w:rPr>
        <w:t>成品</w:t>
      </w:r>
      <w:r>
        <w:rPr>
          <w:rFonts w:cs="Times New Roman"/>
        </w:rPr>
        <w:t>生产车间、</w:t>
      </w:r>
      <w:r>
        <w:rPr>
          <w:rFonts w:hint="eastAsia" w:cs="Times New Roman"/>
        </w:rPr>
        <w:t>粉碎破碎车间、成</w:t>
      </w:r>
      <w:r>
        <w:rPr>
          <w:rFonts w:cs="Times New Roman"/>
        </w:rPr>
        <w:t>品</w:t>
      </w:r>
      <w:r>
        <w:rPr>
          <w:rFonts w:hint="eastAsia" w:cs="Times New Roman"/>
        </w:rPr>
        <w:t>库房</w:t>
      </w:r>
      <w:r>
        <w:rPr>
          <w:rFonts w:cs="Times New Roman"/>
        </w:rPr>
        <w:t>、</w:t>
      </w:r>
      <w:r>
        <w:rPr>
          <w:rFonts w:hint="eastAsia" w:cs="Times New Roman"/>
        </w:rPr>
        <w:t>原料库房</w:t>
      </w:r>
      <w:r>
        <w:rPr>
          <w:rFonts w:cs="Times New Roman"/>
        </w:rPr>
        <w:t>、办公生活设施、厂区道路及</w:t>
      </w:r>
      <w:r>
        <w:rPr>
          <w:rFonts w:hint="eastAsia" w:cs="Times New Roman"/>
        </w:rPr>
        <w:t>冷却</w:t>
      </w:r>
      <w:r>
        <w:rPr>
          <w:rFonts w:cs="Times New Roman"/>
        </w:rPr>
        <w:t>循环水池等按照简单防渗区要求进行一般地面硬化即可。</w:t>
      </w:r>
    </w:p>
    <w:p>
      <w:pPr>
        <w:pStyle w:val="7"/>
        <w:ind w:firstLine="480"/>
        <w:rPr>
          <w:rFonts w:cs="Times New Roman"/>
        </w:rPr>
      </w:pPr>
      <w:r>
        <w:rPr>
          <w:rFonts w:cs="Times New Roman"/>
        </w:rPr>
        <w:t>根据《环境影响评价技术导则 地下水环境》（HJ610-2016）要求，结合本项目的性质，厂区分区防渗设置及技术要求见</w:t>
      </w:r>
      <w:r>
        <w:rPr>
          <w:rFonts w:hint="eastAsia" w:cs="Times New Roman"/>
          <w:lang w:val="zh-CN"/>
        </w:rPr>
        <w:t>表6.2-3。</w:t>
      </w:r>
    </w:p>
    <w:p>
      <w:pPr>
        <w:pStyle w:val="36"/>
        <w:spacing w:before="156"/>
        <w:rPr>
          <w:rFonts w:eastAsia="宋体"/>
        </w:rPr>
      </w:pPr>
      <w:bookmarkStart w:id="96" w:name="_Ref111568244"/>
      <w:r>
        <w:rPr>
          <w:rFonts w:eastAsia="宋体"/>
        </w:rPr>
        <w:t>表</w:t>
      </w:r>
      <w:r>
        <w:rPr>
          <w:rFonts w:hint="eastAsia" w:eastAsia="宋体"/>
        </w:rPr>
        <w:t>6.2-3</w:t>
      </w:r>
      <w:bookmarkEnd w:id="96"/>
      <w:r>
        <w:rPr>
          <w:rFonts w:eastAsia="宋体"/>
        </w:rPr>
        <w:t xml:space="preserve">  工程防渗措施要求一览表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2871"/>
        <w:gridCol w:w="4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4" w:type="pct"/>
            <w:tcBorders>
              <w:tl2br w:val="nil"/>
              <w:tr2bl w:val="nil"/>
            </w:tcBorders>
            <w:vAlign w:val="center"/>
          </w:tcPr>
          <w:p>
            <w:pPr>
              <w:pStyle w:val="34"/>
            </w:pPr>
            <w:r>
              <w:t>防渗分区</w:t>
            </w:r>
          </w:p>
        </w:tc>
        <w:tc>
          <w:tcPr>
            <w:tcW w:w="1683" w:type="pct"/>
            <w:tcBorders>
              <w:tl2br w:val="nil"/>
              <w:tr2bl w:val="nil"/>
            </w:tcBorders>
            <w:vAlign w:val="center"/>
          </w:tcPr>
          <w:p>
            <w:pPr>
              <w:pStyle w:val="34"/>
            </w:pPr>
            <w:r>
              <w:t>区域</w:t>
            </w:r>
          </w:p>
        </w:tc>
        <w:tc>
          <w:tcPr>
            <w:tcW w:w="2523" w:type="pct"/>
            <w:tcBorders>
              <w:tl2br w:val="nil"/>
              <w:tr2bl w:val="nil"/>
            </w:tcBorders>
            <w:vAlign w:val="center"/>
          </w:tcPr>
          <w:p>
            <w:pPr>
              <w:pStyle w:val="34"/>
            </w:pPr>
            <w:r>
              <w:t>防渗设计原则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94" w:type="pct"/>
            <w:tcBorders>
              <w:tl2br w:val="nil"/>
              <w:tr2bl w:val="nil"/>
            </w:tcBorders>
            <w:vAlign w:val="center"/>
          </w:tcPr>
          <w:p>
            <w:pPr>
              <w:pStyle w:val="34"/>
            </w:pPr>
            <w:r>
              <w:t>重点防渗区</w:t>
            </w:r>
          </w:p>
        </w:tc>
        <w:tc>
          <w:tcPr>
            <w:tcW w:w="1683" w:type="pct"/>
            <w:tcBorders>
              <w:tl2br w:val="nil"/>
              <w:tr2bl w:val="nil"/>
            </w:tcBorders>
            <w:vAlign w:val="center"/>
          </w:tcPr>
          <w:p>
            <w:pPr>
              <w:pStyle w:val="34"/>
            </w:pPr>
            <w:r>
              <w:rPr>
                <w:rFonts w:hint="eastAsia"/>
              </w:rPr>
              <w:t>危废贮存库</w:t>
            </w:r>
          </w:p>
        </w:tc>
        <w:tc>
          <w:tcPr>
            <w:tcW w:w="2523" w:type="pct"/>
            <w:tcBorders>
              <w:tl2br w:val="nil"/>
              <w:tr2bl w:val="nil"/>
            </w:tcBorders>
            <w:vAlign w:val="center"/>
          </w:tcPr>
          <w:p>
            <w:pPr>
              <w:pStyle w:val="34"/>
            </w:pPr>
            <w:r>
              <w:t>设置等效黏土防渗层Mb</w:t>
            </w:r>
            <w:r>
              <w:rPr>
                <w:b/>
                <w:bCs/>
              </w:rPr>
              <w:t>≥</w:t>
            </w:r>
            <w:r>
              <w:t>6.0m，地面渗透系数≤1.0×10</w:t>
            </w:r>
            <w:r>
              <w:rPr>
                <w:vertAlign w:val="superscript"/>
              </w:rPr>
              <w:t>-</w:t>
            </w:r>
            <w:r>
              <w:rPr>
                <w:rFonts w:hint="eastAsia"/>
                <w:vertAlign w:val="superscript"/>
              </w:rPr>
              <w:t>7</w:t>
            </w:r>
            <w:r>
              <w:t>cm/s的防渗层。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94" w:type="pct"/>
            <w:tcBorders>
              <w:tl2br w:val="nil"/>
              <w:tr2bl w:val="nil"/>
            </w:tcBorders>
            <w:vAlign w:val="center"/>
          </w:tcPr>
          <w:p>
            <w:pPr>
              <w:pStyle w:val="34"/>
            </w:pPr>
            <w:r>
              <w:t>一般防渗区</w:t>
            </w:r>
          </w:p>
        </w:tc>
        <w:tc>
          <w:tcPr>
            <w:tcW w:w="1683" w:type="pct"/>
            <w:tcBorders>
              <w:tl2br w:val="nil"/>
              <w:tr2bl w:val="nil"/>
            </w:tcBorders>
            <w:vAlign w:val="center"/>
          </w:tcPr>
          <w:p>
            <w:pPr>
              <w:pStyle w:val="34"/>
            </w:pPr>
            <w:r>
              <w:t>沉淀池、化粪池</w:t>
            </w:r>
          </w:p>
        </w:tc>
        <w:tc>
          <w:tcPr>
            <w:tcW w:w="2523" w:type="pct"/>
            <w:tcBorders>
              <w:tl2br w:val="nil"/>
              <w:tr2bl w:val="nil"/>
            </w:tcBorders>
            <w:vAlign w:val="center"/>
          </w:tcPr>
          <w:p>
            <w:pPr>
              <w:pStyle w:val="34"/>
            </w:pPr>
            <w:r>
              <w:t>设置等效黏土防渗层Mb≥1.5m，地面渗透系数≤10</w:t>
            </w:r>
            <w:r>
              <w:rPr>
                <w:vertAlign w:val="superscript"/>
              </w:rPr>
              <w:t>-7</w:t>
            </w:r>
            <w:r>
              <w:t>cm/s的防渗层。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6" w:hRule="exact"/>
          <w:jc w:val="center"/>
        </w:trPr>
        <w:tc>
          <w:tcPr>
            <w:tcW w:w="794" w:type="pct"/>
            <w:tcBorders>
              <w:tl2br w:val="nil"/>
              <w:tr2bl w:val="nil"/>
            </w:tcBorders>
            <w:vAlign w:val="center"/>
          </w:tcPr>
          <w:p>
            <w:pPr>
              <w:pStyle w:val="34"/>
            </w:pPr>
            <w:r>
              <w:t>简单防渗区</w:t>
            </w:r>
          </w:p>
        </w:tc>
        <w:tc>
          <w:tcPr>
            <w:tcW w:w="1683" w:type="pct"/>
            <w:tcBorders>
              <w:tl2br w:val="nil"/>
              <w:tr2bl w:val="nil"/>
            </w:tcBorders>
            <w:vAlign w:val="center"/>
          </w:tcPr>
          <w:p>
            <w:pPr>
              <w:pStyle w:val="34"/>
            </w:pPr>
            <w:r>
              <w:rPr>
                <w:rFonts w:hint="eastAsia"/>
              </w:rPr>
              <w:t>成品生产车间、粉碎破碎车间、成品库房、原料库房、办公生活设施、厂区道路及冷却循环水池</w:t>
            </w:r>
            <w:r>
              <w:t>、地坪等</w:t>
            </w:r>
          </w:p>
        </w:tc>
        <w:tc>
          <w:tcPr>
            <w:tcW w:w="2523" w:type="pct"/>
            <w:tcBorders>
              <w:tl2br w:val="nil"/>
              <w:tr2bl w:val="nil"/>
            </w:tcBorders>
            <w:vAlign w:val="center"/>
          </w:tcPr>
          <w:p>
            <w:pPr>
              <w:pStyle w:val="34"/>
            </w:pPr>
            <w:r>
              <w:t>一般地面硬化</w:t>
            </w:r>
          </w:p>
        </w:tc>
      </w:tr>
    </w:tbl>
    <w:p>
      <w:pPr>
        <w:pStyle w:val="7"/>
        <w:ind w:firstLine="480"/>
        <w:rPr>
          <w:rFonts w:cs="Times New Roman"/>
        </w:rPr>
      </w:pPr>
      <w:r>
        <w:rPr>
          <w:rFonts w:cs="Times New Roman"/>
        </w:rPr>
        <w:t>综上，项目按照《环境影响评价技术导则 地下水环境》（HJ610-2016）采取分区防渗措施后，可有效防止对地下水的影响，措施可行</w:t>
      </w:r>
      <w:r>
        <w:rPr>
          <w:rFonts w:hint="eastAsia" w:cs="Times New Roman"/>
        </w:rPr>
        <w:t>。</w:t>
      </w:r>
    </w:p>
    <w:p>
      <w:pPr>
        <w:pStyle w:val="5"/>
        <w:rPr>
          <w:rFonts w:cs="Times New Roman"/>
        </w:rPr>
      </w:pPr>
      <w:r>
        <w:rPr>
          <w:rFonts w:cs="Times New Roman"/>
        </w:rPr>
        <w:t>噪声污染防治措施</w:t>
      </w:r>
    </w:p>
    <w:p>
      <w:pPr>
        <w:pStyle w:val="7"/>
        <w:ind w:firstLine="480"/>
        <w:rPr>
          <w:rFonts w:cs="Times New Roman"/>
          <w:lang w:val="zh-CN"/>
        </w:rPr>
      </w:pPr>
      <w:r>
        <w:rPr>
          <w:rFonts w:cs="Times New Roman"/>
          <w:lang w:val="zh-CN"/>
        </w:rPr>
        <w:t>本项目噪声防治主要从两方面着手：一是从噪声源上控制降低噪声，二是从传播途径上控制降低噪声。具体分析如下：</w:t>
      </w:r>
    </w:p>
    <w:p>
      <w:pPr>
        <w:pStyle w:val="7"/>
        <w:ind w:firstLine="480"/>
        <w:rPr>
          <w:rFonts w:cs="Times New Roman"/>
          <w:lang w:val="zh-CN"/>
        </w:rPr>
      </w:pPr>
      <w:r>
        <w:rPr>
          <w:rFonts w:cs="Times New Roman"/>
          <w:lang w:val="zh-CN"/>
        </w:rPr>
        <w:t>（1）从噪声源上控制降低噪声</w:t>
      </w:r>
    </w:p>
    <w:p>
      <w:pPr>
        <w:pStyle w:val="7"/>
        <w:ind w:firstLine="480"/>
        <w:rPr>
          <w:rFonts w:cs="Times New Roman"/>
          <w:lang w:val="zh-CN"/>
        </w:rPr>
      </w:pPr>
      <w:r>
        <w:rPr>
          <w:rFonts w:ascii="Cambria Math" w:hAnsi="Cambria Math" w:cs="Cambria Math"/>
          <w:lang w:val="zh-CN"/>
        </w:rPr>
        <w:t>①</w:t>
      </w:r>
      <w:r>
        <w:rPr>
          <w:rFonts w:cs="Times New Roman"/>
          <w:lang w:val="zh-CN"/>
        </w:rPr>
        <w:t>选用低噪声源生产设备</w:t>
      </w:r>
    </w:p>
    <w:p>
      <w:pPr>
        <w:pStyle w:val="7"/>
        <w:ind w:firstLine="480"/>
        <w:rPr>
          <w:rFonts w:cs="Times New Roman"/>
          <w:lang w:val="zh-CN"/>
        </w:rPr>
      </w:pPr>
      <w:r>
        <w:rPr>
          <w:rFonts w:cs="Times New Roman"/>
          <w:lang w:val="zh-CN"/>
        </w:rPr>
        <w:t>项目生产设备的选型应当选用低噪声、低能耗的生产设备，不但可以减少噪声对周围环境的污染，也可以节约能源符合清洁生产的要求。</w:t>
      </w:r>
    </w:p>
    <w:p>
      <w:pPr>
        <w:pStyle w:val="7"/>
        <w:ind w:firstLine="480"/>
        <w:rPr>
          <w:rFonts w:cs="Times New Roman"/>
          <w:lang w:val="zh-CN"/>
        </w:rPr>
      </w:pPr>
      <w:r>
        <w:rPr>
          <w:rFonts w:ascii="Cambria Math" w:hAnsi="Cambria Math" w:cs="Cambria Math"/>
          <w:lang w:val="zh-CN"/>
        </w:rPr>
        <w:t>②</w:t>
      </w:r>
      <w:r>
        <w:rPr>
          <w:rFonts w:cs="Times New Roman"/>
          <w:lang w:val="zh-CN"/>
        </w:rPr>
        <w:t>采用降噪措施</w:t>
      </w:r>
    </w:p>
    <w:p>
      <w:pPr>
        <w:pStyle w:val="7"/>
        <w:ind w:firstLine="480"/>
        <w:rPr>
          <w:rFonts w:cs="Times New Roman"/>
          <w:lang w:val="zh-CN"/>
        </w:rPr>
      </w:pPr>
      <w:r>
        <w:rPr>
          <w:rFonts w:cs="Times New Roman"/>
          <w:lang w:val="zh-CN"/>
        </w:rPr>
        <w:t>根据项目生产设备类型及产生的噪声类别，采用的降噪措施主要有基础减振、隔声措施等。</w:t>
      </w:r>
    </w:p>
    <w:p>
      <w:pPr>
        <w:pStyle w:val="7"/>
        <w:ind w:firstLine="480"/>
        <w:rPr>
          <w:rFonts w:cs="Times New Roman"/>
          <w:lang w:val="zh-CN"/>
        </w:rPr>
      </w:pPr>
      <w:r>
        <w:rPr>
          <w:rFonts w:cs="Times New Roman"/>
          <w:lang w:val="zh-CN"/>
        </w:rPr>
        <w:t>（2）从传播途径上控制降低噪声</w:t>
      </w:r>
    </w:p>
    <w:p>
      <w:pPr>
        <w:pStyle w:val="7"/>
        <w:ind w:firstLine="480"/>
        <w:rPr>
          <w:rFonts w:cs="Times New Roman"/>
          <w:lang w:val="zh-CN"/>
        </w:rPr>
      </w:pPr>
      <w:r>
        <w:rPr>
          <w:rFonts w:ascii="Cambria Math" w:hAnsi="Cambria Math" w:cs="Cambria Math"/>
          <w:lang w:val="zh-CN"/>
        </w:rPr>
        <w:t>①</w:t>
      </w:r>
      <w:r>
        <w:rPr>
          <w:rFonts w:cs="Times New Roman"/>
          <w:lang w:val="zh-CN"/>
        </w:rPr>
        <w:t>车间墙壁采用双面粉刷，窗户采用隔音门窗进行隔音或采用吸声墙面。</w:t>
      </w:r>
    </w:p>
    <w:p>
      <w:pPr>
        <w:pStyle w:val="7"/>
        <w:ind w:firstLine="480"/>
        <w:rPr>
          <w:rFonts w:cs="Times New Roman"/>
          <w:lang w:val="zh-CN"/>
        </w:rPr>
      </w:pPr>
      <w:r>
        <w:rPr>
          <w:rFonts w:ascii="Cambria Math" w:hAnsi="Cambria Math" w:cs="Cambria Math"/>
          <w:lang w:val="zh-CN"/>
        </w:rPr>
        <w:t>②</w:t>
      </w:r>
      <w:r>
        <w:rPr>
          <w:rFonts w:cs="Times New Roman"/>
          <w:lang w:val="zh-CN"/>
        </w:rPr>
        <w:t>项目高噪设备在布置时应当相对远离厂界。</w:t>
      </w:r>
    </w:p>
    <w:p>
      <w:pPr>
        <w:pStyle w:val="7"/>
        <w:ind w:firstLine="480"/>
        <w:rPr>
          <w:rFonts w:cs="Times New Roman"/>
          <w:lang w:val="zh-CN"/>
        </w:rPr>
      </w:pPr>
      <w:r>
        <w:rPr>
          <w:rFonts w:ascii="Cambria Math" w:hAnsi="Cambria Math" w:cs="Cambria Math"/>
          <w:lang w:val="zh-CN"/>
        </w:rPr>
        <w:t>③</w:t>
      </w:r>
      <w:r>
        <w:rPr>
          <w:rFonts w:cs="Times New Roman"/>
          <w:lang w:val="zh-CN"/>
        </w:rPr>
        <w:t>生产时应维持设备处于良好的运转状态，避免因设备运转不正常而引起噪声的增高。</w:t>
      </w:r>
    </w:p>
    <w:p>
      <w:pPr>
        <w:pStyle w:val="7"/>
        <w:ind w:firstLine="480"/>
        <w:rPr>
          <w:rFonts w:cs="Times New Roman"/>
          <w:lang w:val="zh-CN"/>
        </w:rPr>
      </w:pPr>
      <w:r>
        <w:rPr>
          <w:rFonts w:cs="Times New Roman"/>
          <w:lang w:val="zh-CN"/>
        </w:rPr>
        <w:t>采取以上措施后，经预测项目厂界噪声贡献值满足《工业企业厂界环境噪声排放标准》（GB12348-2008）中的2类区限值要求，且项目厂界500m范围内无噪声保护目标。因此，本项目噪声防治措施是可行的。</w:t>
      </w:r>
    </w:p>
    <w:p>
      <w:pPr>
        <w:pStyle w:val="5"/>
        <w:rPr>
          <w:rFonts w:cs="Times New Roman"/>
        </w:rPr>
      </w:pPr>
      <w:r>
        <w:rPr>
          <w:rFonts w:cs="Times New Roman"/>
        </w:rPr>
        <w:t>固体废物污染防治措施及防控技术要求</w:t>
      </w:r>
    </w:p>
    <w:p>
      <w:pPr>
        <w:pStyle w:val="6"/>
      </w:pPr>
      <w:r>
        <w:t>固体废物处置措施</w:t>
      </w:r>
    </w:p>
    <w:p>
      <w:pPr>
        <w:pStyle w:val="7"/>
        <w:ind w:firstLine="480"/>
        <w:rPr>
          <w:rFonts w:cs="Times New Roman"/>
        </w:rPr>
      </w:pPr>
      <w:r>
        <w:rPr>
          <w:rFonts w:cs="Times New Roman"/>
        </w:rPr>
        <w:t>本项目运营期产生的一般工业固体废物有沉淀池污泥、造粒工段废滤网、滴灌带生产线残次品及边角料；危险废物有废活性炭、废UV灯管、废润滑油；另外还有少量生活垃圾。</w:t>
      </w:r>
    </w:p>
    <w:p>
      <w:pPr>
        <w:pStyle w:val="7"/>
        <w:ind w:firstLine="480"/>
        <w:rPr>
          <w:rFonts w:cs="Times New Roman"/>
        </w:rPr>
      </w:pPr>
      <w:r>
        <w:rPr>
          <w:rFonts w:cs="Times New Roman"/>
        </w:rPr>
        <w:t>（1）一般工业固体废物</w:t>
      </w:r>
    </w:p>
    <w:p>
      <w:pPr>
        <w:pStyle w:val="7"/>
        <w:ind w:firstLine="480"/>
        <w:rPr>
          <w:rFonts w:cs="Times New Roman"/>
        </w:rPr>
      </w:pPr>
      <w:r>
        <w:rPr>
          <w:rFonts w:cs="Times New Roman"/>
        </w:rPr>
        <w:t>沉淀池污泥定期清掏，经自然干化处理后交由环卫部门处置；废旧滤网经收集后外售物资回收单位；边角料及残次品全部返回造粒工序回用。</w:t>
      </w:r>
    </w:p>
    <w:p>
      <w:pPr>
        <w:pStyle w:val="7"/>
        <w:ind w:firstLine="480"/>
        <w:rPr>
          <w:rFonts w:cs="Times New Roman"/>
        </w:rPr>
      </w:pPr>
      <w:r>
        <w:rPr>
          <w:rFonts w:cs="Times New Roman"/>
        </w:rPr>
        <w:t>（2）危险废物</w:t>
      </w:r>
    </w:p>
    <w:p>
      <w:pPr>
        <w:pStyle w:val="7"/>
        <w:ind w:firstLine="480"/>
        <w:rPr>
          <w:rFonts w:cs="Times New Roman"/>
        </w:rPr>
      </w:pPr>
      <w:r>
        <w:rPr>
          <w:rFonts w:cs="Times New Roman"/>
        </w:rPr>
        <w:t>项目产生的废活性炭、废UV灯管、废润滑油等危险废物分类收集，在厂区</w:t>
      </w:r>
      <w:r>
        <w:rPr>
          <w:rFonts w:hint="eastAsia" w:cs="Times New Roman"/>
        </w:rPr>
        <w:t>危废贮存库</w:t>
      </w:r>
      <w:r>
        <w:rPr>
          <w:rFonts w:cs="Times New Roman"/>
        </w:rPr>
        <w:t>暂存，定期交由有资质的单位处置。</w:t>
      </w:r>
    </w:p>
    <w:p>
      <w:pPr>
        <w:pStyle w:val="7"/>
        <w:ind w:firstLine="480"/>
        <w:rPr>
          <w:rFonts w:cs="Times New Roman"/>
        </w:rPr>
      </w:pPr>
      <w:r>
        <w:rPr>
          <w:rFonts w:cs="Times New Roman"/>
        </w:rPr>
        <w:t>（3）生活垃圾</w:t>
      </w:r>
    </w:p>
    <w:p>
      <w:pPr>
        <w:pStyle w:val="7"/>
        <w:ind w:firstLine="480"/>
        <w:rPr>
          <w:rFonts w:cs="Times New Roman"/>
        </w:rPr>
      </w:pPr>
      <w:r>
        <w:rPr>
          <w:rFonts w:cs="Times New Roman"/>
        </w:rPr>
        <w:t>本项目运营期产生的生活垃圾经定点收集后定期交由环卫部门清运至垃圾填埋场填埋处理。</w:t>
      </w:r>
    </w:p>
    <w:p>
      <w:pPr>
        <w:pStyle w:val="6"/>
        <w:snapToGrid/>
      </w:pPr>
      <w:r>
        <w:t>危险废物污染防控技术要求</w:t>
      </w:r>
    </w:p>
    <w:p>
      <w:pPr>
        <w:pStyle w:val="7"/>
        <w:ind w:firstLine="480"/>
        <w:rPr>
          <w:rFonts w:cs="Times New Roman"/>
        </w:rPr>
      </w:pPr>
      <w:r>
        <w:rPr>
          <w:rFonts w:hint="eastAsia" w:cs="Times New Roman"/>
        </w:rPr>
        <w:t>本项目运营期产生的废润滑油、废活性炭、废灯管应按照危险废物管理，需采取符合《危险废物贮存污染控制标准》（GB18597-2003）要求的临时储存措施，危险废物转移必须符合危险废物转移的相关管理办法，具体要求如下：</w:t>
      </w:r>
    </w:p>
    <w:p>
      <w:pPr>
        <w:pStyle w:val="7"/>
        <w:numPr>
          <w:ilvl w:val="0"/>
          <w:numId w:val="3"/>
        </w:numPr>
        <w:ind w:firstLineChars="0"/>
        <w:rPr>
          <w:rFonts w:cs="Times New Roman"/>
        </w:rPr>
      </w:pPr>
      <w:r>
        <w:rPr>
          <w:rFonts w:hint="eastAsia" w:cs="Times New Roman"/>
        </w:rPr>
        <w:t>一般要求</w:t>
      </w:r>
    </w:p>
    <w:p>
      <w:pPr>
        <w:pStyle w:val="7"/>
        <w:ind w:firstLine="480"/>
        <w:rPr>
          <w:rFonts w:cs="Times New Roman"/>
        </w:rPr>
      </w:pPr>
      <w:r>
        <w:rPr>
          <w:rFonts w:cs="Times New Roman"/>
        </w:rPr>
        <w:t>本项目</w:t>
      </w:r>
      <w:r>
        <w:rPr>
          <w:rFonts w:hint="eastAsia" w:cs="Times New Roman"/>
        </w:rPr>
        <w:t>建造</w:t>
      </w:r>
      <w:r>
        <w:rPr>
          <w:rFonts w:cs="Times New Roman"/>
        </w:rPr>
        <w:t>一座</w:t>
      </w:r>
      <w:r>
        <w:rPr>
          <w:rFonts w:hint="eastAsia" w:cs="Times New Roman"/>
        </w:rPr>
        <w:t>20</w:t>
      </w:r>
      <w:r>
        <w:rPr>
          <w:rFonts w:cs="Times New Roman"/>
        </w:rPr>
        <w:t>m</w:t>
      </w:r>
      <w:r>
        <w:rPr>
          <w:rFonts w:cs="Times New Roman"/>
          <w:vertAlign w:val="superscript"/>
        </w:rPr>
        <w:t>2</w:t>
      </w:r>
      <w:r>
        <w:rPr>
          <w:rFonts w:cs="Times New Roman"/>
        </w:rPr>
        <w:t>危险废物</w:t>
      </w:r>
      <w:r>
        <w:rPr>
          <w:rFonts w:hint="eastAsia" w:cs="Times New Roman"/>
        </w:rPr>
        <w:t>贮存库</w:t>
      </w:r>
      <w:r>
        <w:rPr>
          <w:rFonts w:cs="Times New Roman"/>
        </w:rPr>
        <w:t>；危险废物</w:t>
      </w:r>
      <w:r>
        <w:rPr>
          <w:rFonts w:hint="eastAsia" w:cs="Times New Roman"/>
        </w:rPr>
        <w:t>贮存库</w:t>
      </w:r>
      <w:r>
        <w:rPr>
          <w:rFonts w:cs="Times New Roman"/>
        </w:rPr>
        <w:t>用于临时储存项目废活性炭、废UV灯管、废润滑油等。</w:t>
      </w:r>
    </w:p>
    <w:p>
      <w:pPr>
        <w:pStyle w:val="7"/>
        <w:ind w:firstLine="480"/>
        <w:rPr>
          <w:rFonts w:cs="Times New Roman"/>
        </w:rPr>
      </w:pPr>
      <w:r>
        <w:rPr>
          <w:rFonts w:hint="eastAsia" w:cs="Times New Roman"/>
        </w:rPr>
        <w:t>（2）危险废物的堆放</w:t>
      </w:r>
    </w:p>
    <w:p>
      <w:pPr>
        <w:pStyle w:val="7"/>
        <w:ind w:firstLine="480"/>
        <w:rPr>
          <w:rFonts w:cs="Times New Roman"/>
        </w:rPr>
      </w:pPr>
      <w:r>
        <w:rPr>
          <w:rFonts w:hint="eastAsia" w:cs="Times New Roman"/>
        </w:rPr>
        <w:t>①基础必须防渗，防渗层为至少1m厚粘土层（渗透系数≤10</w:t>
      </w:r>
      <w:r>
        <w:rPr>
          <w:rFonts w:hint="eastAsia" w:cs="Times New Roman"/>
          <w:vertAlign w:val="superscript"/>
        </w:rPr>
        <w:t>-7</w:t>
      </w:r>
      <w:r>
        <w:rPr>
          <w:rFonts w:hint="eastAsia" w:cs="Times New Roman"/>
        </w:rPr>
        <w:t>cm/s），或2mm厚高密度聚乙烯，或至少2mm厚的其它人工材料，渗透系数≤10</w:t>
      </w:r>
      <w:r>
        <w:rPr>
          <w:rFonts w:hint="eastAsia" w:cs="Times New Roman"/>
          <w:vertAlign w:val="superscript"/>
        </w:rPr>
        <w:t>-10</w:t>
      </w:r>
      <w:r>
        <w:rPr>
          <w:rFonts w:hint="eastAsia" w:cs="Times New Roman"/>
        </w:rPr>
        <w:t>cm/s；</w:t>
      </w:r>
    </w:p>
    <w:p>
      <w:pPr>
        <w:pStyle w:val="7"/>
        <w:ind w:firstLine="480"/>
        <w:rPr>
          <w:rFonts w:cs="Times New Roman"/>
        </w:rPr>
      </w:pPr>
      <w:r>
        <w:rPr>
          <w:rFonts w:hint="eastAsia" w:cs="Times New Roman"/>
        </w:rPr>
        <w:t>②堆放危险废物的高度应根据地面承载能力确定；</w:t>
      </w:r>
    </w:p>
    <w:p>
      <w:pPr>
        <w:pStyle w:val="7"/>
        <w:ind w:firstLine="480"/>
        <w:rPr>
          <w:rFonts w:cs="Times New Roman"/>
        </w:rPr>
      </w:pPr>
      <w:r>
        <w:rPr>
          <w:rFonts w:hint="eastAsia" w:cs="Times New Roman"/>
        </w:rPr>
        <w:t>③衬里放在一个基础或底座上；</w:t>
      </w:r>
    </w:p>
    <w:p>
      <w:pPr>
        <w:pStyle w:val="7"/>
        <w:ind w:firstLine="480"/>
        <w:rPr>
          <w:rFonts w:cs="Times New Roman"/>
        </w:rPr>
      </w:pPr>
      <w:r>
        <w:rPr>
          <w:rFonts w:hint="eastAsia" w:cs="Times New Roman"/>
        </w:rPr>
        <w:t>④衬里要能够覆盖危险废物或其溶出物可能涉及到的范围；</w:t>
      </w:r>
    </w:p>
    <w:p>
      <w:pPr>
        <w:pStyle w:val="7"/>
        <w:ind w:firstLine="480"/>
        <w:rPr>
          <w:rFonts w:cs="Times New Roman"/>
        </w:rPr>
      </w:pPr>
      <w:r>
        <w:rPr>
          <w:rFonts w:hint="eastAsia" w:cs="Times New Roman"/>
        </w:rPr>
        <w:t>⑤衬里材料与堆放危险废物相容；</w:t>
      </w:r>
    </w:p>
    <w:p>
      <w:pPr>
        <w:pStyle w:val="7"/>
        <w:ind w:firstLine="480"/>
        <w:rPr>
          <w:rFonts w:cs="Times New Roman"/>
        </w:rPr>
      </w:pPr>
      <w:r>
        <w:rPr>
          <w:rFonts w:hint="eastAsia" w:cs="Times New Roman"/>
        </w:rPr>
        <w:t>⑥在衬里上设计、建造浸出液收集清除系统；</w:t>
      </w:r>
    </w:p>
    <w:p>
      <w:pPr>
        <w:pStyle w:val="7"/>
        <w:ind w:firstLine="480"/>
        <w:rPr>
          <w:rFonts w:cs="Times New Roman"/>
        </w:rPr>
      </w:pPr>
      <w:r>
        <w:rPr>
          <w:rFonts w:hint="eastAsia" w:cs="Times New Roman"/>
        </w:rPr>
        <w:t>⑦危险废物堆要防风、防雨、防晒；</w:t>
      </w:r>
    </w:p>
    <w:p>
      <w:pPr>
        <w:pStyle w:val="7"/>
        <w:ind w:firstLine="480"/>
        <w:rPr>
          <w:rFonts w:cs="Times New Roman"/>
        </w:rPr>
      </w:pPr>
      <w:r>
        <w:rPr>
          <w:rFonts w:hint="eastAsia" w:cs="Times New Roman"/>
        </w:rPr>
        <w:t>⑧产生量大的危险废物可以散装方式堆放贮存在按上述要求设计的废物堆里；</w:t>
      </w:r>
    </w:p>
    <w:p>
      <w:pPr>
        <w:pStyle w:val="7"/>
        <w:ind w:firstLine="480"/>
        <w:rPr>
          <w:rFonts w:cs="Times New Roman"/>
        </w:rPr>
      </w:pPr>
      <w:r>
        <w:rPr>
          <w:rFonts w:hint="eastAsia" w:cs="Times New Roman"/>
        </w:rPr>
        <w:t>（3）危废贮存和转移控制</w:t>
      </w:r>
    </w:p>
    <w:p>
      <w:pPr>
        <w:pStyle w:val="7"/>
        <w:ind w:firstLine="480"/>
        <w:rPr>
          <w:rFonts w:cs="Times New Roman"/>
        </w:rPr>
      </w:pPr>
      <w:r>
        <w:rPr>
          <w:rFonts w:hint="eastAsia" w:cs="Times New Roman"/>
        </w:rPr>
        <w:t>根据《危险废物贮存污染控制标准》（GB</w:t>
      </w:r>
      <w:r>
        <w:rPr>
          <w:rFonts w:cs="Times New Roman"/>
        </w:rPr>
        <w:t>18597</w:t>
      </w:r>
      <w:r>
        <w:rPr>
          <w:rFonts w:hint="eastAsia" w:cs="Times New Roman"/>
        </w:rPr>
        <w:t>-</w:t>
      </w:r>
      <w:r>
        <w:rPr>
          <w:rFonts w:cs="Times New Roman"/>
        </w:rPr>
        <w:t>2023</w:t>
      </w:r>
      <w:r>
        <w:rPr>
          <w:rFonts w:hint="eastAsia" w:cs="Times New Roman"/>
        </w:rPr>
        <w:t>）和有关危险废物转移的管理办法，企业按照国家有关规定办理危险废物申报转移的“五联单”手续，并在贮运过程中严格执行危险废物贮存、运输和监管的有关规定：</w:t>
      </w:r>
    </w:p>
    <w:p>
      <w:pPr>
        <w:pStyle w:val="7"/>
        <w:ind w:firstLine="480"/>
        <w:rPr>
          <w:rFonts w:cs="Times New Roman"/>
        </w:rPr>
      </w:pPr>
      <w:r>
        <w:rPr>
          <w:rFonts w:hint="eastAsia" w:cs="Times New Roman"/>
        </w:rPr>
        <w:t>①所有废物按类在专用密闭容器中储存，不得混装；</w:t>
      </w:r>
    </w:p>
    <w:p>
      <w:pPr>
        <w:pStyle w:val="7"/>
        <w:ind w:firstLine="480"/>
        <w:rPr>
          <w:rFonts w:cs="Times New Roman"/>
        </w:rPr>
      </w:pPr>
      <w:r>
        <w:rPr>
          <w:rFonts w:hint="eastAsia" w:cs="Times New Roman"/>
        </w:rPr>
        <w:t>②危险废物接受企业有相应的危险废物经营资质；</w:t>
      </w:r>
    </w:p>
    <w:p>
      <w:pPr>
        <w:pStyle w:val="7"/>
        <w:ind w:firstLine="480"/>
        <w:rPr>
          <w:rFonts w:cs="Times New Roman"/>
        </w:rPr>
      </w:pPr>
      <w:r>
        <w:rPr>
          <w:rFonts w:hint="eastAsia" w:cs="Times New Roman"/>
        </w:rPr>
        <w:t>③废物收集和封装容器得到接受企业和监管部门的认可；</w:t>
      </w:r>
    </w:p>
    <w:p>
      <w:pPr>
        <w:pStyle w:val="7"/>
        <w:ind w:firstLine="480"/>
        <w:rPr>
          <w:rFonts w:cs="Times New Roman"/>
        </w:rPr>
      </w:pPr>
      <w:r>
        <w:rPr>
          <w:rFonts w:hint="eastAsia" w:cs="Times New Roman"/>
        </w:rPr>
        <w:t>④收集的固废详细列出数量和成分，并填写有关材料；</w:t>
      </w:r>
    </w:p>
    <w:p>
      <w:pPr>
        <w:pStyle w:val="7"/>
        <w:ind w:firstLine="480"/>
        <w:rPr>
          <w:rFonts w:cs="Times New Roman"/>
        </w:rPr>
      </w:pPr>
      <w:r>
        <w:rPr>
          <w:rFonts w:hint="eastAsia" w:cs="Times New Roman"/>
        </w:rPr>
        <w:t>⑤专人负责危险废物的收集、贮运管理工作；</w:t>
      </w:r>
    </w:p>
    <w:p>
      <w:pPr>
        <w:pStyle w:val="7"/>
        <w:ind w:firstLine="480"/>
        <w:rPr>
          <w:rFonts w:cs="Times New Roman"/>
        </w:rPr>
      </w:pPr>
      <w:r>
        <w:rPr>
          <w:rFonts w:hint="eastAsia" w:cs="Times New Roman"/>
        </w:rPr>
        <w:t>⑥所有运输车辆的司机和押运人员经专业培训持证上岗。</w:t>
      </w:r>
    </w:p>
    <w:p>
      <w:pPr>
        <w:pStyle w:val="7"/>
        <w:ind w:firstLine="480"/>
        <w:rPr>
          <w:rFonts w:cs="Times New Roman"/>
        </w:rPr>
      </w:pPr>
      <w:r>
        <w:rPr>
          <w:rFonts w:hint="eastAsia" w:cs="Times New Roman"/>
        </w:rPr>
        <w:t>本项目运营期产生的危险废物</w:t>
      </w:r>
      <w:r>
        <w:rPr>
          <w:rFonts w:cs="Times New Roman"/>
        </w:rPr>
        <w:t>装于相应容器内</w:t>
      </w:r>
      <w:r>
        <w:rPr>
          <w:rFonts w:hint="eastAsia" w:cs="Times New Roman"/>
        </w:rPr>
        <w:t>：废活性炭</w:t>
      </w:r>
      <w:r>
        <w:rPr>
          <w:rFonts w:cs="Times New Roman"/>
        </w:rPr>
        <w:t>用</w:t>
      </w:r>
      <w:r>
        <w:rPr>
          <w:rFonts w:hint="eastAsia" w:cs="Times New Roman"/>
        </w:rPr>
        <w:t>贴有危废标签的</w:t>
      </w:r>
      <w:r>
        <w:rPr>
          <w:rFonts w:cs="Times New Roman"/>
        </w:rPr>
        <w:t>吨袋贮存，然后将吨袋放至托盘之上</w:t>
      </w:r>
      <w:r>
        <w:rPr>
          <w:rFonts w:hint="eastAsia" w:cs="Times New Roman"/>
        </w:rPr>
        <w:t>；在处理废UV灯管时，要穿戴好防护服等相关防护设备，尽量避免手直接接触到废旧灯管，将其置于专用塑料袋密封包装；废润滑油用废油桶将其装好贮存，之后</w:t>
      </w:r>
      <w:r>
        <w:rPr>
          <w:rFonts w:cs="Times New Roman"/>
        </w:rPr>
        <w:t>再暂存于该</w:t>
      </w:r>
      <w:r>
        <w:rPr>
          <w:rFonts w:hint="eastAsia" w:cs="Times New Roman"/>
        </w:rPr>
        <w:t>贮存库</w:t>
      </w:r>
      <w:r>
        <w:rPr>
          <w:rFonts w:cs="Times New Roman"/>
        </w:rPr>
        <w:t>内，不直接堆存于暂存室地面上。</w:t>
      </w:r>
      <w:r>
        <w:rPr>
          <w:rFonts w:hint="eastAsia" w:cs="Times New Roman"/>
        </w:rPr>
        <w:t>暂存于产品仓库内的危废贮存库，定期运送至具有危险废物处置资质的单位处置。</w:t>
      </w:r>
    </w:p>
    <w:p>
      <w:pPr>
        <w:pStyle w:val="7"/>
        <w:ind w:firstLine="480"/>
        <w:rPr>
          <w:rFonts w:cs="Times New Roman"/>
        </w:rPr>
      </w:pPr>
      <w:r>
        <w:rPr>
          <w:rFonts w:hint="eastAsia" w:cs="Times New Roman"/>
        </w:rPr>
        <w:t>综上所述，本项目产生的固体废物在采取上述处置措施后，均得到合理处置与利用，措施可行。</w:t>
      </w:r>
    </w:p>
    <w:p>
      <w:pPr>
        <w:pStyle w:val="6"/>
        <w:snapToGrid/>
      </w:pPr>
      <w:r>
        <w:t>一般工业固体废物污染防控技术要求</w:t>
      </w:r>
    </w:p>
    <w:p>
      <w:pPr>
        <w:pStyle w:val="7"/>
        <w:ind w:firstLine="480"/>
        <w:rPr>
          <w:rFonts w:cs="Times New Roman"/>
        </w:rPr>
      </w:pPr>
      <w:r>
        <w:rPr>
          <w:rFonts w:cs="Times New Roman"/>
        </w:rPr>
        <w:t>（1）委托贮存/利用/处置环节污染防控技术要求</w:t>
      </w:r>
    </w:p>
    <w:p>
      <w:pPr>
        <w:pStyle w:val="7"/>
        <w:ind w:firstLine="480"/>
        <w:rPr>
          <w:rFonts w:cs="Times New Roman"/>
        </w:rPr>
      </w:pPr>
      <w:r>
        <w:rPr>
          <w:rFonts w:cs="Times New Roman"/>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pStyle w:val="7"/>
        <w:ind w:firstLine="480"/>
        <w:rPr>
          <w:rFonts w:cs="Times New Roman"/>
        </w:rPr>
      </w:pPr>
      <w:r>
        <w:rPr>
          <w:rFonts w:cs="Times New Roman"/>
        </w:rPr>
        <w:t>（2）自行贮存/利用/处置设施污染防控技术要求</w:t>
      </w:r>
    </w:p>
    <w:p>
      <w:pPr>
        <w:pStyle w:val="7"/>
        <w:ind w:firstLine="480"/>
        <w:rPr>
          <w:rFonts w:cs="Times New Roman"/>
        </w:rPr>
      </w:pPr>
      <w:r>
        <w:rPr>
          <w:rFonts w:cs="Times New Roman"/>
        </w:rPr>
        <w:t>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和填埋作业；贮存场应设置清晰、完整的一般工业固体废物标志牌等。</w:t>
      </w:r>
    </w:p>
    <w:p>
      <w:pPr>
        <w:pStyle w:val="7"/>
        <w:ind w:firstLine="480"/>
        <w:rPr>
          <w:rFonts w:cs="Times New Roman"/>
          <w:lang w:val="zh-CN"/>
        </w:rPr>
      </w:pPr>
      <w:r>
        <w:rPr>
          <w:rFonts w:cs="Times New Roman"/>
          <w:lang w:val="zh-CN"/>
        </w:rPr>
        <w:t>综上所述，本项目产生的固体废物在采取上述处置措施后，均得到合理处置与利用，措施可行。</w:t>
      </w:r>
    </w:p>
    <w:p>
      <w:pPr>
        <w:pStyle w:val="5"/>
        <w:spacing w:before="0" w:beforeLines="0" w:after="0" w:afterLines="0"/>
        <w:rPr>
          <w:rFonts w:cs="Times New Roman"/>
        </w:rPr>
      </w:pPr>
      <w:r>
        <w:rPr>
          <w:rFonts w:cs="Times New Roman"/>
        </w:rPr>
        <w:t>土壤污染防治措施可行性</w:t>
      </w:r>
    </w:p>
    <w:p>
      <w:pPr>
        <w:pStyle w:val="7"/>
        <w:adjustRightInd w:val="0"/>
        <w:snapToGrid w:val="0"/>
        <w:ind w:firstLine="480"/>
        <w:rPr>
          <w:rFonts w:cs="Times New Roman"/>
          <w:lang w:val="zh-CN"/>
        </w:rPr>
      </w:pPr>
      <w:r>
        <w:rPr>
          <w:rFonts w:cs="Times New Roman"/>
          <w:lang w:val="zh-CN"/>
        </w:rPr>
        <w:t>本项目清洗废水不含重金属和持久性有机污染物，主要是清洗污泥，污泥来自废旧滴灌带</w:t>
      </w:r>
      <w:r>
        <w:rPr>
          <w:rFonts w:hint="eastAsia" w:cs="Times New Roman"/>
          <w:lang w:val="zh-CN"/>
        </w:rPr>
        <w:t>及废水带</w:t>
      </w:r>
      <w:r>
        <w:rPr>
          <w:rFonts w:cs="Times New Roman"/>
          <w:lang w:val="zh-CN"/>
        </w:rPr>
        <w:t>回收时粘带的农田泥土，清洗废水泄漏对土壤环境影响较小。正常情况下项目排放的大气污染物主要为非甲烷总烃，不存在沉降对土壤环境产生影响。本项目采取分区防控措施对厂区进行防渗处理，厂区防渗处理后可防止废水进入土壤而造成污染。</w:t>
      </w:r>
    </w:p>
    <w:p>
      <w:pPr>
        <w:pStyle w:val="7"/>
        <w:adjustRightInd w:val="0"/>
        <w:snapToGrid w:val="0"/>
        <w:ind w:firstLine="480"/>
        <w:rPr>
          <w:rFonts w:cs="Times New Roman"/>
          <w:lang w:val="zh-CN"/>
        </w:rPr>
      </w:pPr>
      <w:r>
        <w:rPr>
          <w:rFonts w:hint="eastAsia" w:cs="Times New Roman"/>
          <w:lang w:val="zh-CN"/>
        </w:rPr>
        <w:t>项目区域主要为农田生态系统，区域人迹活动频繁，项目区域生态系统不敏感。本项目不涉及占用基本农田保护区，受项目影响的植物均属一般常见种，其生长范围广，适应性强，因此基本不会影响项目区所在区域的生态系统稳定性和完整性。</w:t>
      </w:r>
    </w:p>
    <w:p>
      <w:pPr>
        <w:pStyle w:val="7"/>
        <w:adjustRightInd w:val="0"/>
        <w:snapToGrid w:val="0"/>
        <w:ind w:firstLine="480"/>
        <w:rPr>
          <w:rFonts w:cs="Times New Roman"/>
          <w:lang w:val="zh-CN"/>
        </w:rPr>
        <w:sectPr>
          <w:pgSz w:w="11906" w:h="16838"/>
          <w:pgMar w:top="1440" w:right="1797" w:bottom="1440" w:left="1797" w:header="851" w:footer="992" w:gutter="0"/>
          <w:pgNumType w:fmt="numberInDash"/>
          <w:cols w:space="720" w:num="1"/>
          <w:docGrid w:type="lines" w:linePitch="312" w:charSpace="0"/>
        </w:sectPr>
      </w:pPr>
    </w:p>
    <w:p>
      <w:pPr>
        <w:pStyle w:val="3"/>
        <w:spacing w:before="156" w:after="156"/>
        <w:jc w:val="center"/>
        <w:rPr>
          <w:rFonts w:eastAsia="宋体"/>
        </w:rPr>
      </w:pPr>
      <w:bookmarkStart w:id="97" w:name="_Toc12952"/>
      <w:r>
        <w:rPr>
          <w:rFonts w:eastAsia="宋体"/>
        </w:rPr>
        <w:t>环境影响经济损益分析</w:t>
      </w:r>
      <w:bookmarkEnd w:id="97"/>
    </w:p>
    <w:p>
      <w:pPr>
        <w:pStyle w:val="7"/>
        <w:ind w:firstLine="480"/>
        <w:rPr>
          <w:rFonts w:cs="Times New Roman"/>
        </w:rPr>
      </w:pPr>
      <w:r>
        <w:rPr>
          <w:rFonts w:cs="Times New Roman"/>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pPr>
        <w:pStyle w:val="4"/>
        <w:spacing w:before="156" w:after="156"/>
        <w:rPr>
          <w:rFonts w:eastAsia="宋体"/>
        </w:rPr>
      </w:pPr>
      <w:bookmarkStart w:id="98" w:name="_Toc6057"/>
      <w:r>
        <w:rPr>
          <w:rFonts w:eastAsia="宋体"/>
        </w:rPr>
        <w:t>环保设施及投资概算</w:t>
      </w:r>
      <w:bookmarkEnd w:id="98"/>
    </w:p>
    <w:p>
      <w:pPr>
        <w:pStyle w:val="7"/>
        <w:ind w:firstLine="480"/>
        <w:rPr>
          <w:rFonts w:cs="Times New Roman"/>
          <w:lang w:val="zh-CN"/>
        </w:rPr>
      </w:pPr>
      <w:r>
        <w:rPr>
          <w:rFonts w:cs="Times New Roman"/>
        </w:rPr>
        <w:t>本项目计划总投资</w:t>
      </w:r>
      <w:r>
        <w:rPr>
          <w:rFonts w:hint="eastAsia" w:cs="Times New Roman"/>
        </w:rPr>
        <w:t>500</w:t>
      </w:r>
      <w:r>
        <w:rPr>
          <w:rFonts w:cs="Times New Roman"/>
        </w:rPr>
        <w:t>万元，环保投资共计</w:t>
      </w:r>
      <w:r>
        <w:rPr>
          <w:rFonts w:hint="eastAsia" w:cs="Times New Roman"/>
        </w:rPr>
        <w:t>30.7万元</w:t>
      </w:r>
      <w:r>
        <w:rPr>
          <w:rFonts w:cs="Times New Roman"/>
        </w:rPr>
        <w:t>，环保投资占总投资比例为</w:t>
      </w:r>
      <w:r>
        <w:rPr>
          <w:rFonts w:hint="eastAsia" w:cs="Times New Roman"/>
        </w:rPr>
        <w:t>6.1%</w:t>
      </w:r>
      <w:r>
        <w:rPr>
          <w:rFonts w:cs="Times New Roman"/>
        </w:rPr>
        <w:t>。项目环保投资估算见</w:t>
      </w:r>
      <w:r>
        <w:rPr>
          <w:rFonts w:hint="eastAsia" w:cs="Times New Roman"/>
          <w:lang w:val="zh-CN"/>
        </w:rPr>
        <w:t>表7.1-1。</w:t>
      </w:r>
    </w:p>
    <w:p>
      <w:pPr>
        <w:pStyle w:val="36"/>
        <w:spacing w:before="156"/>
        <w:rPr>
          <w:rFonts w:eastAsia="宋体"/>
        </w:rPr>
      </w:pPr>
      <w:r>
        <w:rPr>
          <w:rFonts w:hint="eastAsia" w:eastAsia="宋体"/>
          <w:lang w:val="zh-CN"/>
        </w:rPr>
        <w:t>表7.1-1  项目环保投资一览表</w:t>
      </w:r>
      <w:bookmarkStart w:id="99" w:name="_Ref111571214"/>
    </w:p>
    <w:tbl>
      <w:tblPr>
        <w:tblStyle w:val="21"/>
        <w:tblW w:w="0" w:type="auto"/>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792"/>
        <w:gridCol w:w="1559"/>
        <w:gridCol w:w="4365"/>
        <w:gridCol w:w="734"/>
        <w:gridCol w:w="4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序号</w:t>
            </w:r>
          </w:p>
        </w:tc>
        <w:tc>
          <w:tcPr>
            <w:tcW w:w="792" w:type="dxa"/>
            <w:vAlign w:val="center"/>
          </w:tcPr>
          <w:p>
            <w:pPr>
              <w:jc w:val="center"/>
              <w:rPr>
                <w:rFonts w:ascii="Times New Roman" w:hAnsi="Times New Roman"/>
                <w:kern w:val="0"/>
              </w:rPr>
            </w:pPr>
            <w:r>
              <w:rPr>
                <w:rFonts w:ascii="Times New Roman" w:hAnsi="Times New Roman"/>
                <w:kern w:val="0"/>
              </w:rPr>
              <w:t>环境要素</w:t>
            </w:r>
          </w:p>
        </w:tc>
        <w:tc>
          <w:tcPr>
            <w:tcW w:w="1559" w:type="dxa"/>
            <w:vAlign w:val="center"/>
          </w:tcPr>
          <w:p>
            <w:pPr>
              <w:jc w:val="center"/>
              <w:rPr>
                <w:rFonts w:ascii="Times New Roman" w:hAnsi="Times New Roman"/>
                <w:kern w:val="0"/>
              </w:rPr>
            </w:pPr>
            <w:r>
              <w:rPr>
                <w:rFonts w:ascii="Times New Roman" w:hAnsi="Times New Roman"/>
                <w:kern w:val="0"/>
              </w:rPr>
              <w:t>污染环节源</w:t>
            </w:r>
          </w:p>
        </w:tc>
        <w:tc>
          <w:tcPr>
            <w:tcW w:w="4365" w:type="dxa"/>
            <w:vAlign w:val="center"/>
          </w:tcPr>
          <w:p>
            <w:pPr>
              <w:jc w:val="center"/>
              <w:rPr>
                <w:rFonts w:ascii="Times New Roman" w:hAnsi="Times New Roman"/>
                <w:kern w:val="0"/>
              </w:rPr>
            </w:pPr>
            <w:r>
              <w:rPr>
                <w:rFonts w:ascii="Times New Roman" w:hAnsi="Times New Roman"/>
                <w:kern w:val="0"/>
              </w:rPr>
              <w:t>治理措施</w:t>
            </w:r>
          </w:p>
        </w:tc>
        <w:tc>
          <w:tcPr>
            <w:tcW w:w="0" w:type="auto"/>
            <w:vAlign w:val="center"/>
          </w:tcPr>
          <w:p>
            <w:pPr>
              <w:jc w:val="center"/>
              <w:rPr>
                <w:rFonts w:ascii="Times New Roman" w:hAnsi="Times New Roman"/>
                <w:kern w:val="0"/>
              </w:rPr>
            </w:pPr>
            <w:r>
              <w:rPr>
                <w:rFonts w:ascii="Times New Roman" w:hAnsi="Times New Roman"/>
                <w:kern w:val="0"/>
              </w:rPr>
              <w:t>投资</w:t>
            </w:r>
            <w:r>
              <w:rPr>
                <w:rFonts w:hint="eastAsia" w:ascii="Times New Roman" w:hAnsi="Times New Roman"/>
                <w:kern w:val="0"/>
              </w:rPr>
              <w:t>/</w:t>
            </w:r>
            <w:r>
              <w:rPr>
                <w:rFonts w:ascii="Times New Roman" w:hAnsi="Times New Roman"/>
                <w:kern w:val="0"/>
              </w:rPr>
              <w:t>万元</w:t>
            </w:r>
          </w:p>
        </w:tc>
        <w:tc>
          <w:tcPr>
            <w:tcW w:w="0" w:type="auto"/>
            <w:vAlign w:val="center"/>
          </w:tcPr>
          <w:p>
            <w:pPr>
              <w:jc w:val="center"/>
              <w:rPr>
                <w:rFonts w:ascii="Times New Roman" w:hAnsi="Times New Roman"/>
                <w:kern w:val="0"/>
              </w:rPr>
            </w:pPr>
            <w:r>
              <w:rPr>
                <w:rFonts w:ascii="Times New Roman" w:hAnsi="Times New Roman"/>
                <w:kern w:val="0"/>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1</w:t>
            </w:r>
          </w:p>
        </w:tc>
        <w:tc>
          <w:tcPr>
            <w:tcW w:w="792" w:type="dxa"/>
            <w:vMerge w:val="restart"/>
            <w:vAlign w:val="center"/>
          </w:tcPr>
          <w:p>
            <w:pPr>
              <w:jc w:val="center"/>
              <w:rPr>
                <w:rFonts w:ascii="Times New Roman" w:hAnsi="Times New Roman"/>
                <w:kern w:val="0"/>
              </w:rPr>
            </w:pPr>
            <w:r>
              <w:rPr>
                <w:rFonts w:ascii="Times New Roman" w:hAnsi="Times New Roman"/>
                <w:kern w:val="0"/>
              </w:rPr>
              <w:t>环境空气</w:t>
            </w:r>
          </w:p>
        </w:tc>
        <w:tc>
          <w:tcPr>
            <w:tcW w:w="1559" w:type="dxa"/>
            <w:vAlign w:val="center"/>
          </w:tcPr>
          <w:p>
            <w:pPr>
              <w:jc w:val="center"/>
              <w:rPr>
                <w:rFonts w:ascii="Times New Roman" w:hAnsi="Times New Roman"/>
                <w:kern w:val="0"/>
              </w:rPr>
            </w:pPr>
            <w:r>
              <w:rPr>
                <w:rFonts w:ascii="Times New Roman" w:hAnsi="Times New Roman"/>
                <w:kern w:val="0"/>
              </w:rPr>
              <w:t>原料储存、破碎工序</w:t>
            </w:r>
          </w:p>
        </w:tc>
        <w:tc>
          <w:tcPr>
            <w:tcW w:w="4365" w:type="dxa"/>
            <w:vAlign w:val="center"/>
          </w:tcPr>
          <w:p>
            <w:pPr>
              <w:jc w:val="center"/>
              <w:rPr>
                <w:rFonts w:ascii="Times New Roman" w:hAnsi="Times New Roman"/>
                <w:kern w:val="0"/>
              </w:rPr>
            </w:pPr>
            <w:r>
              <w:rPr>
                <w:rFonts w:ascii="Times New Roman" w:hAnsi="Times New Roman"/>
                <w:kern w:val="0"/>
              </w:rPr>
              <w:t>采用半封闭式原料棚堆放，篷布遮盖，选用湿式破碎法</w:t>
            </w:r>
          </w:p>
        </w:tc>
        <w:tc>
          <w:tcPr>
            <w:tcW w:w="0" w:type="auto"/>
            <w:vAlign w:val="center"/>
          </w:tcPr>
          <w:p>
            <w:pPr>
              <w:jc w:val="center"/>
              <w:rPr>
                <w:rFonts w:ascii="Times New Roman" w:hAnsi="Times New Roman"/>
                <w:kern w:val="0"/>
              </w:rPr>
            </w:pPr>
            <w:r>
              <w:rPr>
                <w:rFonts w:ascii="Times New Roman" w:hAnsi="Times New Roman"/>
                <w:kern w:val="0"/>
              </w:rPr>
              <w:t>3</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0" w:type="auto"/>
            <w:vAlign w:val="center"/>
          </w:tcPr>
          <w:p>
            <w:pPr>
              <w:jc w:val="center"/>
              <w:rPr>
                <w:rFonts w:ascii="Times New Roman" w:hAnsi="Times New Roman"/>
                <w:kern w:val="0"/>
              </w:rPr>
            </w:pPr>
            <w:r>
              <w:rPr>
                <w:rFonts w:ascii="Times New Roman" w:hAnsi="Times New Roman"/>
                <w:kern w:val="0"/>
              </w:rPr>
              <w:t>2</w:t>
            </w:r>
          </w:p>
        </w:tc>
        <w:tc>
          <w:tcPr>
            <w:tcW w:w="792" w:type="dxa"/>
            <w:vMerge w:val="continue"/>
            <w:vAlign w:val="center"/>
          </w:tcPr>
          <w:p>
            <w:pPr>
              <w:jc w:val="center"/>
              <w:rPr>
                <w:rFonts w:ascii="Times New Roman" w:hAnsi="Times New Roman"/>
                <w:kern w:val="0"/>
              </w:rPr>
            </w:pPr>
          </w:p>
        </w:tc>
        <w:tc>
          <w:tcPr>
            <w:tcW w:w="1559" w:type="dxa"/>
            <w:vAlign w:val="center"/>
          </w:tcPr>
          <w:p>
            <w:pPr>
              <w:jc w:val="center"/>
              <w:rPr>
                <w:rFonts w:ascii="Times New Roman" w:hAnsi="Times New Roman"/>
                <w:kern w:val="0"/>
              </w:rPr>
            </w:pPr>
            <w:r>
              <w:rPr>
                <w:rFonts w:ascii="Times New Roman" w:hAnsi="Times New Roman"/>
                <w:kern w:val="0"/>
              </w:rPr>
              <w:t>带造粒工序</w:t>
            </w:r>
          </w:p>
        </w:tc>
        <w:tc>
          <w:tcPr>
            <w:tcW w:w="4365" w:type="dxa"/>
            <w:vMerge w:val="restart"/>
            <w:vAlign w:val="center"/>
          </w:tcPr>
          <w:p>
            <w:pPr>
              <w:jc w:val="center"/>
              <w:rPr>
                <w:rFonts w:ascii="Times New Roman" w:hAnsi="Times New Roman"/>
                <w:kern w:val="0"/>
              </w:rPr>
            </w:pPr>
            <w:r>
              <w:rPr>
                <w:rFonts w:ascii="Times New Roman" w:hAnsi="Times New Roman"/>
                <w:bCs/>
                <w:kern w:val="0"/>
              </w:rPr>
              <w:t>造粒工序及滴灌带、水带生产工序分别对产气设备安装集气罩收集废气，经收集的废气进入</w:t>
            </w:r>
            <w:r>
              <w:rPr>
                <w:rFonts w:ascii="Times New Roman" w:hAnsi="Times New Roman"/>
                <w:kern w:val="0"/>
              </w:rPr>
              <w:t>一套“UV光氧催化设备+活性炭吸附”净化处理后通过1根15m高排气筒外排</w:t>
            </w:r>
          </w:p>
        </w:tc>
        <w:tc>
          <w:tcPr>
            <w:tcW w:w="0" w:type="auto"/>
            <w:vMerge w:val="restart"/>
            <w:vAlign w:val="center"/>
          </w:tcPr>
          <w:p>
            <w:pPr>
              <w:jc w:val="center"/>
              <w:rPr>
                <w:rFonts w:ascii="Times New Roman" w:hAnsi="Times New Roman"/>
                <w:kern w:val="0"/>
              </w:rPr>
            </w:pPr>
            <w:r>
              <w:rPr>
                <w:rFonts w:ascii="Times New Roman" w:hAnsi="Times New Roman"/>
                <w:kern w:val="0"/>
              </w:rPr>
              <w:t>10</w:t>
            </w:r>
          </w:p>
        </w:tc>
        <w:tc>
          <w:tcPr>
            <w:tcW w:w="0" w:type="auto"/>
            <w:vMerge w:val="restart"/>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0" w:type="auto"/>
            <w:vAlign w:val="center"/>
          </w:tcPr>
          <w:p>
            <w:pPr>
              <w:jc w:val="center"/>
              <w:rPr>
                <w:rFonts w:ascii="Times New Roman" w:hAnsi="Times New Roman"/>
                <w:kern w:val="0"/>
              </w:rPr>
            </w:pPr>
            <w:r>
              <w:rPr>
                <w:rFonts w:ascii="Times New Roman" w:hAnsi="Times New Roman"/>
                <w:kern w:val="0"/>
              </w:rPr>
              <w:t>3</w:t>
            </w:r>
          </w:p>
        </w:tc>
        <w:tc>
          <w:tcPr>
            <w:tcW w:w="792" w:type="dxa"/>
            <w:vMerge w:val="continue"/>
            <w:vAlign w:val="center"/>
          </w:tcPr>
          <w:p>
            <w:pPr>
              <w:jc w:val="center"/>
              <w:rPr>
                <w:rFonts w:ascii="Times New Roman" w:hAnsi="Times New Roman"/>
                <w:kern w:val="0"/>
              </w:rPr>
            </w:pPr>
          </w:p>
        </w:tc>
        <w:tc>
          <w:tcPr>
            <w:tcW w:w="1559" w:type="dxa"/>
            <w:vAlign w:val="center"/>
          </w:tcPr>
          <w:p>
            <w:pPr>
              <w:jc w:val="center"/>
              <w:rPr>
                <w:rFonts w:ascii="Times New Roman" w:hAnsi="Times New Roman"/>
                <w:kern w:val="0"/>
              </w:rPr>
            </w:pPr>
            <w:r>
              <w:rPr>
                <w:rFonts w:ascii="Times New Roman" w:hAnsi="Times New Roman"/>
                <w:kern w:val="0"/>
              </w:rPr>
              <w:t>滴管带及水带生产工序</w:t>
            </w:r>
          </w:p>
        </w:tc>
        <w:tc>
          <w:tcPr>
            <w:tcW w:w="4365" w:type="dxa"/>
            <w:vMerge w:val="continue"/>
            <w:vAlign w:val="center"/>
          </w:tcPr>
          <w:p>
            <w:pPr>
              <w:jc w:val="center"/>
              <w:rPr>
                <w:rFonts w:ascii="Times New Roman" w:hAnsi="Times New Roman"/>
                <w:kern w:val="0"/>
              </w:rPr>
            </w:pPr>
          </w:p>
        </w:tc>
        <w:tc>
          <w:tcPr>
            <w:tcW w:w="0" w:type="auto"/>
            <w:vMerge w:val="continue"/>
            <w:vAlign w:val="center"/>
          </w:tcPr>
          <w:p>
            <w:pPr>
              <w:jc w:val="center"/>
              <w:rPr>
                <w:rFonts w:ascii="Times New Roman" w:hAnsi="Times New Roman"/>
                <w:kern w:val="0"/>
              </w:rPr>
            </w:pPr>
          </w:p>
        </w:tc>
        <w:tc>
          <w:tcPr>
            <w:tcW w:w="0" w:type="auto"/>
            <w:vMerge w:val="continue"/>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4</w:t>
            </w:r>
          </w:p>
        </w:tc>
        <w:tc>
          <w:tcPr>
            <w:tcW w:w="792" w:type="dxa"/>
            <w:vMerge w:val="continue"/>
            <w:vAlign w:val="center"/>
          </w:tcPr>
          <w:p>
            <w:pPr>
              <w:jc w:val="center"/>
              <w:rPr>
                <w:rFonts w:ascii="Times New Roman" w:hAnsi="Times New Roman"/>
                <w:kern w:val="0"/>
              </w:rPr>
            </w:pPr>
          </w:p>
        </w:tc>
        <w:tc>
          <w:tcPr>
            <w:tcW w:w="1559" w:type="dxa"/>
            <w:vAlign w:val="center"/>
          </w:tcPr>
          <w:p>
            <w:pPr>
              <w:jc w:val="center"/>
              <w:rPr>
                <w:rFonts w:ascii="Times New Roman" w:hAnsi="Times New Roman"/>
                <w:kern w:val="0"/>
              </w:rPr>
            </w:pPr>
            <w:r>
              <w:rPr>
                <w:rFonts w:ascii="Times New Roman" w:hAnsi="Times New Roman"/>
                <w:kern w:val="0"/>
              </w:rPr>
              <w:t>生产车间</w:t>
            </w:r>
          </w:p>
        </w:tc>
        <w:tc>
          <w:tcPr>
            <w:tcW w:w="4365" w:type="dxa"/>
            <w:vAlign w:val="center"/>
          </w:tcPr>
          <w:p>
            <w:pPr>
              <w:jc w:val="center"/>
              <w:rPr>
                <w:rFonts w:ascii="Times New Roman" w:hAnsi="Times New Roman"/>
                <w:kern w:val="0"/>
              </w:rPr>
            </w:pPr>
            <w:r>
              <w:rPr>
                <w:rFonts w:ascii="Times New Roman" w:hAnsi="Times New Roman"/>
                <w:kern w:val="0"/>
              </w:rPr>
              <w:t>车间排气扇</w:t>
            </w:r>
          </w:p>
        </w:tc>
        <w:tc>
          <w:tcPr>
            <w:tcW w:w="0" w:type="auto"/>
            <w:vAlign w:val="center"/>
          </w:tcPr>
          <w:p>
            <w:pPr>
              <w:jc w:val="center"/>
              <w:rPr>
                <w:rFonts w:ascii="Times New Roman" w:hAnsi="Times New Roman"/>
                <w:kern w:val="0"/>
              </w:rPr>
            </w:pPr>
            <w:r>
              <w:rPr>
                <w:rFonts w:ascii="Times New Roman" w:hAnsi="Times New Roman"/>
                <w:kern w:val="0"/>
              </w:rPr>
              <w:t>1</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5</w:t>
            </w:r>
          </w:p>
        </w:tc>
        <w:tc>
          <w:tcPr>
            <w:tcW w:w="792" w:type="dxa"/>
            <w:vMerge w:val="restart"/>
            <w:vAlign w:val="center"/>
          </w:tcPr>
          <w:p>
            <w:pPr>
              <w:jc w:val="center"/>
              <w:rPr>
                <w:rFonts w:ascii="Times New Roman" w:hAnsi="Times New Roman"/>
                <w:kern w:val="0"/>
              </w:rPr>
            </w:pPr>
            <w:r>
              <w:rPr>
                <w:rFonts w:ascii="Times New Roman" w:hAnsi="Times New Roman"/>
                <w:kern w:val="0"/>
              </w:rPr>
              <w:t>废水</w:t>
            </w:r>
          </w:p>
        </w:tc>
        <w:tc>
          <w:tcPr>
            <w:tcW w:w="1559" w:type="dxa"/>
            <w:vAlign w:val="center"/>
          </w:tcPr>
          <w:p>
            <w:pPr>
              <w:jc w:val="center"/>
              <w:rPr>
                <w:rFonts w:ascii="Times New Roman" w:hAnsi="Times New Roman"/>
                <w:kern w:val="0"/>
              </w:rPr>
            </w:pPr>
            <w:r>
              <w:rPr>
                <w:rFonts w:ascii="Times New Roman" w:hAnsi="Times New Roman"/>
                <w:kern w:val="0"/>
              </w:rPr>
              <w:t>清洗废水</w:t>
            </w:r>
          </w:p>
        </w:tc>
        <w:tc>
          <w:tcPr>
            <w:tcW w:w="4365" w:type="dxa"/>
            <w:vAlign w:val="center"/>
          </w:tcPr>
          <w:p>
            <w:pPr>
              <w:jc w:val="center"/>
              <w:rPr>
                <w:rFonts w:ascii="Times New Roman" w:hAnsi="Times New Roman"/>
                <w:kern w:val="0"/>
              </w:rPr>
            </w:pPr>
            <w:r>
              <w:rPr>
                <w:rFonts w:ascii="Times New Roman" w:hAnsi="Times New Roman"/>
                <w:kern w:val="0"/>
              </w:rPr>
              <w:t>1座</w:t>
            </w:r>
            <w:r>
              <w:rPr>
                <w:rFonts w:hint="eastAsia" w:ascii="Times New Roman" w:hAnsi="Times New Roman"/>
                <w:kern w:val="0"/>
              </w:rPr>
              <w:t>40</w:t>
            </w:r>
            <w:r>
              <w:rPr>
                <w:rFonts w:ascii="Times New Roman" w:hAnsi="Times New Roman"/>
                <w:kern w:val="0"/>
              </w:rPr>
              <w:t>0m</w:t>
            </w:r>
            <w:r>
              <w:rPr>
                <w:rFonts w:ascii="Times New Roman" w:hAnsi="Times New Roman"/>
                <w:kern w:val="0"/>
                <w:vertAlign w:val="superscript"/>
              </w:rPr>
              <w:t>3</w:t>
            </w:r>
            <w:r>
              <w:rPr>
                <w:rFonts w:ascii="Times New Roman" w:hAnsi="Times New Roman"/>
                <w:kern w:val="0"/>
              </w:rPr>
              <w:t>三级沉淀池</w:t>
            </w:r>
          </w:p>
        </w:tc>
        <w:tc>
          <w:tcPr>
            <w:tcW w:w="0" w:type="auto"/>
            <w:vAlign w:val="center"/>
          </w:tcPr>
          <w:p>
            <w:pPr>
              <w:jc w:val="center"/>
              <w:rPr>
                <w:rFonts w:ascii="Times New Roman" w:hAnsi="Times New Roman"/>
                <w:kern w:val="0"/>
              </w:rPr>
            </w:pPr>
            <w:r>
              <w:rPr>
                <w:rFonts w:ascii="Times New Roman" w:hAnsi="Times New Roman"/>
                <w:kern w:val="0"/>
              </w:rPr>
              <w:t>5</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7</w:t>
            </w:r>
          </w:p>
        </w:tc>
        <w:tc>
          <w:tcPr>
            <w:tcW w:w="792" w:type="dxa"/>
            <w:vMerge w:val="continue"/>
            <w:vAlign w:val="center"/>
          </w:tcPr>
          <w:p>
            <w:pPr>
              <w:jc w:val="center"/>
              <w:rPr>
                <w:rFonts w:ascii="Times New Roman" w:hAnsi="Times New Roman"/>
                <w:kern w:val="0"/>
              </w:rPr>
            </w:pPr>
          </w:p>
        </w:tc>
        <w:tc>
          <w:tcPr>
            <w:tcW w:w="1559" w:type="dxa"/>
            <w:vAlign w:val="center"/>
          </w:tcPr>
          <w:p>
            <w:pPr>
              <w:jc w:val="center"/>
              <w:rPr>
                <w:rFonts w:ascii="Times New Roman" w:hAnsi="Times New Roman"/>
                <w:kern w:val="0"/>
              </w:rPr>
            </w:pPr>
            <w:r>
              <w:rPr>
                <w:rFonts w:hint="eastAsia" w:ascii="Times New Roman" w:hAnsi="Times New Roman" w:cs="宋体"/>
                <w:kern w:val="0"/>
              </w:rPr>
              <w:t>生活污水</w:t>
            </w:r>
          </w:p>
        </w:tc>
        <w:tc>
          <w:tcPr>
            <w:tcW w:w="4365" w:type="dxa"/>
            <w:vAlign w:val="center"/>
          </w:tcPr>
          <w:p>
            <w:pPr>
              <w:jc w:val="center"/>
              <w:rPr>
                <w:rFonts w:ascii="Times New Roman" w:hAnsi="Times New Roman"/>
                <w:kern w:val="0"/>
              </w:rPr>
            </w:pPr>
            <w:r>
              <w:rPr>
                <w:rFonts w:ascii="Times New Roman" w:hAnsi="Times New Roman"/>
                <w:kern w:val="0"/>
              </w:rPr>
              <w:t>1</w:t>
            </w:r>
            <w:r>
              <w:rPr>
                <w:rFonts w:hint="eastAsia" w:ascii="Times New Roman" w:hAnsi="Times New Roman"/>
                <w:kern w:val="0"/>
              </w:rPr>
              <w:t>座3</w:t>
            </w:r>
            <w:r>
              <w:rPr>
                <w:rFonts w:ascii="Times New Roman" w:hAnsi="Times New Roman"/>
                <w:kern w:val="0"/>
              </w:rPr>
              <w:t>0m</w:t>
            </w:r>
            <w:r>
              <w:rPr>
                <w:rFonts w:ascii="Times New Roman" w:hAnsi="Times New Roman"/>
                <w:kern w:val="0"/>
                <w:vertAlign w:val="superscript"/>
              </w:rPr>
              <w:t>3</w:t>
            </w:r>
            <w:r>
              <w:rPr>
                <w:rFonts w:ascii="Times New Roman" w:hAnsi="Times New Roman"/>
                <w:kern w:val="0"/>
              </w:rPr>
              <w:t>化粪池</w:t>
            </w:r>
          </w:p>
        </w:tc>
        <w:tc>
          <w:tcPr>
            <w:tcW w:w="0" w:type="auto"/>
            <w:vAlign w:val="center"/>
          </w:tcPr>
          <w:p>
            <w:pPr>
              <w:jc w:val="center"/>
              <w:rPr>
                <w:rFonts w:ascii="Times New Roman" w:hAnsi="Times New Roman"/>
                <w:kern w:val="0"/>
              </w:rPr>
            </w:pPr>
            <w:r>
              <w:rPr>
                <w:rFonts w:ascii="Times New Roman" w:hAnsi="Times New Roman"/>
                <w:kern w:val="0"/>
              </w:rPr>
              <w:t>1</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8</w:t>
            </w:r>
          </w:p>
        </w:tc>
        <w:tc>
          <w:tcPr>
            <w:tcW w:w="792" w:type="dxa"/>
            <w:vMerge w:val="restart"/>
            <w:vAlign w:val="center"/>
          </w:tcPr>
          <w:p>
            <w:pPr>
              <w:jc w:val="center"/>
              <w:rPr>
                <w:rFonts w:ascii="Times New Roman" w:hAnsi="Times New Roman"/>
                <w:kern w:val="0"/>
              </w:rPr>
            </w:pPr>
            <w:r>
              <w:rPr>
                <w:rFonts w:ascii="Times New Roman" w:hAnsi="Times New Roman"/>
                <w:kern w:val="0"/>
              </w:rPr>
              <w:t>固废</w:t>
            </w:r>
          </w:p>
        </w:tc>
        <w:tc>
          <w:tcPr>
            <w:tcW w:w="1559" w:type="dxa"/>
            <w:vAlign w:val="center"/>
          </w:tcPr>
          <w:p>
            <w:pPr>
              <w:jc w:val="center"/>
              <w:rPr>
                <w:rFonts w:ascii="Times New Roman" w:hAnsi="Times New Roman"/>
                <w:kern w:val="0"/>
              </w:rPr>
            </w:pPr>
            <w:r>
              <w:rPr>
                <w:rFonts w:ascii="Times New Roman" w:hAnsi="Times New Roman"/>
                <w:kern w:val="0"/>
              </w:rPr>
              <w:t>危险废物</w:t>
            </w:r>
          </w:p>
        </w:tc>
        <w:tc>
          <w:tcPr>
            <w:tcW w:w="4365" w:type="dxa"/>
            <w:vAlign w:val="center"/>
          </w:tcPr>
          <w:p>
            <w:pPr>
              <w:jc w:val="center"/>
              <w:rPr>
                <w:rFonts w:ascii="Times New Roman" w:hAnsi="Times New Roman"/>
              </w:rPr>
            </w:pPr>
            <w:r>
              <w:rPr>
                <w:rFonts w:ascii="Times New Roman" w:hAnsi="Times New Roman"/>
                <w:kern w:val="0"/>
              </w:rPr>
              <w:t>规范建设的</w:t>
            </w:r>
            <w:r>
              <w:rPr>
                <w:rFonts w:hint="eastAsia" w:ascii="Times New Roman" w:hAnsi="Times New Roman" w:cs="宋体"/>
                <w:kern w:val="0"/>
              </w:rPr>
              <w:t>危废</w:t>
            </w:r>
            <w:r>
              <w:rPr>
                <w:rFonts w:hint="eastAsia" w:ascii="Times New Roman" w:hAnsi="Times New Roman"/>
              </w:rPr>
              <w:t>贮存库（</w:t>
            </w:r>
            <w:r>
              <w:rPr>
                <w:rFonts w:hint="eastAsia" w:ascii="Times New Roman" w:hAnsi="Times New Roman"/>
                <w:kern w:val="0"/>
              </w:rPr>
              <w:t>20</w:t>
            </w:r>
            <w:r>
              <w:rPr>
                <w:rFonts w:ascii="Times New Roman" w:hAnsi="Times New Roman"/>
                <w:kern w:val="0"/>
              </w:rPr>
              <w:t>m</w:t>
            </w:r>
            <w:r>
              <w:rPr>
                <w:rFonts w:hint="eastAsia" w:ascii="Times New Roman" w:hAnsi="Times New Roman"/>
                <w:kern w:val="0"/>
                <w:vertAlign w:val="superscript"/>
              </w:rPr>
              <w:t>2</w:t>
            </w:r>
            <w:r>
              <w:rPr>
                <w:rFonts w:hint="eastAsia" w:ascii="Times New Roman" w:hAnsi="Times New Roman"/>
              </w:rPr>
              <w:t>）</w:t>
            </w:r>
          </w:p>
        </w:tc>
        <w:tc>
          <w:tcPr>
            <w:tcW w:w="0" w:type="auto"/>
            <w:vAlign w:val="center"/>
          </w:tcPr>
          <w:p>
            <w:pPr>
              <w:jc w:val="center"/>
              <w:rPr>
                <w:rFonts w:ascii="Times New Roman" w:hAnsi="Times New Roman"/>
                <w:kern w:val="0"/>
              </w:rPr>
            </w:pPr>
            <w:r>
              <w:rPr>
                <w:rFonts w:ascii="Times New Roman" w:hAnsi="Times New Roman"/>
                <w:kern w:val="0"/>
              </w:rPr>
              <w:t>2</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sz w:val="20"/>
              </w:rPr>
            </w:pPr>
            <w:r>
              <w:rPr>
                <w:rFonts w:ascii="Times New Roman" w:hAnsi="Times New Roman"/>
                <w:kern w:val="0"/>
                <w:sz w:val="20"/>
              </w:rPr>
              <w:t>9</w:t>
            </w:r>
          </w:p>
        </w:tc>
        <w:tc>
          <w:tcPr>
            <w:tcW w:w="792" w:type="dxa"/>
            <w:vMerge w:val="continue"/>
            <w:vAlign w:val="center"/>
          </w:tcPr>
          <w:p>
            <w:pPr>
              <w:jc w:val="center"/>
              <w:rPr>
                <w:rFonts w:ascii="Times New Roman" w:hAnsi="Times New Roman"/>
                <w:kern w:val="0"/>
                <w:sz w:val="20"/>
              </w:rPr>
            </w:pPr>
          </w:p>
        </w:tc>
        <w:tc>
          <w:tcPr>
            <w:tcW w:w="1559" w:type="dxa"/>
            <w:vAlign w:val="center"/>
          </w:tcPr>
          <w:p>
            <w:pPr>
              <w:jc w:val="center"/>
              <w:rPr>
                <w:rFonts w:ascii="Times New Roman" w:hAnsi="Times New Roman"/>
                <w:kern w:val="0"/>
              </w:rPr>
            </w:pPr>
            <w:r>
              <w:rPr>
                <w:rFonts w:hint="eastAsia" w:ascii="Times New Roman" w:hAnsi="Times New Roman" w:cs="宋体"/>
                <w:kern w:val="0"/>
              </w:rPr>
              <w:t>生活垃圾</w:t>
            </w:r>
          </w:p>
        </w:tc>
        <w:tc>
          <w:tcPr>
            <w:tcW w:w="4365" w:type="dxa"/>
            <w:vAlign w:val="center"/>
          </w:tcPr>
          <w:p>
            <w:pPr>
              <w:jc w:val="center"/>
              <w:rPr>
                <w:rFonts w:ascii="Times New Roman" w:hAnsi="Times New Roman"/>
                <w:kern w:val="0"/>
              </w:rPr>
            </w:pPr>
            <w:r>
              <w:rPr>
                <w:rFonts w:hint="eastAsia" w:ascii="Times New Roman" w:hAnsi="Times New Roman" w:cs="宋体"/>
                <w:kern w:val="0"/>
              </w:rPr>
              <w:t>设置生活垃圾收集设施若干</w:t>
            </w:r>
          </w:p>
        </w:tc>
        <w:tc>
          <w:tcPr>
            <w:tcW w:w="0" w:type="auto"/>
            <w:vAlign w:val="center"/>
          </w:tcPr>
          <w:p>
            <w:pPr>
              <w:jc w:val="center"/>
              <w:rPr>
                <w:rFonts w:ascii="Times New Roman" w:hAnsi="Times New Roman"/>
                <w:kern w:val="0"/>
                <w:sz w:val="20"/>
              </w:rPr>
            </w:pPr>
            <w:r>
              <w:rPr>
                <w:rFonts w:ascii="Times New Roman" w:hAnsi="Times New Roman"/>
                <w:kern w:val="0"/>
                <w:sz w:val="20"/>
                <w:szCs w:val="20"/>
              </w:rPr>
              <w:t>0.5</w:t>
            </w:r>
          </w:p>
        </w:tc>
        <w:tc>
          <w:tcPr>
            <w:tcW w:w="0" w:type="auto"/>
            <w:vAlign w:val="center"/>
          </w:tcPr>
          <w:p>
            <w:pPr>
              <w:jc w:val="center"/>
              <w:rPr>
                <w:rFonts w:ascii="Times New Roman" w:hAnsi="Times New Roman"/>
                <w:kern w:val="0"/>
                <w:sz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10</w:t>
            </w:r>
          </w:p>
        </w:tc>
        <w:tc>
          <w:tcPr>
            <w:tcW w:w="792" w:type="dxa"/>
            <w:vAlign w:val="center"/>
          </w:tcPr>
          <w:p>
            <w:pPr>
              <w:jc w:val="center"/>
              <w:rPr>
                <w:rFonts w:ascii="Times New Roman" w:hAnsi="Times New Roman"/>
                <w:kern w:val="0"/>
              </w:rPr>
            </w:pPr>
            <w:r>
              <w:rPr>
                <w:rFonts w:ascii="Times New Roman" w:hAnsi="Times New Roman"/>
                <w:kern w:val="0"/>
              </w:rPr>
              <w:t>噪声</w:t>
            </w:r>
          </w:p>
        </w:tc>
        <w:tc>
          <w:tcPr>
            <w:tcW w:w="1559" w:type="dxa"/>
            <w:vAlign w:val="center"/>
          </w:tcPr>
          <w:p>
            <w:pPr>
              <w:jc w:val="center"/>
              <w:rPr>
                <w:rFonts w:ascii="Times New Roman" w:hAnsi="Times New Roman"/>
                <w:kern w:val="0"/>
              </w:rPr>
            </w:pPr>
            <w:r>
              <w:rPr>
                <w:rFonts w:hint="eastAsia" w:ascii="Times New Roman" w:hAnsi="Times New Roman" w:cs="宋体"/>
                <w:kern w:val="0"/>
              </w:rPr>
              <w:t>机械噪声</w:t>
            </w:r>
          </w:p>
        </w:tc>
        <w:tc>
          <w:tcPr>
            <w:tcW w:w="4365" w:type="dxa"/>
            <w:vAlign w:val="center"/>
          </w:tcPr>
          <w:p>
            <w:pPr>
              <w:jc w:val="center"/>
              <w:rPr>
                <w:rFonts w:ascii="Times New Roman" w:hAnsi="Times New Roman"/>
                <w:sz w:val="20"/>
              </w:rPr>
            </w:pPr>
            <w:r>
              <w:rPr>
                <w:rFonts w:ascii="Times New Roman" w:hAnsi="Times New Roman"/>
              </w:rPr>
              <w:t>设备隔声、减振、消声等</w:t>
            </w:r>
          </w:p>
        </w:tc>
        <w:tc>
          <w:tcPr>
            <w:tcW w:w="0" w:type="auto"/>
            <w:vAlign w:val="center"/>
          </w:tcPr>
          <w:p>
            <w:pPr>
              <w:jc w:val="center"/>
              <w:rPr>
                <w:rFonts w:ascii="Times New Roman" w:hAnsi="Times New Roman"/>
                <w:kern w:val="0"/>
              </w:rPr>
            </w:pPr>
            <w:r>
              <w:rPr>
                <w:rFonts w:ascii="Times New Roman" w:hAnsi="Times New Roman"/>
                <w:kern w:val="0"/>
              </w:rPr>
              <w:t>2</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ascii="Times New Roman" w:hAnsi="Times New Roman"/>
                <w:kern w:val="0"/>
              </w:rPr>
              <w:t>11</w:t>
            </w:r>
          </w:p>
        </w:tc>
        <w:tc>
          <w:tcPr>
            <w:tcW w:w="2351" w:type="dxa"/>
            <w:gridSpan w:val="2"/>
            <w:vAlign w:val="center"/>
          </w:tcPr>
          <w:p>
            <w:pPr>
              <w:jc w:val="center"/>
              <w:rPr>
                <w:rFonts w:ascii="Times New Roman" w:hAnsi="Times New Roman"/>
                <w:kern w:val="0"/>
              </w:rPr>
            </w:pPr>
            <w:r>
              <w:rPr>
                <w:rFonts w:hint="eastAsia" w:ascii="Times New Roman" w:hAnsi="Times New Roman" w:cs="宋体"/>
                <w:kern w:val="0"/>
              </w:rPr>
              <w:t>地面防渗</w:t>
            </w:r>
          </w:p>
        </w:tc>
        <w:tc>
          <w:tcPr>
            <w:tcW w:w="4365" w:type="dxa"/>
            <w:vAlign w:val="center"/>
          </w:tcPr>
          <w:p>
            <w:pPr>
              <w:jc w:val="center"/>
              <w:rPr>
                <w:rFonts w:ascii="Times New Roman" w:hAnsi="Times New Roman"/>
                <w:kern w:val="0"/>
              </w:rPr>
            </w:pPr>
            <w:r>
              <w:rPr>
                <w:rFonts w:hint="eastAsia" w:ascii="Times New Roman" w:hAnsi="Times New Roman" w:cs="宋体"/>
                <w:kern w:val="0"/>
              </w:rPr>
              <w:t>对厂区地面进行水泥硬化、原料堆场、生产车间等进行地面硬化</w:t>
            </w:r>
          </w:p>
        </w:tc>
        <w:tc>
          <w:tcPr>
            <w:tcW w:w="0" w:type="auto"/>
            <w:vAlign w:val="center"/>
          </w:tcPr>
          <w:p>
            <w:pPr>
              <w:jc w:val="center"/>
              <w:rPr>
                <w:rFonts w:ascii="Times New Roman" w:hAnsi="Times New Roman"/>
                <w:kern w:val="0"/>
              </w:rPr>
            </w:pPr>
            <w:r>
              <w:rPr>
                <w:rFonts w:ascii="Times New Roman" w:hAnsi="Times New Roman"/>
                <w:kern w:val="0"/>
              </w:rPr>
              <w:t>5</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hint="eastAsia" w:ascii="Times New Roman" w:hAnsi="Times New Roman"/>
                <w:kern w:val="0"/>
              </w:rPr>
              <w:t>12</w:t>
            </w:r>
          </w:p>
        </w:tc>
        <w:tc>
          <w:tcPr>
            <w:tcW w:w="2351" w:type="dxa"/>
            <w:gridSpan w:val="2"/>
            <w:vAlign w:val="center"/>
          </w:tcPr>
          <w:p>
            <w:pPr>
              <w:jc w:val="center"/>
              <w:rPr>
                <w:rFonts w:ascii="Times New Roman" w:hAnsi="Times New Roman" w:cs="宋体"/>
                <w:kern w:val="0"/>
              </w:rPr>
            </w:pPr>
            <w:r>
              <w:rPr>
                <w:rFonts w:hint="eastAsia" w:ascii="Times New Roman" w:hAnsi="Times New Roman" w:cs="宋体"/>
                <w:kern w:val="0"/>
              </w:rPr>
              <w:t>自行监测</w:t>
            </w:r>
          </w:p>
        </w:tc>
        <w:tc>
          <w:tcPr>
            <w:tcW w:w="4365" w:type="dxa"/>
            <w:vAlign w:val="center"/>
          </w:tcPr>
          <w:p>
            <w:pPr>
              <w:jc w:val="center"/>
              <w:rPr>
                <w:rFonts w:ascii="Times New Roman" w:hAnsi="Times New Roman" w:cs="宋体"/>
                <w:kern w:val="0"/>
              </w:rPr>
            </w:pPr>
            <w:r>
              <w:rPr>
                <w:rFonts w:hint="eastAsia" w:ascii="Times New Roman" w:hAnsi="Times New Roman" w:cs="宋体"/>
                <w:kern w:val="0"/>
              </w:rPr>
              <w:t>废气、噪声、废水等，详见环境监测方案</w:t>
            </w:r>
          </w:p>
        </w:tc>
        <w:tc>
          <w:tcPr>
            <w:tcW w:w="0" w:type="auto"/>
            <w:vAlign w:val="center"/>
          </w:tcPr>
          <w:p>
            <w:pPr>
              <w:jc w:val="center"/>
              <w:rPr>
                <w:rFonts w:ascii="Times New Roman" w:hAnsi="Times New Roman"/>
                <w:kern w:val="0"/>
              </w:rPr>
            </w:pPr>
            <w:r>
              <w:rPr>
                <w:rFonts w:hint="eastAsia" w:ascii="Times New Roman" w:hAnsi="Times New Roman"/>
                <w:kern w:val="0"/>
              </w:rPr>
              <w:t>1</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pPr>
              <w:jc w:val="center"/>
              <w:rPr>
                <w:rFonts w:ascii="Times New Roman" w:hAnsi="Times New Roman"/>
                <w:kern w:val="0"/>
              </w:rPr>
            </w:pPr>
            <w:r>
              <w:rPr>
                <w:rFonts w:hint="eastAsia" w:ascii="Times New Roman" w:hAnsi="Times New Roman"/>
                <w:kern w:val="0"/>
              </w:rPr>
              <w:t>13</w:t>
            </w:r>
          </w:p>
        </w:tc>
        <w:tc>
          <w:tcPr>
            <w:tcW w:w="2351" w:type="dxa"/>
            <w:gridSpan w:val="2"/>
            <w:vAlign w:val="center"/>
          </w:tcPr>
          <w:p>
            <w:pPr>
              <w:jc w:val="center"/>
              <w:rPr>
                <w:rFonts w:ascii="Times New Roman" w:hAnsi="Times New Roman" w:cs="宋体"/>
                <w:kern w:val="0"/>
              </w:rPr>
            </w:pPr>
            <w:r>
              <w:rPr>
                <w:rFonts w:hint="eastAsia" w:ascii="Times New Roman" w:hAnsi="Times New Roman" w:cs="宋体"/>
                <w:kern w:val="0"/>
              </w:rPr>
              <w:t>其他</w:t>
            </w:r>
          </w:p>
        </w:tc>
        <w:tc>
          <w:tcPr>
            <w:tcW w:w="4365" w:type="dxa"/>
            <w:vAlign w:val="center"/>
          </w:tcPr>
          <w:p>
            <w:pPr>
              <w:jc w:val="center"/>
              <w:rPr>
                <w:rFonts w:ascii="Times New Roman" w:hAnsi="Times New Roman" w:cs="宋体"/>
                <w:kern w:val="0"/>
              </w:rPr>
            </w:pPr>
            <w:r>
              <w:rPr>
                <w:rFonts w:hint="eastAsia" w:ascii="Times New Roman" w:hAnsi="Times New Roman" w:cs="宋体"/>
                <w:kern w:val="0"/>
              </w:rPr>
              <w:t>设置标识标牌</w:t>
            </w:r>
          </w:p>
        </w:tc>
        <w:tc>
          <w:tcPr>
            <w:tcW w:w="0" w:type="auto"/>
            <w:vAlign w:val="center"/>
          </w:tcPr>
          <w:p>
            <w:pPr>
              <w:jc w:val="center"/>
              <w:rPr>
                <w:rFonts w:ascii="Times New Roman" w:hAnsi="Times New Roman"/>
                <w:kern w:val="0"/>
              </w:rPr>
            </w:pPr>
            <w:r>
              <w:rPr>
                <w:rFonts w:hint="eastAsia" w:ascii="Times New Roman" w:hAnsi="Times New Roman"/>
                <w:kern w:val="0"/>
              </w:rPr>
              <w:t>0.2</w:t>
            </w:r>
          </w:p>
        </w:tc>
        <w:tc>
          <w:tcPr>
            <w:tcW w:w="0" w:type="auto"/>
            <w:vAlign w:val="center"/>
          </w:tcPr>
          <w:p>
            <w:pPr>
              <w:jc w:val="center"/>
              <w:rPr>
                <w:rFonts w:ascii="Times New Roman" w:hAnsi="Times New Roman"/>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5" w:type="dxa"/>
            <w:gridSpan w:val="3"/>
            <w:vAlign w:val="center"/>
          </w:tcPr>
          <w:p>
            <w:pPr>
              <w:jc w:val="center"/>
              <w:rPr>
                <w:rFonts w:ascii="Times New Roman" w:hAnsi="Times New Roman"/>
                <w:kern w:val="0"/>
              </w:rPr>
            </w:pPr>
            <w:r>
              <w:rPr>
                <w:rFonts w:ascii="Times New Roman" w:hAnsi="Times New Roman"/>
                <w:kern w:val="0"/>
              </w:rPr>
              <w:t>合计</w:t>
            </w:r>
          </w:p>
        </w:tc>
        <w:tc>
          <w:tcPr>
            <w:tcW w:w="4365" w:type="dxa"/>
            <w:vAlign w:val="center"/>
          </w:tcPr>
          <w:p>
            <w:pPr>
              <w:jc w:val="center"/>
              <w:rPr>
                <w:rFonts w:ascii="Times New Roman" w:hAnsi="Times New Roman"/>
                <w:kern w:val="0"/>
              </w:rPr>
            </w:pPr>
            <w:r>
              <w:rPr>
                <w:rFonts w:hint="eastAsia" w:ascii="Times New Roman" w:hAnsi="Times New Roman"/>
                <w:kern w:val="0"/>
              </w:rPr>
              <w:t>-</w:t>
            </w:r>
          </w:p>
        </w:tc>
        <w:tc>
          <w:tcPr>
            <w:tcW w:w="0" w:type="auto"/>
            <w:vAlign w:val="center"/>
          </w:tcPr>
          <w:p>
            <w:pPr>
              <w:jc w:val="center"/>
              <w:rPr>
                <w:rFonts w:ascii="Times New Roman" w:hAnsi="Times New Roman"/>
                <w:kern w:val="0"/>
              </w:rPr>
            </w:pPr>
            <w:r>
              <w:rPr>
                <w:rFonts w:hint="eastAsia" w:ascii="Times New Roman" w:hAnsi="Times New Roman"/>
                <w:kern w:val="0"/>
              </w:rPr>
              <w:t>30.7</w:t>
            </w:r>
          </w:p>
        </w:tc>
        <w:tc>
          <w:tcPr>
            <w:tcW w:w="0" w:type="auto"/>
            <w:vAlign w:val="center"/>
          </w:tcPr>
          <w:p>
            <w:pPr>
              <w:jc w:val="center"/>
              <w:rPr>
                <w:rFonts w:ascii="Times New Roman" w:hAnsi="Times New Roman"/>
                <w:kern w:val="0"/>
              </w:rPr>
            </w:pPr>
          </w:p>
        </w:tc>
      </w:tr>
    </w:tbl>
    <w:p>
      <w:pPr>
        <w:pStyle w:val="36"/>
        <w:spacing w:before="156"/>
        <w:rPr>
          <w:rFonts w:eastAsia="宋体" w:cs="Times New Roman"/>
        </w:rPr>
      </w:pPr>
    </w:p>
    <w:bookmarkEnd w:id="99"/>
    <w:p>
      <w:pPr>
        <w:pStyle w:val="4"/>
        <w:spacing w:before="156" w:after="156"/>
        <w:rPr>
          <w:rFonts w:eastAsia="宋体"/>
        </w:rPr>
      </w:pPr>
      <w:bookmarkStart w:id="100" w:name="_Toc7741"/>
      <w:r>
        <w:rPr>
          <w:rFonts w:eastAsia="宋体"/>
        </w:rPr>
        <w:t>环境效益分析</w:t>
      </w:r>
      <w:bookmarkEnd w:id="100"/>
    </w:p>
    <w:p>
      <w:pPr>
        <w:pStyle w:val="5"/>
        <w:rPr>
          <w:rFonts w:cs="Times New Roman"/>
        </w:rPr>
      </w:pPr>
      <w:r>
        <w:rPr>
          <w:rFonts w:cs="Times New Roman"/>
        </w:rPr>
        <w:t>经济效益分析</w:t>
      </w:r>
    </w:p>
    <w:p>
      <w:pPr>
        <w:pStyle w:val="7"/>
        <w:ind w:firstLine="480"/>
        <w:rPr>
          <w:rFonts w:cs="Times New Roman"/>
        </w:rPr>
      </w:pPr>
      <w:r>
        <w:rPr>
          <w:rFonts w:cs="Times New Roman"/>
        </w:rPr>
        <w:t>国家对废物回收利用越来越重视，物资生产对废旧物资的依赖越来越高，使废旧物资行业得到健康发展。具有一定的经济效益，主要体现在如下几方面：</w:t>
      </w:r>
    </w:p>
    <w:p>
      <w:pPr>
        <w:pStyle w:val="7"/>
        <w:ind w:firstLine="480"/>
        <w:rPr>
          <w:rFonts w:cs="Times New Roman"/>
        </w:rPr>
      </w:pPr>
      <w:r>
        <w:rPr>
          <w:rFonts w:cs="Times New Roman"/>
        </w:rPr>
        <w:t>（1）增加地方税收。废旧塑料加工建设不仅可满足市场需求，而且可以带动当地相关产业的发展，具有很好的经济效益。</w:t>
      </w:r>
    </w:p>
    <w:p>
      <w:pPr>
        <w:pStyle w:val="7"/>
        <w:ind w:firstLine="480"/>
        <w:rPr>
          <w:rFonts w:cs="Times New Roman"/>
        </w:rPr>
      </w:pPr>
      <w:r>
        <w:rPr>
          <w:rFonts w:cs="Times New Roman"/>
        </w:rPr>
        <w:t>（2）就地消费，带旺地方经济企业的员工就地消费，增加地方的经济消费，由于区域的消费能力增加，将带动一系列相关行业的发展，从而更进一步地促进地方经济的发展。</w:t>
      </w:r>
    </w:p>
    <w:p>
      <w:pPr>
        <w:pStyle w:val="7"/>
        <w:ind w:firstLine="480"/>
        <w:rPr>
          <w:rFonts w:cs="Times New Roman"/>
        </w:rPr>
      </w:pPr>
      <w:r>
        <w:rPr>
          <w:rFonts w:cs="Times New Roman"/>
        </w:rPr>
        <w:t>（3）产业带动，完善产业配套。本项目的建设，将会带动相关产业的相应发展，完善了城镇的产业配套，更促进了相关镇区的经济总量以及税收。从以上分析可知，项目具有一定的经济效益，对于促进当地的经济发展起到有利的推动作用。</w:t>
      </w:r>
    </w:p>
    <w:p>
      <w:pPr>
        <w:pStyle w:val="5"/>
        <w:rPr>
          <w:rFonts w:cs="Times New Roman"/>
        </w:rPr>
      </w:pPr>
      <w:r>
        <w:rPr>
          <w:rFonts w:cs="Times New Roman"/>
        </w:rPr>
        <w:t>社会效益分析</w:t>
      </w:r>
    </w:p>
    <w:p>
      <w:pPr>
        <w:pStyle w:val="7"/>
        <w:ind w:firstLine="480"/>
        <w:rPr>
          <w:rFonts w:cs="Times New Roman"/>
        </w:rPr>
      </w:pPr>
      <w:r>
        <w:rPr>
          <w:rFonts w:cs="Times New Roman"/>
        </w:rPr>
        <w:t>本项目实施后的社会效益主要体现在以下几方面：</w:t>
      </w:r>
    </w:p>
    <w:p>
      <w:pPr>
        <w:pStyle w:val="7"/>
        <w:ind w:firstLine="480"/>
        <w:rPr>
          <w:rFonts w:cs="Times New Roman"/>
        </w:rPr>
      </w:pPr>
      <w:r>
        <w:rPr>
          <w:rFonts w:cs="Times New Roman"/>
        </w:rPr>
        <w:t>（1）项目建成后正常年份可上交税收，带动当地经济发展。</w:t>
      </w:r>
    </w:p>
    <w:p>
      <w:pPr>
        <w:pStyle w:val="7"/>
        <w:ind w:firstLine="480"/>
        <w:rPr>
          <w:rFonts w:cs="Times New Roman"/>
        </w:rPr>
      </w:pPr>
      <w:r>
        <w:rPr>
          <w:rFonts w:cs="Times New Roman"/>
        </w:rPr>
        <w:t>（2）项目的实施有利于加快</w:t>
      </w:r>
      <w:r>
        <w:rPr>
          <w:rFonts w:hint="eastAsia" w:cs="Times New Roman"/>
          <w:lang w:eastAsia="zh-CN"/>
        </w:rPr>
        <w:t>区域</w:t>
      </w:r>
      <w:r>
        <w:rPr>
          <w:rFonts w:cs="Times New Roman"/>
        </w:rPr>
        <w:t>废旧塑料产业化进程，从而减少原材料、动力及燃料的消耗，减少三废的排放，更好的满足广大消费者的需求。同时通过建立废旧塑料产业，有利于带动当地现代产业的发展，促进产业结构调整和广大农民群众的增收。</w:t>
      </w:r>
    </w:p>
    <w:p>
      <w:pPr>
        <w:pStyle w:val="7"/>
        <w:ind w:firstLine="480"/>
        <w:rPr>
          <w:rFonts w:cs="Times New Roman"/>
        </w:rPr>
      </w:pPr>
      <w:r>
        <w:rPr>
          <w:rFonts w:cs="Times New Roman"/>
        </w:rPr>
        <w:t>（3）本项目员工将在当地及周边地区招聘，与项目相关的物流、储运等也会在一定程度繁荣当地经济，同时也将间接地促进厂区及周边地区的工业、服务业、运输业等相关产业的发展，提高居民的整体收入水平。可解决部分闲置劳动力，有利于缓解当地社会就业压力，保持社会稳定。</w:t>
      </w:r>
    </w:p>
    <w:p>
      <w:pPr>
        <w:pStyle w:val="5"/>
        <w:rPr>
          <w:rFonts w:cs="Times New Roman"/>
        </w:rPr>
      </w:pPr>
      <w:r>
        <w:rPr>
          <w:rFonts w:cs="Times New Roman"/>
        </w:rPr>
        <w:t>环境效益分析</w:t>
      </w:r>
    </w:p>
    <w:p>
      <w:pPr>
        <w:pStyle w:val="7"/>
        <w:ind w:firstLine="480"/>
        <w:rPr>
          <w:rFonts w:cs="Times New Roman"/>
        </w:rPr>
      </w:pPr>
      <w:r>
        <w:rPr>
          <w:rFonts w:cs="Times New Roman"/>
        </w:rPr>
        <w:t>根据工程分析，采取各项治理措施后，本项目污染物的排放浓度均能达到相关标准的要求，有效地削减了污染物的排放量。所以本项目的环保投资是合理的，在实现经济效益的同时，也保护了环境。</w:t>
      </w:r>
    </w:p>
    <w:p>
      <w:pPr>
        <w:pStyle w:val="7"/>
        <w:ind w:firstLine="480"/>
        <w:rPr>
          <w:rFonts w:cs="Times New Roman"/>
        </w:rPr>
      </w:pPr>
      <w:r>
        <w:rPr>
          <w:rFonts w:cs="Times New Roman"/>
        </w:rPr>
        <w:t>（1）本项目利用废旧滴灌带</w:t>
      </w:r>
      <w:r>
        <w:rPr>
          <w:rFonts w:hint="eastAsia" w:cs="Times New Roman"/>
          <w:lang w:val="zh-CN"/>
        </w:rPr>
        <w:t>及废水带</w:t>
      </w:r>
      <w:r>
        <w:rPr>
          <w:rFonts w:cs="Times New Roman"/>
        </w:rPr>
        <w:t>造粒后生产滴灌带，减少了农业固废对环境的影响，将固废重新利用，变废为宝。</w:t>
      </w:r>
    </w:p>
    <w:p>
      <w:pPr>
        <w:pStyle w:val="7"/>
        <w:ind w:firstLine="480"/>
        <w:rPr>
          <w:rFonts w:cs="Times New Roman"/>
        </w:rPr>
      </w:pPr>
      <w:r>
        <w:rPr>
          <w:rFonts w:cs="Times New Roman"/>
        </w:rPr>
        <w:t>（2）本项目非甲烷总烃废气经过集气系统收集+UV光氧催化+活性炭吸附+15m高排气筒排放；原料破碎采取湿法破碎。采取以上措施后本项目的运营对周围环境影响较小。</w:t>
      </w:r>
    </w:p>
    <w:p>
      <w:pPr>
        <w:pStyle w:val="7"/>
        <w:ind w:firstLine="480"/>
        <w:rPr>
          <w:rFonts w:cs="Times New Roman"/>
        </w:rPr>
      </w:pPr>
      <w:r>
        <w:rPr>
          <w:rFonts w:cs="Times New Roman"/>
        </w:rPr>
        <w:t>（3）项目无生产废水外排，既节约了水资源，又减轻了对环境的污染，具有比较明显的环境效益。</w:t>
      </w:r>
    </w:p>
    <w:p>
      <w:pPr>
        <w:pStyle w:val="7"/>
        <w:ind w:firstLine="464"/>
        <w:rPr>
          <w:rFonts w:cs="Times New Roman"/>
          <w:spacing w:val="-4"/>
        </w:rPr>
      </w:pPr>
      <w:r>
        <w:rPr>
          <w:rFonts w:cs="Times New Roman"/>
          <w:spacing w:val="-4"/>
        </w:rPr>
        <w:t>（4）项目固体废物均得到有效的处置，对环境的影响较小，在可接受范围内。</w:t>
      </w:r>
    </w:p>
    <w:p>
      <w:pPr>
        <w:pStyle w:val="7"/>
        <w:ind w:firstLine="480"/>
        <w:rPr>
          <w:rFonts w:cs="Times New Roman"/>
        </w:rPr>
      </w:pPr>
      <w:r>
        <w:rPr>
          <w:rFonts w:cs="Times New Roman"/>
        </w:rPr>
        <w:t>（5）项目噪声源经采取隔声减振等消声、降噪处理措施后，对厂界噪声贡献值能达到相关的标准要求，生产噪声对外环境的影响将减轻。</w:t>
      </w:r>
    </w:p>
    <w:p>
      <w:pPr>
        <w:pStyle w:val="7"/>
        <w:ind w:firstLine="480"/>
        <w:rPr>
          <w:rFonts w:cs="Times New Roman"/>
        </w:rPr>
      </w:pPr>
      <w:r>
        <w:rPr>
          <w:rFonts w:cs="Times New Roman"/>
        </w:rPr>
        <w:t>综上分析，本项目通过采用一系列技术上可行、经济上合理的环保措施，对其生产过程中产生的废气、废水、固废及设备噪声等进行综合治理，基本实现了废物的综合利用，既增加了经济效益，又减少了项目对环境造成的污染，达到了削减污染物排放量，保护环境的目的。</w:t>
      </w:r>
    </w:p>
    <w:p>
      <w:pPr>
        <w:pStyle w:val="7"/>
        <w:ind w:firstLine="464"/>
        <w:rPr>
          <w:rFonts w:cs="Times New Roman"/>
          <w:spacing w:val="-4"/>
        </w:rPr>
      </w:pPr>
      <w:r>
        <w:rPr>
          <w:rFonts w:cs="Times New Roman"/>
          <w:spacing w:val="-4"/>
        </w:rPr>
        <w:t>由此可见，拟建项目环保措施实施后，减少了排污，环境效益和经济效益明显。</w:t>
      </w:r>
    </w:p>
    <w:p>
      <w:pPr>
        <w:pStyle w:val="4"/>
        <w:spacing w:before="156" w:after="156"/>
        <w:rPr>
          <w:rFonts w:eastAsia="宋体"/>
        </w:rPr>
      </w:pPr>
      <w:bookmarkStart w:id="101" w:name="_Toc344"/>
      <w:r>
        <w:rPr>
          <w:rFonts w:eastAsia="宋体"/>
        </w:rPr>
        <w:t>环境经济损益分析结论</w:t>
      </w:r>
      <w:bookmarkEnd w:id="101"/>
    </w:p>
    <w:p>
      <w:pPr>
        <w:pStyle w:val="7"/>
        <w:ind w:firstLine="480"/>
        <w:rPr>
          <w:rFonts w:cs="Times New Roman"/>
        </w:rPr>
      </w:pPr>
      <w:r>
        <w:rPr>
          <w:rFonts w:cs="Times New Roman"/>
        </w:rPr>
        <w:t>本项目的建设从社会效益、环保经济效益分析均较好，但是在</w:t>
      </w:r>
      <w:r>
        <w:rPr>
          <w:rFonts w:hint="eastAsia" w:cs="Times New Roman"/>
        </w:rPr>
        <w:t>运营</w:t>
      </w:r>
      <w:r>
        <w:rPr>
          <w:rFonts w:cs="Times New Roman"/>
        </w:rPr>
        <w:t>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r>
        <w:rPr>
          <w:rFonts w:hint="eastAsia" w:cs="Times New Roman"/>
        </w:rPr>
        <w:t>因此，评价认为本项目具有良好的社会效益、环境效益和经济效益。</w:t>
      </w:r>
    </w:p>
    <w:p>
      <w:pPr>
        <w:pStyle w:val="7"/>
        <w:ind w:firstLine="480"/>
        <w:rPr>
          <w:rFonts w:cs="Times New Roman"/>
        </w:rPr>
        <w:sectPr>
          <w:pgSz w:w="11906" w:h="16838"/>
          <w:pgMar w:top="1440" w:right="1797" w:bottom="1440" w:left="1797" w:header="851" w:footer="992" w:gutter="0"/>
          <w:pgNumType w:fmt="numberInDash"/>
          <w:cols w:space="720" w:num="1"/>
          <w:docGrid w:type="lines" w:linePitch="312" w:charSpace="0"/>
        </w:sectPr>
      </w:pPr>
    </w:p>
    <w:p>
      <w:pPr>
        <w:pStyle w:val="3"/>
        <w:spacing w:before="156" w:after="156"/>
        <w:jc w:val="center"/>
        <w:rPr>
          <w:rFonts w:eastAsia="宋体"/>
        </w:rPr>
      </w:pPr>
      <w:bookmarkStart w:id="102" w:name="_Toc27379"/>
      <w:r>
        <w:rPr>
          <w:rFonts w:eastAsia="宋体"/>
        </w:rPr>
        <w:t>环境管理与监测计划</w:t>
      </w:r>
      <w:bookmarkEnd w:id="102"/>
    </w:p>
    <w:p>
      <w:pPr>
        <w:pStyle w:val="7"/>
        <w:ind w:firstLine="480"/>
        <w:rPr>
          <w:rFonts w:cs="Times New Roman"/>
        </w:rPr>
      </w:pPr>
      <w:r>
        <w:rPr>
          <w:rFonts w:cs="Times New Roman"/>
        </w:rPr>
        <w:t>环境管理是企业管理中一项重要的内容。有效的环境管理工作，是贯彻评价提出的清洁生产措施，实行“生产全过程污染控制”的重要手段，是工程建设满足环境目标的基本保障和最大限度减小工程运行后对环境带来不利影响的有效措施。环境监测是工业污染防治的依据和环境管理的耳目，加强污染监控工作，是了解和掌握企业排污特征，研究污染发展趋势，开展环保技术研究和综合利用能源的有效途径。</w:t>
      </w:r>
    </w:p>
    <w:p>
      <w:pPr>
        <w:pStyle w:val="4"/>
        <w:spacing w:before="156" w:after="156"/>
        <w:rPr>
          <w:rFonts w:eastAsia="宋体"/>
        </w:rPr>
      </w:pPr>
      <w:bookmarkStart w:id="103" w:name="_Toc20241"/>
      <w:r>
        <w:rPr>
          <w:rFonts w:eastAsia="宋体"/>
        </w:rPr>
        <w:t>环境管理</w:t>
      </w:r>
      <w:bookmarkEnd w:id="103"/>
    </w:p>
    <w:p>
      <w:pPr>
        <w:pStyle w:val="5"/>
        <w:rPr>
          <w:rFonts w:cs="Times New Roman"/>
        </w:rPr>
      </w:pPr>
      <w:r>
        <w:rPr>
          <w:rFonts w:cs="Times New Roman"/>
        </w:rPr>
        <w:t>环境管理基本任务</w:t>
      </w:r>
    </w:p>
    <w:p>
      <w:pPr>
        <w:pStyle w:val="7"/>
        <w:ind w:firstLine="480"/>
        <w:rPr>
          <w:rFonts w:cs="Times New Roman"/>
        </w:rPr>
      </w:pPr>
      <w:r>
        <w:rPr>
          <w:rFonts w:cs="Times New Roman"/>
        </w:rPr>
        <w:t>环境管理基本任务包括两点：一是控制污染物的排放量；二是避免污染物排放对环境质量损害。建设单位应将本企业环境管理作为企业管理重要组成部分，建立环境质量管理体系，制定环境保护规划，协调发展生产经营与环境保护的关系从而达到生产目标与环境目标统一及经济效益与环境效益统一。</w:t>
      </w:r>
    </w:p>
    <w:p>
      <w:pPr>
        <w:pStyle w:val="5"/>
        <w:rPr>
          <w:rFonts w:cs="Times New Roman"/>
        </w:rPr>
      </w:pPr>
      <w:r>
        <w:rPr>
          <w:rFonts w:cs="Times New Roman"/>
        </w:rPr>
        <w:t>环境管理基本原则</w:t>
      </w:r>
    </w:p>
    <w:p>
      <w:pPr>
        <w:pStyle w:val="7"/>
        <w:ind w:firstLine="480"/>
        <w:rPr>
          <w:rFonts w:cs="Times New Roman"/>
        </w:rPr>
      </w:pPr>
      <w:r>
        <w:rPr>
          <w:rFonts w:cs="Times New Roman"/>
        </w:rPr>
        <w:t>本项目环境管理遵循以下原则：</w:t>
      </w:r>
    </w:p>
    <w:p>
      <w:pPr>
        <w:pStyle w:val="7"/>
        <w:ind w:firstLine="480"/>
        <w:rPr>
          <w:rFonts w:cs="Times New Roman"/>
        </w:rPr>
      </w:pPr>
      <w:r>
        <w:rPr>
          <w:rFonts w:hint="eastAsia" w:cs="Times New Roman"/>
        </w:rPr>
        <w:t>（1）</w:t>
      </w:r>
      <w:r>
        <w:rPr>
          <w:rFonts w:cs="Times New Roman"/>
        </w:rPr>
        <w:t>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pPr>
        <w:pStyle w:val="7"/>
        <w:ind w:firstLine="480"/>
        <w:rPr>
          <w:rFonts w:cs="Times New Roman"/>
        </w:rPr>
      </w:pPr>
      <w:r>
        <w:rPr>
          <w:rFonts w:hint="eastAsia" w:cs="Times New Roman"/>
        </w:rPr>
        <w:t>（2）</w:t>
      </w:r>
      <w:r>
        <w:rPr>
          <w:rFonts w:cs="Times New Roman"/>
        </w:rPr>
        <w:t>正确处理环境管理与污染防治的关系，管治结合，以管促治，把环境管理放在企业环境保护工作首位。</w:t>
      </w:r>
    </w:p>
    <w:p>
      <w:pPr>
        <w:pStyle w:val="7"/>
        <w:ind w:firstLine="480"/>
        <w:rPr>
          <w:rFonts w:cs="Times New Roman"/>
        </w:rPr>
      </w:pPr>
      <w:r>
        <w:rPr>
          <w:rFonts w:hint="eastAsia" w:cs="Times New Roman"/>
        </w:rPr>
        <w:t>（3）</w:t>
      </w:r>
      <w:r>
        <w:rPr>
          <w:rFonts w:cs="Times New Roman"/>
        </w:rPr>
        <w:t>专业环境管理与群众环境管理结合，企业环境管理与生产管理结合，产品质量控制与环境质量控制结合。</w:t>
      </w:r>
    </w:p>
    <w:p>
      <w:pPr>
        <w:pStyle w:val="7"/>
        <w:ind w:firstLine="480"/>
        <w:rPr>
          <w:rFonts w:cs="Times New Roman"/>
        </w:rPr>
      </w:pPr>
      <w:r>
        <w:rPr>
          <w:rFonts w:hint="eastAsia" w:cs="Times New Roman"/>
        </w:rPr>
        <w:t>（4）</w:t>
      </w:r>
      <w:r>
        <w:rPr>
          <w:rFonts w:cs="Times New Roman"/>
        </w:rPr>
        <w:t>企业环境管理渗透到整个生产经营活动中，贯彻在过程始终。</w:t>
      </w:r>
    </w:p>
    <w:p>
      <w:pPr>
        <w:pStyle w:val="7"/>
        <w:ind w:firstLine="480"/>
        <w:rPr>
          <w:rFonts w:cs="Times New Roman"/>
        </w:rPr>
      </w:pPr>
      <w:r>
        <w:rPr>
          <w:rFonts w:hint="eastAsia" w:cs="Times New Roman"/>
        </w:rPr>
        <w:t>（5）</w:t>
      </w:r>
      <w:r>
        <w:rPr>
          <w:rFonts w:cs="Times New Roman"/>
        </w:rPr>
        <w:t>坚持“谁污染，谁治理”原则，企业内部从部门、工段至班组领导和职工都要对本企业污染与治理负责，收费、罚款、赔偿损失、行政处分等处罚都要落实，实行分片包干，各负其责。</w:t>
      </w:r>
    </w:p>
    <w:p>
      <w:pPr>
        <w:pStyle w:val="7"/>
        <w:ind w:firstLine="480"/>
        <w:rPr>
          <w:rFonts w:cs="Times New Roman"/>
        </w:rPr>
      </w:pPr>
      <w:r>
        <w:rPr>
          <w:rFonts w:hint="eastAsia" w:cs="Times New Roman"/>
        </w:rPr>
        <w:t>（6）废塑料的再生利用项目应严格执行环境影响评价和“三同时”制度。</w:t>
      </w:r>
    </w:p>
    <w:p>
      <w:pPr>
        <w:pStyle w:val="7"/>
        <w:ind w:firstLine="480"/>
        <w:rPr>
          <w:rFonts w:cs="Times New Roman"/>
        </w:rPr>
      </w:pPr>
      <w:r>
        <w:rPr>
          <w:rFonts w:hint="eastAsia" w:cs="Times New Roman"/>
        </w:rPr>
        <w:t>（7）新建废塑料再生利用项目的选址应符合当地城市总体发展规划、用地规划、生态环境分区管控方案、规划环评及其他环境保护要求。</w:t>
      </w:r>
    </w:p>
    <w:p>
      <w:pPr>
        <w:pStyle w:val="7"/>
        <w:ind w:firstLine="480"/>
        <w:rPr>
          <w:rFonts w:cs="Times New Roman"/>
        </w:rPr>
      </w:pPr>
      <w:r>
        <w:rPr>
          <w:rFonts w:hint="eastAsia" w:cs="Times New Roman"/>
        </w:rPr>
        <w:t>（8）废塑料再生利用项目应按功能划分厂区，包括管理区、原料贮存区生产区、产品贮存区、不可利用废物的贮存和处理区等，各功能区应有明显的界线或标识。</w:t>
      </w:r>
    </w:p>
    <w:p>
      <w:pPr>
        <w:pStyle w:val="5"/>
        <w:rPr>
          <w:rFonts w:cs="Times New Roman"/>
        </w:rPr>
      </w:pPr>
      <w:r>
        <w:rPr>
          <w:rFonts w:cs="Times New Roman"/>
        </w:rPr>
        <w:t>环境管理机构及职责</w:t>
      </w:r>
    </w:p>
    <w:p>
      <w:pPr>
        <w:pStyle w:val="7"/>
        <w:ind w:firstLine="480"/>
        <w:rPr>
          <w:rFonts w:cs="Times New Roman"/>
        </w:rPr>
      </w:pPr>
      <w:r>
        <w:rPr>
          <w:rFonts w:hint="eastAsia" w:cs="Times New Roman"/>
        </w:rPr>
        <w:t>（1）</w:t>
      </w:r>
      <w:r>
        <w:rPr>
          <w:rFonts w:cs="Times New Roman"/>
        </w:rPr>
        <w:t>环境管理机构设置目的</w:t>
      </w:r>
    </w:p>
    <w:p>
      <w:pPr>
        <w:pStyle w:val="7"/>
        <w:ind w:firstLine="480"/>
        <w:rPr>
          <w:rFonts w:cs="Times New Roman"/>
        </w:rPr>
      </w:pPr>
      <w:r>
        <w:rPr>
          <w:rFonts w:cs="Times New Roman"/>
        </w:rPr>
        <w:t>环境管理机构设置目的是为贯彻执行《中华人民共和国环境保护法》和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设置环境管理机构，并尽相应职责。</w:t>
      </w:r>
    </w:p>
    <w:p>
      <w:pPr>
        <w:pStyle w:val="7"/>
        <w:ind w:firstLine="480"/>
        <w:rPr>
          <w:rFonts w:cs="Times New Roman"/>
        </w:rPr>
      </w:pPr>
      <w:r>
        <w:rPr>
          <w:rFonts w:hint="eastAsia" w:cs="Times New Roman"/>
        </w:rPr>
        <w:t>（2）</w:t>
      </w:r>
      <w:r>
        <w:rPr>
          <w:rFonts w:cs="Times New Roman"/>
        </w:rPr>
        <w:t>环境管理机构组成</w:t>
      </w:r>
    </w:p>
    <w:p>
      <w:pPr>
        <w:pStyle w:val="7"/>
        <w:ind w:firstLine="480"/>
        <w:rPr>
          <w:rFonts w:cs="Times New Roman"/>
        </w:rPr>
      </w:pPr>
      <w:r>
        <w:rPr>
          <w:rFonts w:cs="Times New Roman"/>
        </w:rPr>
        <w:t>本项目运营期间，</w:t>
      </w:r>
      <w:r>
        <w:rPr>
          <w:rFonts w:hint="eastAsia" w:cs="Times New Roman"/>
        </w:rPr>
        <w:t>塔城市恰夏镇珠茹社日村股份经济合作社</w:t>
      </w:r>
      <w:r>
        <w:rPr>
          <w:rFonts w:cs="Times New Roman"/>
        </w:rPr>
        <w:t>内部应设置负责安全生产、生态环境保护与事故应急的组织机构，该机构应设置专职或兼职人员负责安全生产、环境管理、环境监测、事故应急处理等工作，并接受项目主管单位及当地生态环境部门监督和指导。</w:t>
      </w:r>
    </w:p>
    <w:p>
      <w:pPr>
        <w:pStyle w:val="7"/>
        <w:ind w:firstLine="480"/>
        <w:rPr>
          <w:rFonts w:cs="Times New Roman"/>
        </w:rPr>
      </w:pPr>
      <w:r>
        <w:rPr>
          <w:rFonts w:hint="eastAsia" w:cs="Times New Roman"/>
        </w:rPr>
        <w:t>塔城市恰夏镇珠茹社日村股份经济合作社</w:t>
      </w:r>
      <w:r>
        <w:rPr>
          <w:rFonts w:cs="Times New Roman"/>
        </w:rPr>
        <w:t>设安全环保科，配置专职或兼职的环境管理人员1名及“三废”处理人员1 名，人员应有一定环保基础理论知识、组织协调处理能力和较强责任心，对有资质要求特殊岗位从业人员必须做到持证上岗。</w:t>
      </w:r>
    </w:p>
    <w:p>
      <w:pPr>
        <w:pStyle w:val="7"/>
        <w:ind w:firstLine="480"/>
        <w:rPr>
          <w:rFonts w:cs="Times New Roman"/>
        </w:rPr>
      </w:pPr>
      <w:r>
        <w:rPr>
          <w:rFonts w:hint="eastAsia" w:cs="Times New Roman"/>
        </w:rPr>
        <w:t>（3）</w:t>
      </w:r>
      <w:r>
        <w:rPr>
          <w:rFonts w:cs="Times New Roman"/>
        </w:rPr>
        <w:t>环境管理机构职责</w:t>
      </w:r>
    </w:p>
    <w:p>
      <w:pPr>
        <w:pStyle w:val="7"/>
        <w:ind w:firstLine="480"/>
        <w:rPr>
          <w:rFonts w:cs="Times New Roman"/>
        </w:rPr>
      </w:pPr>
      <w:r>
        <w:rPr>
          <w:rFonts w:ascii="Cambria Math" w:hAnsi="Cambria Math" w:cs="Cambria Math"/>
        </w:rPr>
        <w:t>①</w:t>
      </w:r>
      <w:r>
        <w:rPr>
          <w:rFonts w:cs="Times New Roman"/>
        </w:rPr>
        <w:t>贯彻执行国家和</w:t>
      </w:r>
      <w:r>
        <w:rPr>
          <w:rFonts w:hint="eastAsia" w:cs="Times New Roman"/>
          <w:lang w:eastAsia="zh-CN"/>
        </w:rPr>
        <w:t>地方</w:t>
      </w:r>
      <w:r>
        <w:rPr>
          <w:rFonts w:cs="Times New Roman"/>
        </w:rPr>
        <w:t>现行各项环保方针、政策、法律法规和标准，认真执行当地生态环境部门下达的各项任务；</w:t>
      </w:r>
    </w:p>
    <w:p>
      <w:pPr>
        <w:pStyle w:val="7"/>
        <w:ind w:firstLine="480"/>
        <w:rPr>
          <w:rFonts w:cs="Times New Roman"/>
        </w:rPr>
      </w:pPr>
      <w:r>
        <w:rPr>
          <w:rFonts w:ascii="Cambria Math" w:hAnsi="Cambria Math" w:cs="Cambria Math"/>
        </w:rPr>
        <w:t>②</w:t>
      </w:r>
      <w:r>
        <w:rPr>
          <w:rFonts w:cs="Times New Roman"/>
        </w:rPr>
        <w:t>组织编制本企业环境保护计划，建立本企业各项环境保护规章制度，并且经常进行监督检查；</w:t>
      </w:r>
    </w:p>
    <w:p>
      <w:pPr>
        <w:pStyle w:val="7"/>
        <w:ind w:firstLine="480"/>
        <w:rPr>
          <w:rFonts w:cs="Times New Roman"/>
        </w:rPr>
      </w:pPr>
      <w:r>
        <w:rPr>
          <w:rFonts w:ascii="Cambria Math" w:hAnsi="Cambria Math" w:cs="Cambria Math"/>
        </w:rPr>
        <w:t>③</w:t>
      </w:r>
      <w:r>
        <w:rPr>
          <w:rFonts w:cs="Times New Roman"/>
        </w:rPr>
        <w:t>参与本企业环保设施设计论证，监督环保设施安装调试，落实“三同时”措施；</w:t>
      </w:r>
    </w:p>
    <w:p>
      <w:pPr>
        <w:pStyle w:val="7"/>
        <w:ind w:firstLine="480"/>
        <w:rPr>
          <w:rFonts w:cs="Times New Roman"/>
        </w:rPr>
      </w:pPr>
      <w:r>
        <w:rPr>
          <w:rFonts w:ascii="Cambria Math" w:hAnsi="Cambria Math" w:cs="Cambria Math"/>
        </w:rPr>
        <w:t>④</w:t>
      </w:r>
      <w:r>
        <w:rPr>
          <w:rFonts w:cs="Times New Roman"/>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pPr>
        <w:pStyle w:val="7"/>
        <w:ind w:firstLine="480"/>
        <w:rPr>
          <w:rFonts w:cs="Times New Roman"/>
        </w:rPr>
      </w:pPr>
      <w:r>
        <w:rPr>
          <w:rFonts w:ascii="Cambria Math" w:hAnsi="Cambria Math" w:cs="Cambria Math"/>
        </w:rPr>
        <w:t>⑤</w:t>
      </w:r>
      <w:r>
        <w:rPr>
          <w:rFonts w:cs="Times New Roman"/>
        </w:rPr>
        <w:t>加强对污染治理设施的管理、检查及维护，确保污染治理设施正常运行，并将污染治理设施治理效率按照生产指标一样进行考核，防止污染事故发生；</w:t>
      </w:r>
    </w:p>
    <w:p>
      <w:pPr>
        <w:pStyle w:val="7"/>
        <w:ind w:firstLine="480"/>
        <w:rPr>
          <w:rFonts w:cs="Times New Roman"/>
        </w:rPr>
      </w:pPr>
      <w:r>
        <w:rPr>
          <w:rFonts w:ascii="Cambria Math" w:hAnsi="Cambria Math" w:cs="Cambria Math"/>
        </w:rPr>
        <w:t>⑥</w:t>
      </w:r>
      <w:r>
        <w:rPr>
          <w:rFonts w:cs="Times New Roman"/>
        </w:rPr>
        <w:t>学习并推广应用先进环保技术和经验，推行清洁生产，组织污染治理设施操作人员进行岗前专业技术培训；</w:t>
      </w:r>
    </w:p>
    <w:p>
      <w:pPr>
        <w:pStyle w:val="7"/>
        <w:ind w:firstLine="480"/>
        <w:rPr>
          <w:rFonts w:cs="Times New Roman"/>
        </w:rPr>
      </w:pPr>
      <w:r>
        <w:rPr>
          <w:rFonts w:ascii="Cambria Math" w:hAnsi="Cambria Math" w:cs="Cambria Math"/>
        </w:rPr>
        <w:t>⑦</w:t>
      </w:r>
      <w:r>
        <w:rPr>
          <w:rFonts w:cs="Times New Roman"/>
        </w:rPr>
        <w:t>加强对职工进行环保法律法规的宣传、教育和学习，增强职工环保意识。</w:t>
      </w:r>
    </w:p>
    <w:p>
      <w:pPr>
        <w:pStyle w:val="5"/>
        <w:rPr>
          <w:rFonts w:cs="Times New Roman"/>
        </w:rPr>
      </w:pPr>
      <w:r>
        <w:rPr>
          <w:rFonts w:cs="Times New Roman"/>
        </w:rPr>
        <w:t>环境管理手段和措施</w:t>
      </w:r>
    </w:p>
    <w:p>
      <w:pPr>
        <w:pStyle w:val="7"/>
        <w:ind w:firstLine="480"/>
        <w:rPr>
          <w:rFonts w:cs="Times New Roman"/>
        </w:rPr>
      </w:pPr>
      <w:r>
        <w:rPr>
          <w:rFonts w:cs="Times New Roman"/>
        </w:rPr>
        <w:t>为了使环境管理工作科学化、规范化、合理化，确保各项污染治理措施落实到位，建设单位在环境管理方面应采取以下措施：</w:t>
      </w:r>
    </w:p>
    <w:p>
      <w:pPr>
        <w:pStyle w:val="7"/>
        <w:ind w:firstLine="480"/>
        <w:rPr>
          <w:rFonts w:cs="Times New Roman"/>
        </w:rPr>
      </w:pPr>
      <w:r>
        <w:rPr>
          <w:rFonts w:hint="eastAsia" w:cs="Times New Roman"/>
        </w:rPr>
        <w:t>（1）</w:t>
      </w:r>
      <w:r>
        <w:rPr>
          <w:rFonts w:cs="Times New Roman"/>
        </w:rPr>
        <w:t>制定环境保护敢为目标责任制，将环境管理纳入生产管理体系，环保评估与经济效益相结合，制定严格的奖惩机制；</w:t>
      </w:r>
    </w:p>
    <w:p>
      <w:pPr>
        <w:pStyle w:val="7"/>
        <w:ind w:firstLine="480"/>
        <w:rPr>
          <w:rFonts w:cs="Times New Roman"/>
        </w:rPr>
      </w:pPr>
      <w:r>
        <w:rPr>
          <w:rFonts w:hint="eastAsia" w:cs="Times New Roman"/>
        </w:rPr>
        <w:t>（2）</w:t>
      </w:r>
      <w:r>
        <w:rPr>
          <w:rFonts w:cs="Times New Roman"/>
        </w:rPr>
        <w:t>加强环境保护宣传教育工作，进行岗位培训，使全体职工能够意识到环境保护的重要意义，包括与企业生产、生存和发展的关系，单位人员应有危机感和责任感，把环境保护工作落到实处；</w:t>
      </w:r>
    </w:p>
    <w:p>
      <w:pPr>
        <w:pStyle w:val="7"/>
        <w:ind w:firstLine="480"/>
        <w:rPr>
          <w:rFonts w:cs="Times New Roman"/>
        </w:rPr>
      </w:pPr>
      <w:r>
        <w:rPr>
          <w:rFonts w:hint="eastAsia" w:cs="Times New Roman"/>
        </w:rPr>
        <w:t>（3）</w:t>
      </w:r>
      <w:r>
        <w:rPr>
          <w:rFonts w:cs="Times New Roman"/>
        </w:rPr>
        <w:t>加强环境监测数据的统计工作，建立全厂完善的污染源及物料流失档案，严格控制污染物排放总量，确保污染物长期稳定达标排放和总量控制要求；</w:t>
      </w:r>
    </w:p>
    <w:p>
      <w:pPr>
        <w:pStyle w:val="7"/>
        <w:ind w:firstLine="480"/>
        <w:rPr>
          <w:rFonts w:cs="Times New Roman"/>
        </w:rPr>
      </w:pPr>
      <w:r>
        <w:rPr>
          <w:rFonts w:hint="eastAsia" w:cs="Times New Roman"/>
        </w:rPr>
        <w:t>（4）</w:t>
      </w:r>
      <w:r>
        <w:rPr>
          <w:rFonts w:cs="Times New Roman"/>
        </w:rPr>
        <w:t>加强对污染治理设施的监督管理，建立完善的污染治理设施运行、维护、维修等档案，加强对污染治理设施运维人员的技术培训，确保污染治理设施处于正常运行状态。</w:t>
      </w:r>
    </w:p>
    <w:p>
      <w:pPr>
        <w:pStyle w:val="5"/>
        <w:rPr>
          <w:rFonts w:cs="Times New Roman"/>
        </w:rPr>
      </w:pPr>
      <w:r>
        <w:rPr>
          <w:rFonts w:cs="Times New Roman"/>
        </w:rPr>
        <w:t>不同阶段的环境管理要求</w:t>
      </w:r>
    </w:p>
    <w:p>
      <w:pPr>
        <w:pStyle w:val="6"/>
      </w:pPr>
      <w:r>
        <w:t>项目审批阶段</w:t>
      </w:r>
    </w:p>
    <w:p>
      <w:pPr>
        <w:pStyle w:val="7"/>
        <w:ind w:firstLine="456"/>
        <w:rPr>
          <w:rFonts w:cs="Times New Roman"/>
          <w:spacing w:val="-6"/>
        </w:rPr>
      </w:pPr>
      <w:r>
        <w:rPr>
          <w:rFonts w:cs="Times New Roman"/>
          <w:spacing w:val="-6"/>
        </w:rPr>
        <w:t>根据《建设项目环境影响评价分类管理目录（2021年版）》，确定本项目需编制环境影响报告书，建设单位应委托具有相应资质的机构编制本项目环评文件。</w:t>
      </w:r>
    </w:p>
    <w:p>
      <w:pPr>
        <w:pStyle w:val="7"/>
        <w:ind w:firstLine="480"/>
        <w:rPr>
          <w:rFonts w:cs="Times New Roman"/>
        </w:rPr>
      </w:pPr>
      <w:r>
        <w:rPr>
          <w:rFonts w:cs="Times New Roman"/>
        </w:rPr>
        <w:t>企业在建设项目环评文件编制前应积极配合环评编制单位查勘现场，及时提供环评文件编写所需的各类资料。</w:t>
      </w:r>
    </w:p>
    <w:p>
      <w:pPr>
        <w:pStyle w:val="7"/>
        <w:ind w:firstLine="480"/>
        <w:rPr>
          <w:rFonts w:cs="Times New Roman"/>
        </w:rPr>
      </w:pPr>
      <w:r>
        <w:rPr>
          <w:rFonts w:cs="Times New Roman"/>
        </w:rPr>
        <w:t>在环境影响报告书的编制和生态环境主管部门审批或者重新审核环境影响报告书的过程中，应该按规定公开有关环境影响评价的信息，征求公众意见。</w:t>
      </w:r>
    </w:p>
    <w:p>
      <w:pPr>
        <w:pStyle w:val="7"/>
        <w:ind w:firstLine="456"/>
        <w:rPr>
          <w:rFonts w:cs="Times New Roman"/>
          <w:spacing w:val="-6"/>
        </w:rPr>
      </w:pPr>
      <w:r>
        <w:rPr>
          <w:rFonts w:cs="Times New Roman"/>
          <w:spacing w:val="-6"/>
        </w:rPr>
        <w:t>企业有权要求环评文件编制及审批等单位和个人为其保守商业、技术等秘密。</w:t>
      </w:r>
    </w:p>
    <w:p>
      <w:pPr>
        <w:pStyle w:val="7"/>
        <w:ind w:firstLine="480"/>
        <w:rPr>
          <w:rFonts w:cs="Times New Roman"/>
        </w:rPr>
      </w:pPr>
      <w:r>
        <w:rPr>
          <w:rFonts w:cs="Times New Roman"/>
        </w:rPr>
        <w:t>环境影响评价文件由建设单位报有审批权的生态环境行政主管部门审批，环境影响评价文件未经批准，不得开工建设，自批准之日起超过5年方决定该项目开工建设的，其环境影响评价文件应当报原审批部门重新审核。</w:t>
      </w:r>
    </w:p>
    <w:p>
      <w:pPr>
        <w:pStyle w:val="7"/>
        <w:ind w:firstLine="480"/>
        <w:rPr>
          <w:rFonts w:cs="Times New Roman"/>
        </w:rPr>
      </w:pPr>
      <w:r>
        <w:rPr>
          <w:rFonts w:cs="Times New Roman"/>
        </w:rPr>
        <w:t>项目的性质、规模、地点、生产工艺、生产设备等应与环境影响评价报告或环境影响评价审批等文件一致。如发生重大变动的，应当重新履行环评手续。</w:t>
      </w:r>
    </w:p>
    <w:p>
      <w:pPr>
        <w:pStyle w:val="6"/>
      </w:pPr>
      <w:r>
        <w:t>建设施工阶段</w:t>
      </w:r>
    </w:p>
    <w:p>
      <w:pPr>
        <w:pStyle w:val="7"/>
        <w:ind w:firstLine="480"/>
        <w:rPr>
          <w:rFonts w:cs="Times New Roman"/>
        </w:rPr>
      </w:pPr>
      <w:r>
        <w:rPr>
          <w:rFonts w:cs="Times New Roman"/>
        </w:rPr>
        <w:t>本项目施工期较短，施工期主要污染物包括噪声及少量固体废弃物、生活污水，施工工期应做好噪声控制措施；施工期的固体废弃物应分类收集，尽量综合利用，不能利用的部分交由当地环卫部门清运处置。</w:t>
      </w:r>
    </w:p>
    <w:p>
      <w:pPr>
        <w:pStyle w:val="6"/>
      </w:pPr>
      <w:r>
        <w:t>竣工环境保护验收阶段</w:t>
      </w:r>
    </w:p>
    <w:p>
      <w:pPr>
        <w:pStyle w:val="7"/>
        <w:ind w:firstLine="480"/>
        <w:rPr>
          <w:rFonts w:cs="Times New Roman"/>
        </w:rPr>
      </w:pPr>
      <w:r>
        <w:rPr>
          <w:rFonts w:cs="Times New Roman"/>
        </w:rPr>
        <w:t>根据《建设项目竣工环境保护验收暂行办法》，建设项目竣工后建设单位自主开展环境保护验收及相关监督管理。</w:t>
      </w:r>
    </w:p>
    <w:p>
      <w:pPr>
        <w:pStyle w:val="7"/>
        <w:ind w:firstLine="480"/>
        <w:rPr>
          <w:rFonts w:cs="Times New Roman"/>
        </w:rPr>
      </w:pPr>
      <w:r>
        <w:rPr>
          <w:rFonts w:cs="Times New Roman"/>
        </w:rPr>
        <w:t>项目建设中应配套建设气、水、噪声以及固体废物污染防治设施，正式投入生产或使用之前自主开展废水、废气、噪声、固废的环境保护验收工作。</w:t>
      </w:r>
    </w:p>
    <w:p>
      <w:pPr>
        <w:pStyle w:val="7"/>
        <w:ind w:firstLine="480"/>
        <w:rPr>
          <w:rFonts w:cs="Times New Roman"/>
        </w:rPr>
      </w:pPr>
      <w:r>
        <w:rPr>
          <w:rFonts w:cs="Times New Roman"/>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w:t>
      </w:r>
    </w:p>
    <w:p>
      <w:pPr>
        <w:pStyle w:val="7"/>
        <w:ind w:firstLine="480"/>
        <w:rPr>
          <w:rFonts w:cs="Times New Roman"/>
        </w:rPr>
      </w:pPr>
      <w:r>
        <w:rPr>
          <w:rFonts w:cs="Times New Roman"/>
        </w:rPr>
        <w:t>验收报告分为验收监测（调查）报告、验收意见和其他需要说明的事项等三项内容。</w:t>
      </w:r>
    </w:p>
    <w:p>
      <w:pPr>
        <w:pStyle w:val="7"/>
        <w:ind w:firstLine="480"/>
        <w:rPr>
          <w:rFonts w:cs="Times New Roman"/>
        </w:rPr>
      </w:pPr>
      <w:r>
        <w:rPr>
          <w:rFonts w:cs="Times New Roman"/>
        </w:rPr>
        <w:t>建设项目竣工环境保护验收的主要依据、验收的程序和内容具体详见《建设项目竣工环境保护验收暂行办法》中的相关要求。</w:t>
      </w:r>
    </w:p>
    <w:p>
      <w:pPr>
        <w:pStyle w:val="6"/>
      </w:pPr>
      <w:r>
        <w:t>项目运营期环境管理</w:t>
      </w:r>
    </w:p>
    <w:p>
      <w:pPr>
        <w:pStyle w:val="7"/>
        <w:ind w:firstLine="480"/>
        <w:rPr>
          <w:rFonts w:cs="Times New Roman"/>
        </w:rPr>
      </w:pPr>
      <w:r>
        <w:rPr>
          <w:rFonts w:cs="Times New Roman"/>
        </w:rPr>
        <w:t>（1）根据国家生态环境保护政策、标准及环境监测要求，制定该项目运行期生态环境保护管理规章制度、各种污染物排放控制指标。</w:t>
      </w:r>
    </w:p>
    <w:p>
      <w:pPr>
        <w:pStyle w:val="7"/>
        <w:ind w:firstLine="480"/>
        <w:rPr>
          <w:rFonts w:cs="Times New Roman"/>
        </w:rPr>
      </w:pPr>
      <w:r>
        <w:rPr>
          <w:rFonts w:cs="Times New Roman"/>
        </w:rPr>
        <w:t>（2）污染治理设施应与其对应的生产工艺设备同步运转，保证在生产工艺设备运行波动情况下仍能正常运转，实现达标排放。监管污染治理设施运行、操作、维护过程，确保各污染治理设施的正常运行。</w:t>
      </w:r>
    </w:p>
    <w:p>
      <w:pPr>
        <w:pStyle w:val="7"/>
        <w:ind w:firstLine="480"/>
        <w:rPr>
          <w:rFonts w:cs="Times New Roman"/>
        </w:rPr>
      </w:pPr>
      <w:r>
        <w:rPr>
          <w:rFonts w:cs="Times New Roman"/>
        </w:rPr>
        <w:t>（3）无组织排放的运行管理要求按照GB37822、GB31572</w:t>
      </w:r>
      <w:r>
        <w:rPr>
          <w:rFonts w:hint="eastAsia" w:cs="Times New Roman"/>
        </w:rPr>
        <w:t>及其修改单</w:t>
      </w:r>
      <w:r>
        <w:rPr>
          <w:rFonts w:cs="Times New Roman"/>
        </w:rPr>
        <w:t>中的要求执行。</w:t>
      </w:r>
    </w:p>
    <w:p>
      <w:pPr>
        <w:pStyle w:val="7"/>
        <w:ind w:firstLine="480"/>
        <w:rPr>
          <w:rFonts w:cs="Times New Roman"/>
        </w:rPr>
      </w:pPr>
      <w:r>
        <w:rPr>
          <w:rFonts w:cs="Times New Roman"/>
        </w:rPr>
        <w:t>（4）所有废水治理设施应制定操作规程，明确各项运行参数，实际运行参数应与操作规程中的规定一致，记录各处理设施的运行参数。</w:t>
      </w:r>
    </w:p>
    <w:p>
      <w:pPr>
        <w:pStyle w:val="7"/>
        <w:ind w:firstLine="480"/>
        <w:rPr>
          <w:rFonts w:cs="Times New Roman"/>
        </w:rPr>
      </w:pPr>
      <w:r>
        <w:rPr>
          <w:rFonts w:cs="Times New Roman"/>
        </w:rPr>
        <w:t>（5）对所有废水治理设施的计量装置要定期校验和比对，对泵、电机等要定期检修、维护。</w:t>
      </w:r>
    </w:p>
    <w:p>
      <w:pPr>
        <w:pStyle w:val="7"/>
        <w:ind w:firstLine="480"/>
        <w:rPr>
          <w:rFonts w:cs="Times New Roman"/>
        </w:rPr>
      </w:pPr>
      <w:r>
        <w:rPr>
          <w:rFonts w:cs="Times New Roman"/>
        </w:rPr>
        <w:t>（6）项目运行期的环境管理由单位安全环保科承担；负责该项目内所有污染治理设施的日常运行管理，保障各污染治理设施的正常运行，并对污染治理设施的改进提出积极的建议。</w:t>
      </w:r>
    </w:p>
    <w:p>
      <w:pPr>
        <w:pStyle w:val="7"/>
        <w:ind w:firstLine="480"/>
        <w:rPr>
          <w:rFonts w:cs="Times New Roman"/>
        </w:rPr>
      </w:pPr>
      <w:r>
        <w:rPr>
          <w:rFonts w:cs="Times New Roman"/>
        </w:rPr>
        <w:t>（7）对全厂职工进行环保宣传教育工作，定期检查、监督各单位环保制度的执行情况。</w:t>
      </w:r>
    </w:p>
    <w:p>
      <w:pPr>
        <w:pStyle w:val="7"/>
        <w:ind w:firstLine="480"/>
        <w:rPr>
          <w:rFonts w:cs="Times New Roman"/>
        </w:rPr>
      </w:pPr>
      <w:r>
        <w:rPr>
          <w:rFonts w:cs="Times New Roman"/>
        </w:rPr>
        <w:t>（8）建立健全环境台账和环境档案管理制度、污染防治设施设计技术改进及运行资料、污染源调查技术档案、环境监测及评价资料、项目平面图和给排水管网图等。</w:t>
      </w:r>
    </w:p>
    <w:p>
      <w:pPr>
        <w:pStyle w:val="5"/>
        <w:rPr>
          <w:rFonts w:cs="Times New Roman"/>
        </w:rPr>
      </w:pPr>
      <w:r>
        <w:rPr>
          <w:rFonts w:cs="Times New Roman"/>
        </w:rPr>
        <w:t>贯彻执行“三同时”制度</w:t>
      </w:r>
    </w:p>
    <w:p>
      <w:pPr>
        <w:pStyle w:val="7"/>
        <w:ind w:firstLine="480"/>
        <w:rPr>
          <w:rFonts w:cs="Times New Roman"/>
        </w:rPr>
      </w:pPr>
      <w:r>
        <w:rPr>
          <w:rFonts w:cs="Times New Roman"/>
        </w:rPr>
        <w:t>项目建设过程中须认真贯执行“三同时”制度。设计单位必须将污染治理设施与主体工程同时设计，工程建设单位必须保证污染防治设施与主体工程同时施工、同时投入使用，工程竣工后，应编制有环保内容的竣工验收报告或专项竣工验收报告，经验收合格后方可投入运行。</w:t>
      </w:r>
    </w:p>
    <w:p>
      <w:pPr>
        <w:pStyle w:val="5"/>
        <w:rPr>
          <w:rFonts w:cs="Times New Roman"/>
        </w:rPr>
      </w:pPr>
      <w:r>
        <w:rPr>
          <w:rFonts w:cs="Times New Roman"/>
        </w:rPr>
        <w:t>排污许可管理</w:t>
      </w:r>
    </w:p>
    <w:p>
      <w:pPr>
        <w:pStyle w:val="7"/>
        <w:ind w:firstLine="480"/>
        <w:rPr>
          <w:rFonts w:cs="Times New Roman"/>
        </w:rPr>
      </w:pPr>
      <w:r>
        <w:rPr>
          <w:rFonts w:cs="Times New Roman"/>
        </w:rPr>
        <w:t>根据《控制污染物排放许可制实施方案的通知》（国办发﹝2016﹞81号）《排污许可管理办法》要求，纳入固定污染源排污许可分类管理名录的企业事业单位和其他生产经营者应当按照规定的时限申请并取得排污许可证。</w:t>
      </w:r>
    </w:p>
    <w:p>
      <w:pPr>
        <w:pStyle w:val="7"/>
        <w:ind w:firstLine="480"/>
        <w:rPr>
          <w:rFonts w:cs="Times New Roman"/>
        </w:rPr>
      </w:pPr>
      <w:r>
        <w:rPr>
          <w:rFonts w:cs="Times New Roman"/>
        </w:rPr>
        <w:t>排污单位应当依法持有排污许可证，并按照排污许可证的规定排放污染物，应当取得排污许可证而未取得的，不得排放污染物。</w:t>
      </w:r>
    </w:p>
    <w:p>
      <w:pPr>
        <w:pStyle w:val="7"/>
        <w:ind w:firstLine="480"/>
        <w:rPr>
          <w:rFonts w:cs="Times New Roman"/>
        </w:rPr>
      </w:pPr>
      <w:r>
        <w:rPr>
          <w:rFonts w:cs="Times New Roman"/>
        </w:rPr>
        <w:t>根据《固体污染源排污许可管理名录（2019 年版）》有关内容：国家根据排放污染物的企业事业单位和其他生产经营者（以下简称排污单位）污染物产生量、排放量、对环境的影响程度等因素，实行排污许可重点管理、简化管理和登记管理。其中对污染物产生量、排放量和对环境的影响程度很小的排污单位，实行排污登记管理。</w:t>
      </w:r>
    </w:p>
    <w:p>
      <w:pPr>
        <w:pStyle w:val="7"/>
        <w:ind w:firstLine="480"/>
        <w:rPr>
          <w:rFonts w:cs="Times New Roman"/>
        </w:rPr>
      </w:pPr>
      <w:r>
        <w:rPr>
          <w:rFonts w:hint="eastAsia" w:cs="Times New Roman"/>
        </w:rPr>
        <w:t>本项目主要使用废旧滴灌带、水带加工成再生塑料颗粒，再与其他原料混合生产滴灌带和水带，其于</w:t>
      </w:r>
      <w:r>
        <w:rPr>
          <w:rFonts w:cs="Times New Roman"/>
        </w:rPr>
        <w:t>《固体污染源排污许可管理名录（2019 年版）》</w:t>
      </w:r>
      <w:r>
        <w:rPr>
          <w:rFonts w:hint="eastAsia" w:cs="Times New Roman"/>
        </w:rPr>
        <w:t>中的行业类别为“橡胶和塑料制品业29塑料制品业292塑料板、管、型材制造2922”和“废弃资源综合利用业42 非金属废料和碎屑加工处理422废弃电器电子产品、废机动车、废电机、废电线电缆、废塑料、废船、含水洗工艺的其他废料和碎屑加工处理”，该两种类别均应简化管理。</w:t>
      </w:r>
    </w:p>
    <w:p>
      <w:pPr>
        <w:pStyle w:val="7"/>
        <w:ind w:firstLine="480"/>
        <w:rPr>
          <w:rFonts w:cs="Times New Roman"/>
        </w:rPr>
      </w:pPr>
      <w:r>
        <w:rPr>
          <w:rFonts w:hint="eastAsia" w:cs="Times New Roman"/>
        </w:rPr>
        <w:t>故本项目</w:t>
      </w:r>
      <w:r>
        <w:rPr>
          <w:rFonts w:cs="Times New Roman"/>
        </w:rPr>
        <w:t>建设单位</w:t>
      </w:r>
      <w:r>
        <w:rPr>
          <w:rFonts w:hint="eastAsia" w:cs="Times New Roman"/>
        </w:rPr>
        <w:t>属于简化管理单位，</w:t>
      </w:r>
      <w:r>
        <w:rPr>
          <w:rFonts w:cs="Times New Roman"/>
        </w:rPr>
        <w:t>应按照《排污许可证申请与核发技术规范 废弃资源加工工业》（HJ 1034-2019）、《排污许可证申请与核发技术规范 橡胶和塑料制品工业》（HJ1122-2020）、《排污许可证申请与核发技术规范 工业固体废物（试行）》（HJ 1200-2021）要求，填报排污单位基本信息；主要产品及产能；主要原辅材料及燃料；排污节点、污染物及污染治理设施；产排污节点对应排放口及许可排放限值；危险废物及一般工业固体废物基础信息、危险废物及一般工业固体废物自行贮存设施信息、污染控制措施；编制符合规范要求的自行监测计划、环境管理台账及执行报告等。</w:t>
      </w:r>
    </w:p>
    <w:p>
      <w:pPr>
        <w:pStyle w:val="5"/>
        <w:rPr>
          <w:rFonts w:cs="Times New Roman"/>
        </w:rPr>
      </w:pPr>
      <w:r>
        <w:rPr>
          <w:rFonts w:cs="Times New Roman"/>
        </w:rPr>
        <w:t>信息报告</w:t>
      </w:r>
    </w:p>
    <w:p>
      <w:pPr>
        <w:pStyle w:val="7"/>
        <w:ind w:firstLine="480"/>
        <w:rPr>
          <w:rFonts w:cs="Times New Roman"/>
        </w:rPr>
      </w:pPr>
      <w:r>
        <w:rPr>
          <w:rFonts w:cs="Times New Roman"/>
        </w:rPr>
        <w:t>排污单位应编写自行监测年度报告，年度报告至少应包括（1）监测方案的调整变化情况及变更原因；（2）项目及各主要生产设施全年运行天数，各监测点、各监测指标全年监测次数、超标情况、浓度分布情况；（3）自行监测开展的其他情况说明；（4）排污单位实现达标排放所采取的主要措施。</w:t>
      </w:r>
    </w:p>
    <w:p>
      <w:pPr>
        <w:pStyle w:val="5"/>
        <w:rPr>
          <w:rFonts w:cs="Times New Roman"/>
        </w:rPr>
      </w:pPr>
      <w:r>
        <w:rPr>
          <w:rFonts w:cs="Times New Roman"/>
        </w:rPr>
        <w:t>环境信息公开</w:t>
      </w:r>
    </w:p>
    <w:p>
      <w:pPr>
        <w:pStyle w:val="7"/>
        <w:ind w:firstLine="480"/>
        <w:rPr>
          <w:rFonts w:cs="Times New Roman"/>
        </w:rPr>
      </w:pPr>
      <w:r>
        <w:rPr>
          <w:rFonts w:hint="eastAsia" w:cs="Times New Roman"/>
        </w:rPr>
        <w:t>排污单位应按照《企业事业单位环境信息公开办法》（部令第31号）要求，依法通过公开媒体、企业事业单位环境信息公开平台或者当地报刊等便于公众知晓的方式公开企业环境信息，企业环境信息公开采取自愿公开与强制公开相结合。国家鼓励企业事业单位自愿公开有利于保护生态、防治污染、履行社会环境责任的相关信息。</w:t>
      </w:r>
    </w:p>
    <w:p>
      <w:pPr>
        <w:pStyle w:val="5"/>
        <w:rPr>
          <w:rFonts w:cs="Times New Roman"/>
        </w:rPr>
      </w:pPr>
      <w:r>
        <w:rPr>
          <w:rFonts w:cs="Times New Roman"/>
        </w:rPr>
        <w:t>排污口设置及规范化管理</w:t>
      </w:r>
    </w:p>
    <w:p>
      <w:pPr>
        <w:pStyle w:val="7"/>
        <w:ind w:firstLine="480"/>
        <w:rPr>
          <w:rFonts w:cs="Times New Roman"/>
        </w:rPr>
      </w:pPr>
      <w:r>
        <w:rPr>
          <w:rFonts w:cs="Times New Roman"/>
        </w:rPr>
        <w:t>根据原国家环境保护总局文件环发〔1999〕24号文《关于开展排放口规范化整治工作的通知》的要求，“一切新建、扩建、改建和限期治理的排污单位必须在建设污染治理设施的同时建设规范化排污口”，排污口是企业排放污染物进入环境的通道，强化排污口的管理是实施污染物总量控制的基础工作之一，也是区域环境管理逐步实现污染物排放科学化、定量化的重要手段。</w:t>
      </w:r>
    </w:p>
    <w:p>
      <w:pPr>
        <w:pStyle w:val="7"/>
        <w:ind w:firstLine="456"/>
        <w:rPr>
          <w:rFonts w:cs="Times New Roman"/>
          <w:spacing w:val="-6"/>
        </w:rPr>
      </w:pPr>
      <w:r>
        <w:rPr>
          <w:rFonts w:cs="Times New Roman"/>
          <w:spacing w:val="-6"/>
        </w:rPr>
        <w:t>在本项目竣工环境保护验收前，建设单位应对本项目排污口进行规范化建设。</w:t>
      </w:r>
    </w:p>
    <w:p>
      <w:pPr>
        <w:pStyle w:val="7"/>
        <w:ind w:firstLine="480"/>
        <w:rPr>
          <w:rFonts w:cs="Times New Roman"/>
        </w:rPr>
      </w:pPr>
      <w:r>
        <w:rPr>
          <w:rFonts w:cs="Times New Roman"/>
        </w:rPr>
        <w:t>企业污染物排放口的标志，应按《环境保护图形标志 排放口（源）》（15562.1-1995）及《环境保护图形标志 固体废物贮存（处置）场》（15562.2-1995）及修改单</w:t>
      </w:r>
      <w:r>
        <w:rPr>
          <w:rFonts w:hint="eastAsia" w:cs="Times New Roman"/>
        </w:rPr>
        <w:t>、《危险废物识别标志设置技术规范》（HJ 1276-2022）</w:t>
      </w:r>
      <w:r>
        <w:rPr>
          <w:rFonts w:cs="Times New Roman"/>
        </w:rPr>
        <w:t>的规定，设置环境保护图形标志牌。示例见</w:t>
      </w:r>
      <w:r>
        <w:rPr>
          <w:rFonts w:hint="eastAsia" w:cs="Times New Roman"/>
        </w:rPr>
        <w:t>表8.1-1</w:t>
      </w:r>
      <w:r>
        <w:rPr>
          <w:rFonts w:cs="Times New Roman"/>
        </w:rPr>
        <w:t>和</w:t>
      </w:r>
      <w:r>
        <w:rPr>
          <w:rFonts w:hint="eastAsia" w:cs="Times New Roman"/>
          <w:lang w:val="zh-CN"/>
        </w:rPr>
        <w:t>表8.1-2</w:t>
      </w:r>
      <w:r>
        <w:rPr>
          <w:rFonts w:cs="Times New Roman"/>
        </w:rPr>
        <w:t>。</w:t>
      </w:r>
    </w:p>
    <w:p>
      <w:pPr>
        <w:pStyle w:val="36"/>
        <w:spacing w:before="156"/>
        <w:rPr>
          <w:rFonts w:eastAsia="宋体"/>
        </w:rPr>
      </w:pPr>
      <w:bookmarkStart w:id="104" w:name="_Ref21511656"/>
      <w:r>
        <w:rPr>
          <w:rFonts w:eastAsia="宋体"/>
        </w:rPr>
        <w:t>表</w:t>
      </w:r>
      <w:r>
        <w:rPr>
          <w:rFonts w:hint="eastAsia" w:eastAsia="宋体"/>
        </w:rPr>
        <w:t>8.1-1</w:t>
      </w:r>
      <w:bookmarkEnd w:id="104"/>
      <w:r>
        <w:rPr>
          <w:rFonts w:eastAsia="宋体"/>
        </w:rPr>
        <w:t xml:space="preserve">  排污口提示图形符号</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60"/>
        <w:gridCol w:w="1783"/>
        <w:gridCol w:w="1788"/>
        <w:gridCol w:w="1785"/>
        <w:gridCol w:w="1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8" w:type="pct"/>
            <w:tcBorders>
              <w:tl2br w:val="nil"/>
              <w:tr2bl w:val="nil"/>
            </w:tcBorders>
            <w:vAlign w:val="center"/>
          </w:tcPr>
          <w:p>
            <w:pPr>
              <w:pStyle w:val="34"/>
            </w:pPr>
            <w:r>
              <w:t>排放口</w:t>
            </w:r>
          </w:p>
        </w:tc>
        <w:tc>
          <w:tcPr>
            <w:tcW w:w="1073" w:type="pct"/>
            <w:tcBorders>
              <w:tl2br w:val="nil"/>
              <w:tr2bl w:val="nil"/>
            </w:tcBorders>
            <w:tcMar>
              <w:left w:w="0" w:type="dxa"/>
              <w:right w:w="0" w:type="dxa"/>
            </w:tcMar>
            <w:vAlign w:val="center"/>
          </w:tcPr>
          <w:p>
            <w:pPr>
              <w:pStyle w:val="34"/>
            </w:pPr>
            <w:r>
              <w:t>废水排口</w:t>
            </w:r>
          </w:p>
        </w:tc>
        <w:tc>
          <w:tcPr>
            <w:tcW w:w="1076" w:type="pct"/>
            <w:tcBorders>
              <w:tl2br w:val="nil"/>
              <w:tr2bl w:val="nil"/>
            </w:tcBorders>
            <w:vAlign w:val="center"/>
          </w:tcPr>
          <w:p>
            <w:pPr>
              <w:pStyle w:val="34"/>
            </w:pPr>
            <w:r>
              <w:t>废气排口</w:t>
            </w:r>
          </w:p>
        </w:tc>
        <w:tc>
          <w:tcPr>
            <w:tcW w:w="1074" w:type="pct"/>
            <w:tcBorders>
              <w:tl2br w:val="nil"/>
              <w:tr2bl w:val="nil"/>
            </w:tcBorders>
            <w:vAlign w:val="center"/>
          </w:tcPr>
          <w:p>
            <w:pPr>
              <w:pStyle w:val="34"/>
            </w:pPr>
            <w:r>
              <w:t>固废堆场</w:t>
            </w:r>
          </w:p>
        </w:tc>
        <w:tc>
          <w:tcPr>
            <w:tcW w:w="1077" w:type="pct"/>
            <w:tcBorders>
              <w:tl2br w:val="nil"/>
              <w:tr2bl w:val="nil"/>
            </w:tcBorders>
            <w:vAlign w:val="center"/>
          </w:tcPr>
          <w:p>
            <w:pPr>
              <w:pStyle w:val="34"/>
            </w:pPr>
            <w:r>
              <w:t>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8" w:type="pct"/>
            <w:tcBorders>
              <w:tl2br w:val="nil"/>
              <w:tr2bl w:val="nil"/>
            </w:tcBorders>
            <w:vAlign w:val="center"/>
          </w:tcPr>
          <w:p>
            <w:pPr>
              <w:pStyle w:val="34"/>
            </w:pPr>
            <w:r>
              <w:t>图形符号</w:t>
            </w:r>
          </w:p>
        </w:tc>
        <w:tc>
          <w:tcPr>
            <w:tcW w:w="1073" w:type="pct"/>
            <w:tcBorders>
              <w:tl2br w:val="nil"/>
              <w:tr2bl w:val="nil"/>
            </w:tcBorders>
            <w:tcMar>
              <w:left w:w="0" w:type="dxa"/>
              <w:right w:w="0" w:type="dxa"/>
            </w:tcMar>
            <w:vAlign w:val="center"/>
          </w:tcPr>
          <w:p>
            <w:pPr>
              <w:pStyle w:val="34"/>
            </w:pPr>
            <w:r>
              <w:drawing>
                <wp:inline distT="0" distB="0" distL="0" distR="0">
                  <wp:extent cx="952500" cy="952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c>
          <w:tcPr>
            <w:tcW w:w="1076" w:type="pct"/>
            <w:tcBorders>
              <w:tl2br w:val="nil"/>
              <w:tr2bl w:val="nil"/>
            </w:tcBorders>
            <w:vAlign w:val="center"/>
          </w:tcPr>
          <w:p>
            <w:pPr>
              <w:pStyle w:val="34"/>
            </w:pPr>
            <w:r>
              <w:drawing>
                <wp:inline distT="0" distB="0" distL="0" distR="0">
                  <wp:extent cx="952500" cy="952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c>
          <w:tcPr>
            <w:tcW w:w="1074" w:type="pct"/>
            <w:tcBorders>
              <w:tl2br w:val="nil"/>
              <w:tr2bl w:val="nil"/>
            </w:tcBorders>
            <w:vAlign w:val="center"/>
          </w:tcPr>
          <w:p>
            <w:pPr>
              <w:pStyle w:val="34"/>
            </w:pPr>
            <w:r>
              <w:drawing>
                <wp:inline distT="0" distB="0" distL="0" distR="0">
                  <wp:extent cx="962025" cy="933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62025" cy="933450"/>
                          </a:xfrm>
                          <a:prstGeom prst="rect">
                            <a:avLst/>
                          </a:prstGeom>
                          <a:noFill/>
                          <a:ln>
                            <a:noFill/>
                          </a:ln>
                        </pic:spPr>
                      </pic:pic>
                    </a:graphicData>
                  </a:graphic>
                </wp:inline>
              </w:drawing>
            </w:r>
          </w:p>
        </w:tc>
        <w:tc>
          <w:tcPr>
            <w:tcW w:w="1077" w:type="pct"/>
            <w:tcBorders>
              <w:tl2br w:val="nil"/>
              <w:tr2bl w:val="nil"/>
            </w:tcBorders>
            <w:vAlign w:val="center"/>
          </w:tcPr>
          <w:p>
            <w:pPr>
              <w:pStyle w:val="34"/>
            </w:pPr>
            <w:r>
              <w:drawing>
                <wp:inline distT="0" distB="0" distL="0" distR="0">
                  <wp:extent cx="952500" cy="952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8" w:type="pct"/>
            <w:tcBorders>
              <w:tl2br w:val="nil"/>
              <w:tr2bl w:val="nil"/>
            </w:tcBorders>
            <w:vAlign w:val="center"/>
          </w:tcPr>
          <w:p>
            <w:pPr>
              <w:pStyle w:val="34"/>
            </w:pPr>
            <w:r>
              <w:t>背景颜色</w:t>
            </w:r>
          </w:p>
        </w:tc>
        <w:tc>
          <w:tcPr>
            <w:tcW w:w="4301" w:type="pct"/>
            <w:gridSpan w:val="4"/>
            <w:tcBorders>
              <w:tl2br w:val="nil"/>
              <w:tr2bl w:val="nil"/>
            </w:tcBorders>
            <w:tcMar>
              <w:left w:w="0" w:type="dxa"/>
              <w:right w:w="0" w:type="dxa"/>
            </w:tcMar>
            <w:vAlign w:val="center"/>
          </w:tcPr>
          <w:p>
            <w:pPr>
              <w:pStyle w:val="34"/>
            </w:pPr>
            <w:r>
              <w:t>绿色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8" w:type="pct"/>
            <w:tcBorders>
              <w:tl2br w:val="nil"/>
              <w:tr2bl w:val="nil"/>
            </w:tcBorders>
            <w:vAlign w:val="center"/>
          </w:tcPr>
          <w:p>
            <w:pPr>
              <w:pStyle w:val="34"/>
            </w:pPr>
            <w:r>
              <w:t>图形颜色</w:t>
            </w:r>
          </w:p>
        </w:tc>
        <w:tc>
          <w:tcPr>
            <w:tcW w:w="4301" w:type="pct"/>
            <w:gridSpan w:val="4"/>
            <w:tcBorders>
              <w:tl2br w:val="nil"/>
              <w:tr2bl w:val="nil"/>
            </w:tcBorders>
            <w:tcMar>
              <w:left w:w="0" w:type="dxa"/>
              <w:right w:w="0" w:type="dxa"/>
            </w:tcMar>
            <w:vAlign w:val="center"/>
          </w:tcPr>
          <w:p>
            <w:pPr>
              <w:pStyle w:val="34"/>
            </w:pPr>
            <w:r>
              <w:t>白色</w:t>
            </w:r>
          </w:p>
        </w:tc>
      </w:tr>
    </w:tbl>
    <w:p>
      <w:pPr>
        <w:pStyle w:val="36"/>
        <w:spacing w:before="156"/>
        <w:rPr>
          <w:rFonts w:eastAsia="宋体"/>
        </w:rPr>
      </w:pPr>
      <w:bookmarkStart w:id="105" w:name="_Ref111572713"/>
      <w:r>
        <w:rPr>
          <w:rFonts w:eastAsia="宋体"/>
        </w:rPr>
        <w:t>表</w:t>
      </w:r>
      <w:r>
        <w:rPr>
          <w:rFonts w:hint="eastAsia" w:eastAsia="宋体"/>
        </w:rPr>
        <w:t>8.1-2</w:t>
      </w:r>
      <w:bookmarkEnd w:id="105"/>
      <w:r>
        <w:rPr>
          <w:rFonts w:eastAsia="宋体"/>
        </w:rPr>
        <w:t xml:space="preserve">  排污口警告图形符号</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3"/>
        <w:gridCol w:w="1628"/>
        <w:gridCol w:w="1629"/>
        <w:gridCol w:w="1629"/>
        <w:gridCol w:w="1629"/>
        <w:gridCol w:w="1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vAlign w:val="center"/>
          </w:tcPr>
          <w:p>
            <w:pPr>
              <w:pStyle w:val="34"/>
            </w:pPr>
            <w:r>
              <w:t>排放口</w:t>
            </w:r>
          </w:p>
        </w:tc>
        <w:tc>
          <w:tcPr>
            <w:tcW w:w="961" w:type="pct"/>
            <w:tcBorders>
              <w:tl2br w:val="nil"/>
              <w:tr2bl w:val="nil"/>
            </w:tcBorders>
            <w:vAlign w:val="center"/>
          </w:tcPr>
          <w:p>
            <w:pPr>
              <w:pStyle w:val="34"/>
            </w:pPr>
            <w:r>
              <w:t>废水排放口</w:t>
            </w:r>
          </w:p>
        </w:tc>
        <w:tc>
          <w:tcPr>
            <w:tcW w:w="961" w:type="pct"/>
            <w:tcBorders>
              <w:tl2br w:val="nil"/>
              <w:tr2bl w:val="nil"/>
            </w:tcBorders>
            <w:vAlign w:val="center"/>
          </w:tcPr>
          <w:p>
            <w:pPr>
              <w:pStyle w:val="34"/>
            </w:pPr>
            <w:r>
              <w:t>废气排放口</w:t>
            </w:r>
          </w:p>
        </w:tc>
        <w:tc>
          <w:tcPr>
            <w:tcW w:w="961" w:type="pct"/>
            <w:tcBorders>
              <w:tl2br w:val="nil"/>
              <w:tr2bl w:val="nil"/>
            </w:tcBorders>
            <w:vAlign w:val="center"/>
          </w:tcPr>
          <w:p>
            <w:pPr>
              <w:pStyle w:val="34"/>
            </w:pPr>
            <w:r>
              <w:t>噪声排放源</w:t>
            </w:r>
          </w:p>
        </w:tc>
        <w:tc>
          <w:tcPr>
            <w:tcW w:w="961" w:type="pct"/>
            <w:tcBorders>
              <w:tl2br w:val="nil"/>
              <w:tr2bl w:val="nil"/>
            </w:tcBorders>
            <w:vAlign w:val="center"/>
          </w:tcPr>
          <w:p>
            <w:pPr>
              <w:pStyle w:val="34"/>
            </w:pPr>
            <w:r>
              <w:t>固体废物提示</w:t>
            </w:r>
          </w:p>
        </w:tc>
        <w:tc>
          <w:tcPr>
            <w:tcW w:w="911" w:type="pct"/>
            <w:tcBorders>
              <w:tl2br w:val="nil"/>
              <w:tr2bl w:val="nil"/>
            </w:tcBorders>
            <w:vAlign w:val="center"/>
          </w:tcPr>
          <w:p>
            <w:pPr>
              <w:pStyle w:val="34"/>
            </w:pPr>
            <w:r>
              <w:t>危险废物提示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 w:type="pct"/>
            <w:tcBorders>
              <w:tl2br w:val="nil"/>
              <w:tr2bl w:val="nil"/>
            </w:tcBorders>
            <w:vAlign w:val="center"/>
          </w:tcPr>
          <w:p>
            <w:pPr>
              <w:pStyle w:val="34"/>
            </w:pPr>
            <w:r>
              <w:t>图形符号</w:t>
            </w:r>
          </w:p>
        </w:tc>
        <w:tc>
          <w:tcPr>
            <w:tcW w:w="961" w:type="pct"/>
            <w:tcBorders>
              <w:tl2br w:val="nil"/>
              <w:tr2bl w:val="nil"/>
            </w:tcBorders>
            <w:vAlign w:val="center"/>
          </w:tcPr>
          <w:p>
            <w:pPr>
              <w:pStyle w:val="34"/>
            </w:pPr>
            <w:r>
              <w:drawing>
                <wp:inline distT="0" distB="0" distL="0" distR="0">
                  <wp:extent cx="952500" cy="838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61" w:type="pct"/>
            <w:tcBorders>
              <w:tl2br w:val="nil"/>
              <w:tr2bl w:val="nil"/>
            </w:tcBorders>
            <w:vAlign w:val="center"/>
          </w:tcPr>
          <w:p>
            <w:pPr>
              <w:pStyle w:val="34"/>
            </w:pPr>
            <w:r>
              <w:drawing>
                <wp:inline distT="0" distB="0" distL="0" distR="0">
                  <wp:extent cx="952500" cy="838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61" w:type="pct"/>
            <w:tcBorders>
              <w:tl2br w:val="nil"/>
              <w:tr2bl w:val="nil"/>
            </w:tcBorders>
            <w:vAlign w:val="center"/>
          </w:tcPr>
          <w:p>
            <w:pPr>
              <w:pStyle w:val="34"/>
            </w:pPr>
            <w:r>
              <w:drawing>
                <wp:inline distT="0" distB="0" distL="0" distR="0">
                  <wp:extent cx="952500" cy="838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61" w:type="pct"/>
            <w:tcBorders>
              <w:tl2br w:val="nil"/>
              <w:tr2bl w:val="nil"/>
            </w:tcBorders>
            <w:vAlign w:val="center"/>
          </w:tcPr>
          <w:p>
            <w:pPr>
              <w:pStyle w:val="34"/>
            </w:pPr>
            <w:r>
              <w:drawing>
                <wp:inline distT="0" distB="0" distL="0" distR="0">
                  <wp:extent cx="952500" cy="838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52500" cy="838200"/>
                          </a:xfrm>
                          <a:prstGeom prst="rect">
                            <a:avLst/>
                          </a:prstGeom>
                          <a:noFill/>
                          <a:ln>
                            <a:noFill/>
                          </a:ln>
                        </pic:spPr>
                      </pic:pic>
                    </a:graphicData>
                  </a:graphic>
                </wp:inline>
              </w:drawing>
            </w:r>
          </w:p>
        </w:tc>
        <w:tc>
          <w:tcPr>
            <w:tcW w:w="911" w:type="pct"/>
            <w:tcBorders>
              <w:tl2br w:val="nil"/>
              <w:tr2bl w:val="nil"/>
            </w:tcBorders>
            <w:vAlign w:val="center"/>
          </w:tcPr>
          <w:p>
            <w:pPr>
              <w:pStyle w:val="34"/>
            </w:pPr>
            <w:r>
              <w:drawing>
                <wp:inline distT="0" distB="0" distL="114300" distR="114300">
                  <wp:extent cx="927735" cy="862330"/>
                  <wp:effectExtent l="0" t="0" r="5715" b="13970"/>
                  <wp:docPr id="3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pic:cNvPicPr>
                            <a:picLocks noChangeAspect="1"/>
                          </pic:cNvPicPr>
                        </pic:nvPicPr>
                        <pic:blipFill>
                          <a:blip r:embed="rId34"/>
                          <a:stretch>
                            <a:fillRect/>
                          </a:stretch>
                        </pic:blipFill>
                        <pic:spPr>
                          <a:xfrm>
                            <a:off x="0" y="0"/>
                            <a:ext cx="927735" cy="862330"/>
                          </a:xfrm>
                          <a:prstGeom prst="rect">
                            <a:avLst/>
                          </a:prstGeom>
                          <a:noFill/>
                          <a:ln>
                            <a:noFill/>
                          </a:ln>
                        </pic:spPr>
                      </pic:pic>
                    </a:graphicData>
                  </a:graphic>
                </wp:inline>
              </w:drawing>
            </w:r>
          </w:p>
        </w:tc>
      </w:tr>
    </w:tbl>
    <w:p>
      <w:pPr>
        <w:pStyle w:val="4"/>
        <w:spacing w:before="156" w:after="156"/>
        <w:rPr>
          <w:rFonts w:eastAsia="宋体"/>
        </w:rPr>
      </w:pPr>
      <w:bookmarkStart w:id="106" w:name="_Toc29398"/>
      <w:r>
        <w:rPr>
          <w:rFonts w:eastAsia="宋体"/>
        </w:rPr>
        <w:t>环境监测</w:t>
      </w:r>
      <w:bookmarkEnd w:id="106"/>
    </w:p>
    <w:p>
      <w:pPr>
        <w:pStyle w:val="5"/>
        <w:rPr>
          <w:rFonts w:cs="Times New Roman"/>
        </w:rPr>
      </w:pPr>
      <w:r>
        <w:rPr>
          <w:rFonts w:cs="Times New Roman"/>
        </w:rPr>
        <w:t>环境监测目的</w:t>
      </w:r>
    </w:p>
    <w:p>
      <w:pPr>
        <w:pStyle w:val="7"/>
        <w:ind w:firstLine="480"/>
        <w:rPr>
          <w:rFonts w:cs="Times New Roman"/>
        </w:rPr>
      </w:pPr>
      <w:r>
        <w:rPr>
          <w:rFonts w:cs="Times New Roman"/>
        </w:rPr>
        <w:t>通过对项目运行中污染治理设施进行监控，掌握废气、废水、噪声等污染源排放是否符合国家或地方排放标准的要求，做到达标排放，同时对废气、废水、固体废物及噪声防治设施进行监督检查，保证正常运行。</w:t>
      </w:r>
    </w:p>
    <w:p>
      <w:pPr>
        <w:pStyle w:val="5"/>
        <w:rPr>
          <w:rFonts w:cs="Times New Roman"/>
        </w:rPr>
      </w:pPr>
      <w:r>
        <w:rPr>
          <w:rFonts w:cs="Times New Roman"/>
        </w:rPr>
        <w:t>监测计划</w:t>
      </w:r>
    </w:p>
    <w:p>
      <w:pPr>
        <w:pStyle w:val="7"/>
        <w:ind w:firstLine="480"/>
        <w:rPr>
          <w:rFonts w:cs="Times New Roman"/>
        </w:rPr>
      </w:pPr>
      <w:r>
        <w:rPr>
          <w:rFonts w:cs="Times New Roman"/>
        </w:rPr>
        <w:t>参照《排污单位自行监测技术指南 总则》（HJ819-2017）、《排污许可证申请与核发技术规范 废弃资源加工工业》（HJ 1034-2019）</w:t>
      </w:r>
      <w:r>
        <w:rPr>
          <w:rFonts w:hint="eastAsia" w:cs="Times New Roman"/>
        </w:rPr>
        <w:t>、《排污单位自行监测技术指南 橡胶和塑料制品》（HJ 1207-2021）、《排污许可证申请与核发技术规范 橡胶和塑料制品工业》（HJ 1122-2020）</w:t>
      </w:r>
      <w:r>
        <w:rPr>
          <w:rFonts w:cs="Times New Roman"/>
        </w:rPr>
        <w:t>中的相关要求制定环境监测计划，定期委托有资质的单位开展污染源及环境监测，以便及时掌握产排污规律，加强污染治理。本项目环境监测方案详见</w:t>
      </w:r>
      <w:r>
        <w:rPr>
          <w:rFonts w:hint="eastAsia" w:cs="Times New Roman"/>
        </w:rPr>
        <w:t>表8.2-1</w:t>
      </w:r>
      <w:r>
        <w:rPr>
          <w:rFonts w:cs="Times New Roman"/>
        </w:rPr>
        <w:t>。</w:t>
      </w:r>
    </w:p>
    <w:p>
      <w:pPr>
        <w:pStyle w:val="36"/>
        <w:spacing w:before="156"/>
        <w:rPr>
          <w:rFonts w:eastAsia="宋体"/>
        </w:rPr>
      </w:pPr>
      <w:bookmarkStart w:id="107" w:name="_Ref111572844"/>
      <w:r>
        <w:rPr>
          <w:rFonts w:eastAsia="宋体"/>
        </w:rPr>
        <w:t>表</w:t>
      </w:r>
      <w:r>
        <w:rPr>
          <w:rFonts w:hint="eastAsia" w:eastAsia="宋体"/>
        </w:rPr>
        <w:t>8.2-1</w:t>
      </w:r>
      <w:bookmarkEnd w:id="107"/>
      <w:r>
        <w:rPr>
          <w:rFonts w:eastAsia="宋体"/>
        </w:rPr>
        <w:t xml:space="preserve">  环境监测方案</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5"/>
        <w:gridCol w:w="887"/>
        <w:gridCol w:w="1727"/>
        <w:gridCol w:w="1065"/>
        <w:gridCol w:w="3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tcBorders>
              <w:tl2br w:val="nil"/>
              <w:tr2bl w:val="nil"/>
            </w:tcBorders>
            <w:vAlign w:val="center"/>
          </w:tcPr>
          <w:p>
            <w:pPr>
              <w:pStyle w:val="34"/>
            </w:pPr>
            <w:r>
              <w:t>类型</w:t>
            </w:r>
          </w:p>
        </w:tc>
        <w:tc>
          <w:tcPr>
            <w:tcW w:w="881" w:type="pct"/>
            <w:gridSpan w:val="2"/>
            <w:tcBorders>
              <w:tl2br w:val="nil"/>
              <w:tr2bl w:val="nil"/>
            </w:tcBorders>
            <w:vAlign w:val="center"/>
          </w:tcPr>
          <w:p>
            <w:pPr>
              <w:pStyle w:val="34"/>
            </w:pPr>
            <w:r>
              <w:t>监测点位</w:t>
            </w:r>
          </w:p>
        </w:tc>
        <w:tc>
          <w:tcPr>
            <w:tcW w:w="1012" w:type="pct"/>
            <w:tcBorders>
              <w:tl2br w:val="nil"/>
              <w:tr2bl w:val="nil"/>
            </w:tcBorders>
            <w:vAlign w:val="center"/>
          </w:tcPr>
          <w:p>
            <w:pPr>
              <w:pStyle w:val="34"/>
            </w:pPr>
            <w:r>
              <w:t>监测指标</w:t>
            </w:r>
          </w:p>
        </w:tc>
        <w:tc>
          <w:tcPr>
            <w:tcW w:w="624" w:type="pct"/>
            <w:tcBorders>
              <w:tl2br w:val="nil"/>
              <w:tr2bl w:val="nil"/>
            </w:tcBorders>
            <w:vAlign w:val="center"/>
          </w:tcPr>
          <w:p>
            <w:pPr>
              <w:pStyle w:val="34"/>
            </w:pPr>
            <w:r>
              <w:t>监测频次</w:t>
            </w:r>
          </w:p>
        </w:tc>
        <w:tc>
          <w:tcPr>
            <w:tcW w:w="2232" w:type="pct"/>
            <w:tcBorders>
              <w:tl2br w:val="nil"/>
              <w:tr2bl w:val="nil"/>
            </w:tcBorders>
            <w:vAlign w:val="center"/>
          </w:tcPr>
          <w:p>
            <w:pPr>
              <w:pStyle w:val="34"/>
            </w:pPr>
            <w: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restart"/>
            <w:tcBorders>
              <w:tl2br w:val="nil"/>
              <w:tr2bl w:val="nil"/>
            </w:tcBorders>
            <w:vAlign w:val="center"/>
          </w:tcPr>
          <w:p>
            <w:pPr>
              <w:pStyle w:val="34"/>
            </w:pPr>
            <w:r>
              <w:t>废气</w:t>
            </w:r>
          </w:p>
        </w:tc>
        <w:tc>
          <w:tcPr>
            <w:tcW w:w="881" w:type="pct"/>
            <w:gridSpan w:val="2"/>
            <w:tcBorders>
              <w:tl2br w:val="nil"/>
              <w:tr2bl w:val="nil"/>
            </w:tcBorders>
            <w:vAlign w:val="center"/>
          </w:tcPr>
          <w:p>
            <w:pPr>
              <w:pStyle w:val="34"/>
            </w:pPr>
            <w:r>
              <w:t>DA001有组织废气排气筒</w:t>
            </w:r>
          </w:p>
        </w:tc>
        <w:tc>
          <w:tcPr>
            <w:tcW w:w="1012" w:type="pct"/>
            <w:tcBorders>
              <w:tl2br w:val="nil"/>
              <w:tr2bl w:val="nil"/>
            </w:tcBorders>
            <w:vAlign w:val="center"/>
          </w:tcPr>
          <w:p>
            <w:pPr>
              <w:pStyle w:val="34"/>
            </w:pPr>
            <w:r>
              <w:t>非甲烷总烃</w:t>
            </w:r>
          </w:p>
        </w:tc>
        <w:tc>
          <w:tcPr>
            <w:tcW w:w="624" w:type="pct"/>
            <w:tcBorders>
              <w:tl2br w:val="nil"/>
              <w:tr2bl w:val="nil"/>
            </w:tcBorders>
            <w:vAlign w:val="center"/>
          </w:tcPr>
          <w:p>
            <w:pPr>
              <w:pStyle w:val="34"/>
            </w:pPr>
            <w:r>
              <w:t>1次/半年</w:t>
            </w:r>
          </w:p>
        </w:tc>
        <w:tc>
          <w:tcPr>
            <w:tcW w:w="2232" w:type="pct"/>
            <w:tcBorders>
              <w:tl2br w:val="nil"/>
              <w:tr2bl w:val="nil"/>
            </w:tcBorders>
            <w:vAlign w:val="center"/>
          </w:tcPr>
          <w:p>
            <w:pPr>
              <w:pStyle w:val="34"/>
              <w:rPr>
                <w:snapToGrid w:val="0"/>
                <w:spacing w:val="-4"/>
              </w:rPr>
            </w:pPr>
            <w:r>
              <w:rPr>
                <w:rFonts w:hint="eastAsia"/>
                <w:snapToGrid w:val="0"/>
              </w:rPr>
              <w:t>《合成树脂工业污染物排放标准》（GB 31572-2015，含2024年修改单）</w:t>
            </w:r>
            <w:r>
              <w:rPr>
                <w:snapToGrid w:val="0"/>
              </w:rPr>
              <w:t>表4大气污染物排放限值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continue"/>
            <w:tcBorders>
              <w:tl2br w:val="nil"/>
              <w:tr2bl w:val="nil"/>
            </w:tcBorders>
            <w:vAlign w:val="center"/>
          </w:tcPr>
          <w:p>
            <w:pPr>
              <w:pStyle w:val="34"/>
            </w:pPr>
          </w:p>
        </w:tc>
        <w:tc>
          <w:tcPr>
            <w:tcW w:w="361" w:type="pct"/>
            <w:vMerge w:val="restart"/>
            <w:tcBorders>
              <w:tl2br w:val="nil"/>
              <w:tr2bl w:val="nil"/>
            </w:tcBorders>
            <w:vAlign w:val="center"/>
          </w:tcPr>
          <w:p>
            <w:pPr>
              <w:pStyle w:val="34"/>
            </w:pPr>
            <w:r>
              <w:t>无</w:t>
            </w:r>
          </w:p>
          <w:p>
            <w:pPr>
              <w:pStyle w:val="34"/>
            </w:pPr>
            <w:r>
              <w:t>组</w:t>
            </w:r>
          </w:p>
          <w:p>
            <w:pPr>
              <w:pStyle w:val="34"/>
            </w:pPr>
            <w:r>
              <w:t>织</w:t>
            </w:r>
          </w:p>
          <w:p>
            <w:pPr>
              <w:pStyle w:val="34"/>
            </w:pPr>
            <w:r>
              <w:t>排</w:t>
            </w:r>
          </w:p>
          <w:p>
            <w:pPr>
              <w:pStyle w:val="34"/>
            </w:pPr>
            <w:r>
              <w:t>放</w:t>
            </w:r>
          </w:p>
        </w:tc>
        <w:tc>
          <w:tcPr>
            <w:tcW w:w="519" w:type="pct"/>
            <w:tcBorders>
              <w:tl2br w:val="nil"/>
              <w:tr2bl w:val="nil"/>
            </w:tcBorders>
            <w:vAlign w:val="center"/>
          </w:tcPr>
          <w:p>
            <w:pPr>
              <w:pStyle w:val="34"/>
            </w:pPr>
            <w:r>
              <w:t>厂界</w:t>
            </w:r>
          </w:p>
        </w:tc>
        <w:tc>
          <w:tcPr>
            <w:tcW w:w="1012" w:type="pct"/>
            <w:tcBorders>
              <w:tl2br w:val="nil"/>
              <w:tr2bl w:val="nil"/>
            </w:tcBorders>
            <w:vAlign w:val="center"/>
          </w:tcPr>
          <w:p>
            <w:pPr>
              <w:pStyle w:val="34"/>
            </w:pPr>
            <w:r>
              <w:t>非甲烷总烃</w:t>
            </w:r>
          </w:p>
        </w:tc>
        <w:tc>
          <w:tcPr>
            <w:tcW w:w="624" w:type="pct"/>
            <w:tcBorders>
              <w:tl2br w:val="nil"/>
              <w:tr2bl w:val="nil"/>
            </w:tcBorders>
            <w:vAlign w:val="center"/>
          </w:tcPr>
          <w:p>
            <w:pPr>
              <w:pStyle w:val="34"/>
            </w:pPr>
            <w:r>
              <w:t>1次/年</w:t>
            </w:r>
          </w:p>
        </w:tc>
        <w:tc>
          <w:tcPr>
            <w:tcW w:w="2232" w:type="pct"/>
            <w:tcBorders>
              <w:tl2br w:val="nil"/>
              <w:tr2bl w:val="nil"/>
            </w:tcBorders>
            <w:vAlign w:val="center"/>
          </w:tcPr>
          <w:p>
            <w:pPr>
              <w:pStyle w:val="34"/>
              <w:rPr>
                <w:snapToGrid w:val="0"/>
              </w:rPr>
            </w:pPr>
            <w:r>
              <w:rPr>
                <w:rFonts w:hint="eastAsia"/>
                <w:snapToGrid w:val="0"/>
              </w:rPr>
              <w:t>《合成树脂工业污染物排放标准》（GB 31572-2015，含2024年修改单）</w:t>
            </w:r>
            <w:r>
              <w:rPr>
                <w:snapToGrid w:val="0"/>
              </w:rPr>
              <w:t>表9企业边界大气污染物浓度限值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continue"/>
            <w:tcBorders>
              <w:tl2br w:val="nil"/>
              <w:tr2bl w:val="nil"/>
            </w:tcBorders>
            <w:vAlign w:val="center"/>
          </w:tcPr>
          <w:p>
            <w:pPr>
              <w:pStyle w:val="34"/>
            </w:pPr>
          </w:p>
        </w:tc>
        <w:tc>
          <w:tcPr>
            <w:tcW w:w="361" w:type="pct"/>
            <w:vMerge w:val="continue"/>
            <w:tcBorders>
              <w:tl2br w:val="nil"/>
              <w:tr2bl w:val="nil"/>
            </w:tcBorders>
            <w:vAlign w:val="center"/>
          </w:tcPr>
          <w:p>
            <w:pPr>
              <w:pStyle w:val="34"/>
              <w:rPr>
                <w:snapToGrid w:val="0"/>
              </w:rPr>
            </w:pPr>
          </w:p>
        </w:tc>
        <w:tc>
          <w:tcPr>
            <w:tcW w:w="519" w:type="pct"/>
            <w:tcBorders>
              <w:tl2br w:val="nil"/>
              <w:tr2bl w:val="nil"/>
            </w:tcBorders>
            <w:vAlign w:val="center"/>
          </w:tcPr>
          <w:p>
            <w:pPr>
              <w:pStyle w:val="34"/>
            </w:pPr>
            <w:r>
              <w:t>厂内</w:t>
            </w:r>
          </w:p>
        </w:tc>
        <w:tc>
          <w:tcPr>
            <w:tcW w:w="1012" w:type="pct"/>
            <w:tcBorders>
              <w:tl2br w:val="nil"/>
              <w:tr2bl w:val="nil"/>
            </w:tcBorders>
            <w:vAlign w:val="center"/>
          </w:tcPr>
          <w:p>
            <w:pPr>
              <w:pStyle w:val="34"/>
            </w:pPr>
            <w:r>
              <w:t>非甲烷总烃</w:t>
            </w:r>
          </w:p>
        </w:tc>
        <w:tc>
          <w:tcPr>
            <w:tcW w:w="624" w:type="pct"/>
            <w:tcBorders>
              <w:tl2br w:val="nil"/>
              <w:tr2bl w:val="nil"/>
            </w:tcBorders>
            <w:vAlign w:val="center"/>
          </w:tcPr>
          <w:p>
            <w:pPr>
              <w:pStyle w:val="34"/>
            </w:pPr>
            <w:r>
              <w:t>1次/年</w:t>
            </w:r>
          </w:p>
        </w:tc>
        <w:tc>
          <w:tcPr>
            <w:tcW w:w="2232" w:type="pct"/>
            <w:tcBorders>
              <w:tl2br w:val="nil"/>
              <w:tr2bl w:val="nil"/>
            </w:tcBorders>
            <w:vAlign w:val="center"/>
          </w:tcPr>
          <w:p>
            <w:pPr>
              <w:pStyle w:val="34"/>
              <w:rPr>
                <w:snapToGrid w:val="0"/>
              </w:rPr>
            </w:pPr>
            <w:r>
              <w:rPr>
                <w:snapToGrid w:val="0"/>
              </w:rPr>
              <w:t>《挥发性有机物无组织排放控制标准》（GB37822-2019）中表A.1厂区内VOCs 无组织排放限值标准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49" w:type="pct"/>
            <w:tcBorders>
              <w:tl2br w:val="nil"/>
              <w:tr2bl w:val="nil"/>
            </w:tcBorders>
            <w:vAlign w:val="center"/>
          </w:tcPr>
          <w:p>
            <w:pPr>
              <w:pStyle w:val="34"/>
            </w:pPr>
            <w:r>
              <w:t>噪声</w:t>
            </w:r>
          </w:p>
        </w:tc>
        <w:tc>
          <w:tcPr>
            <w:tcW w:w="881" w:type="pct"/>
            <w:gridSpan w:val="2"/>
            <w:tcBorders>
              <w:tl2br w:val="nil"/>
              <w:tr2bl w:val="nil"/>
            </w:tcBorders>
            <w:vAlign w:val="center"/>
          </w:tcPr>
          <w:p>
            <w:pPr>
              <w:pStyle w:val="34"/>
            </w:pPr>
            <w:r>
              <w:t>厂界</w:t>
            </w:r>
          </w:p>
        </w:tc>
        <w:tc>
          <w:tcPr>
            <w:tcW w:w="1012" w:type="pct"/>
            <w:tcBorders>
              <w:tl2br w:val="nil"/>
              <w:tr2bl w:val="nil"/>
            </w:tcBorders>
            <w:vAlign w:val="center"/>
          </w:tcPr>
          <w:p>
            <w:pPr>
              <w:pStyle w:val="34"/>
            </w:pPr>
            <w:r>
              <w:t>等效</w:t>
            </w:r>
            <w:r>
              <w:rPr>
                <w:rFonts w:hint="eastAsia"/>
              </w:rPr>
              <w:t>连续</w:t>
            </w:r>
            <w:r>
              <w:t>A声级</w:t>
            </w:r>
          </w:p>
        </w:tc>
        <w:tc>
          <w:tcPr>
            <w:tcW w:w="624" w:type="pct"/>
            <w:tcBorders>
              <w:tl2br w:val="nil"/>
              <w:tr2bl w:val="nil"/>
            </w:tcBorders>
            <w:vAlign w:val="center"/>
          </w:tcPr>
          <w:p>
            <w:pPr>
              <w:pStyle w:val="34"/>
            </w:pPr>
            <w:r>
              <w:t>1次/季度</w:t>
            </w:r>
          </w:p>
          <w:p>
            <w:pPr>
              <w:pStyle w:val="34"/>
            </w:pPr>
            <w:r>
              <w:t>分昼夜监测</w:t>
            </w:r>
          </w:p>
        </w:tc>
        <w:tc>
          <w:tcPr>
            <w:tcW w:w="2232" w:type="pct"/>
            <w:tcBorders>
              <w:tl2br w:val="nil"/>
              <w:tr2bl w:val="nil"/>
            </w:tcBorders>
            <w:vAlign w:val="center"/>
          </w:tcPr>
          <w:p>
            <w:pPr>
              <w:pStyle w:val="34"/>
            </w:pPr>
            <w:r>
              <w:t>《工业企业厂界环境噪声排放标准》（GB12348-2008）2类区噪声限值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49" w:type="pct"/>
            <w:tcBorders>
              <w:tl2br w:val="nil"/>
              <w:tr2bl w:val="nil"/>
            </w:tcBorders>
            <w:vAlign w:val="center"/>
          </w:tcPr>
          <w:p>
            <w:pPr>
              <w:pStyle w:val="34"/>
            </w:pPr>
            <w:r>
              <w:t>地下水</w:t>
            </w:r>
          </w:p>
        </w:tc>
        <w:tc>
          <w:tcPr>
            <w:tcW w:w="881" w:type="pct"/>
            <w:gridSpan w:val="2"/>
            <w:tcBorders>
              <w:tl2br w:val="nil"/>
              <w:tr2bl w:val="nil"/>
            </w:tcBorders>
            <w:vAlign w:val="center"/>
          </w:tcPr>
          <w:p>
            <w:pPr>
              <w:pStyle w:val="34"/>
            </w:pPr>
            <w:r>
              <w:t>厂址下游</w:t>
            </w:r>
            <w:r>
              <w:rPr>
                <w:rFonts w:hint="eastAsia"/>
              </w:rPr>
              <w:t>监测井#3</w:t>
            </w:r>
          </w:p>
        </w:tc>
        <w:tc>
          <w:tcPr>
            <w:tcW w:w="1012" w:type="pct"/>
            <w:tcBorders>
              <w:tl2br w:val="nil"/>
              <w:tr2bl w:val="nil"/>
            </w:tcBorders>
            <w:vAlign w:val="center"/>
          </w:tcPr>
          <w:p>
            <w:pPr>
              <w:pStyle w:val="34"/>
            </w:pPr>
            <w:r>
              <w:rPr>
                <w:spacing w:val="-6"/>
              </w:rPr>
              <w:t>pH、耗氧量、氨氮、总大肠菌群等</w:t>
            </w:r>
          </w:p>
        </w:tc>
        <w:tc>
          <w:tcPr>
            <w:tcW w:w="624" w:type="pct"/>
            <w:tcBorders>
              <w:tl2br w:val="nil"/>
              <w:tr2bl w:val="nil"/>
            </w:tcBorders>
            <w:vAlign w:val="center"/>
          </w:tcPr>
          <w:p>
            <w:pPr>
              <w:pStyle w:val="34"/>
            </w:pPr>
            <w:r>
              <w:t>1次/年</w:t>
            </w:r>
          </w:p>
        </w:tc>
        <w:tc>
          <w:tcPr>
            <w:tcW w:w="2232" w:type="pct"/>
            <w:tcBorders>
              <w:tl2br w:val="nil"/>
              <w:tr2bl w:val="nil"/>
            </w:tcBorders>
            <w:vAlign w:val="center"/>
          </w:tcPr>
          <w:p>
            <w:pPr>
              <w:pStyle w:val="34"/>
            </w:pPr>
            <w:r>
              <w:t>《地下水质量标准》（GB/T14848-2017）Ⅲ类标准</w:t>
            </w:r>
          </w:p>
        </w:tc>
      </w:tr>
    </w:tbl>
    <w:p>
      <w:pPr>
        <w:pStyle w:val="4"/>
        <w:spacing w:before="156" w:after="156"/>
        <w:rPr>
          <w:rFonts w:eastAsia="宋体"/>
        </w:rPr>
      </w:pPr>
      <w:bookmarkStart w:id="108" w:name="_Toc15961"/>
      <w:r>
        <w:rPr>
          <w:rFonts w:eastAsia="宋体"/>
        </w:rPr>
        <w:t>污染物排放清单</w:t>
      </w:r>
      <w:bookmarkEnd w:id="108"/>
    </w:p>
    <w:p>
      <w:pPr>
        <w:pStyle w:val="7"/>
        <w:ind w:firstLine="480"/>
        <w:rPr>
          <w:rFonts w:cs="Times New Roman"/>
        </w:rPr>
      </w:pPr>
      <w:r>
        <w:rPr>
          <w:rFonts w:cs="Times New Roman"/>
        </w:rPr>
        <w:t>根据工程分析及本项目拟采取的污染治理措施，对本项目污染物排放源及排放量进行梳理，形成污染物排放清单，详见</w:t>
      </w:r>
      <w:r>
        <w:rPr>
          <w:rFonts w:hint="eastAsia" w:cs="Times New Roman"/>
        </w:rPr>
        <w:t>表8.3-1</w:t>
      </w:r>
      <w:r>
        <w:rPr>
          <w:rFonts w:cs="Times New Roman"/>
        </w:rPr>
        <w:t>。</w:t>
      </w:r>
    </w:p>
    <w:p>
      <w:pPr>
        <w:pStyle w:val="7"/>
        <w:ind w:firstLine="480"/>
        <w:rPr>
          <w:rFonts w:cs="Times New Roman"/>
        </w:rPr>
        <w:sectPr>
          <w:pgSz w:w="11906" w:h="16838"/>
          <w:pgMar w:top="1440" w:right="1797" w:bottom="1440" w:left="1797" w:header="851" w:footer="992" w:gutter="0"/>
          <w:pgNumType w:fmt="numberInDash"/>
          <w:cols w:space="720" w:num="1"/>
          <w:docGrid w:type="lines" w:linePitch="312" w:charSpace="0"/>
        </w:sectPr>
      </w:pPr>
    </w:p>
    <w:p>
      <w:pPr>
        <w:pStyle w:val="36"/>
        <w:spacing w:before="156"/>
        <w:rPr>
          <w:rFonts w:eastAsia="宋体"/>
        </w:rPr>
      </w:pPr>
      <w:bookmarkStart w:id="109" w:name="_Ref112673781"/>
      <w:r>
        <w:rPr>
          <w:rFonts w:eastAsia="宋体"/>
        </w:rPr>
        <w:t>表</w:t>
      </w:r>
      <w:r>
        <w:rPr>
          <w:rFonts w:hint="eastAsia" w:eastAsia="宋体"/>
        </w:rPr>
        <w:t>8.3-1</w:t>
      </w:r>
      <w:bookmarkEnd w:id="109"/>
      <w:r>
        <w:rPr>
          <w:rFonts w:eastAsia="宋体"/>
        </w:rPr>
        <w:t xml:space="preserve">  污染物排放清单</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839"/>
        <w:gridCol w:w="896"/>
        <w:gridCol w:w="893"/>
        <w:gridCol w:w="578"/>
        <w:gridCol w:w="1607"/>
        <w:gridCol w:w="1477"/>
        <w:gridCol w:w="1120"/>
        <w:gridCol w:w="1225"/>
        <w:gridCol w:w="1568"/>
        <w:gridCol w:w="1199"/>
        <w:gridCol w:w="1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blHeader/>
          <w:jc w:val="center"/>
        </w:trPr>
        <w:tc>
          <w:tcPr>
            <w:tcW w:w="277" w:type="pct"/>
            <w:vMerge w:val="restart"/>
            <w:tcBorders>
              <w:tl2br w:val="nil"/>
              <w:tr2bl w:val="nil"/>
            </w:tcBorders>
            <w:vAlign w:val="center"/>
          </w:tcPr>
          <w:p>
            <w:pPr>
              <w:pStyle w:val="34"/>
            </w:pPr>
            <w:r>
              <w:t>污染物类型</w:t>
            </w:r>
          </w:p>
        </w:tc>
        <w:tc>
          <w:tcPr>
            <w:tcW w:w="296" w:type="pct"/>
            <w:vMerge w:val="restart"/>
            <w:tcBorders>
              <w:tl2br w:val="nil"/>
              <w:tr2bl w:val="nil"/>
            </w:tcBorders>
            <w:vAlign w:val="center"/>
          </w:tcPr>
          <w:p>
            <w:pPr>
              <w:pStyle w:val="34"/>
            </w:pPr>
            <w:r>
              <w:t>工程 组成</w:t>
            </w:r>
          </w:p>
        </w:tc>
        <w:tc>
          <w:tcPr>
            <w:tcW w:w="316" w:type="pct"/>
            <w:vMerge w:val="restart"/>
            <w:tcBorders>
              <w:tl2br w:val="nil"/>
              <w:tr2bl w:val="nil"/>
            </w:tcBorders>
            <w:vAlign w:val="center"/>
          </w:tcPr>
          <w:p>
            <w:pPr>
              <w:pStyle w:val="34"/>
            </w:pPr>
            <w:r>
              <w:t>产污</w:t>
            </w:r>
          </w:p>
          <w:p>
            <w:pPr>
              <w:pStyle w:val="34"/>
            </w:pPr>
            <w:r>
              <w:t>环节</w:t>
            </w:r>
          </w:p>
        </w:tc>
        <w:tc>
          <w:tcPr>
            <w:tcW w:w="315" w:type="pct"/>
            <w:vMerge w:val="restart"/>
            <w:tcBorders>
              <w:tl2br w:val="nil"/>
              <w:tr2bl w:val="nil"/>
            </w:tcBorders>
            <w:vAlign w:val="center"/>
          </w:tcPr>
          <w:p>
            <w:pPr>
              <w:pStyle w:val="34"/>
            </w:pPr>
            <w:r>
              <w:t>污染物 类型</w:t>
            </w:r>
          </w:p>
        </w:tc>
        <w:tc>
          <w:tcPr>
            <w:tcW w:w="204" w:type="pct"/>
            <w:vMerge w:val="restart"/>
            <w:tcBorders>
              <w:tl2br w:val="nil"/>
              <w:tr2bl w:val="nil"/>
            </w:tcBorders>
            <w:vAlign w:val="center"/>
          </w:tcPr>
          <w:p>
            <w:pPr>
              <w:pStyle w:val="34"/>
            </w:pPr>
            <w:r>
              <w:t>排放形式</w:t>
            </w:r>
          </w:p>
        </w:tc>
        <w:tc>
          <w:tcPr>
            <w:tcW w:w="567" w:type="pct"/>
            <w:vMerge w:val="restart"/>
            <w:tcBorders>
              <w:tl2br w:val="nil"/>
              <w:tr2bl w:val="nil"/>
            </w:tcBorders>
            <w:vAlign w:val="center"/>
          </w:tcPr>
          <w:p>
            <w:pPr>
              <w:pStyle w:val="34"/>
            </w:pPr>
            <w:r>
              <w:t>拟采取的环境保护措施</w:t>
            </w:r>
          </w:p>
        </w:tc>
        <w:tc>
          <w:tcPr>
            <w:tcW w:w="521" w:type="pct"/>
            <w:vMerge w:val="restart"/>
            <w:tcBorders>
              <w:tl2br w:val="nil"/>
              <w:tr2bl w:val="nil"/>
            </w:tcBorders>
            <w:vAlign w:val="center"/>
          </w:tcPr>
          <w:p>
            <w:pPr>
              <w:pStyle w:val="34"/>
            </w:pPr>
            <w:r>
              <w:t>排放浓度</w:t>
            </w:r>
          </w:p>
          <w:p>
            <w:pPr>
              <w:pStyle w:val="34"/>
            </w:pPr>
            <w:r>
              <w:t>（mg/m</w:t>
            </w:r>
            <w:r>
              <w:rPr>
                <w:vertAlign w:val="superscript"/>
              </w:rPr>
              <w:t>3</w:t>
            </w:r>
            <w:r>
              <w:t>）</w:t>
            </w:r>
          </w:p>
        </w:tc>
        <w:tc>
          <w:tcPr>
            <w:tcW w:w="395" w:type="pct"/>
            <w:vMerge w:val="restart"/>
            <w:tcBorders>
              <w:tl2br w:val="nil"/>
              <w:tr2bl w:val="nil"/>
            </w:tcBorders>
            <w:vAlign w:val="center"/>
          </w:tcPr>
          <w:p>
            <w:pPr>
              <w:pStyle w:val="34"/>
            </w:pPr>
            <w:r>
              <w:t>排放量</w:t>
            </w:r>
          </w:p>
          <w:p>
            <w:pPr>
              <w:pStyle w:val="34"/>
            </w:pPr>
            <w:r>
              <w:t>（t/a）　</w:t>
            </w:r>
          </w:p>
        </w:tc>
        <w:tc>
          <w:tcPr>
            <w:tcW w:w="432" w:type="pct"/>
            <w:vMerge w:val="restart"/>
            <w:tcBorders>
              <w:tl2br w:val="nil"/>
              <w:tr2bl w:val="nil"/>
            </w:tcBorders>
            <w:vAlign w:val="center"/>
          </w:tcPr>
          <w:p>
            <w:pPr>
              <w:pStyle w:val="34"/>
            </w:pPr>
            <w:r>
              <w:t>总量指标</w:t>
            </w:r>
          </w:p>
          <w:p>
            <w:pPr>
              <w:pStyle w:val="34"/>
            </w:pPr>
            <w:r>
              <w:t>（t/a）</w:t>
            </w:r>
          </w:p>
        </w:tc>
        <w:tc>
          <w:tcPr>
            <w:tcW w:w="976" w:type="pct"/>
            <w:gridSpan w:val="2"/>
            <w:tcBorders>
              <w:tl2br w:val="nil"/>
              <w:tr2bl w:val="nil"/>
            </w:tcBorders>
            <w:vAlign w:val="center"/>
          </w:tcPr>
          <w:p>
            <w:pPr>
              <w:pStyle w:val="34"/>
            </w:pPr>
            <w:r>
              <w:t>排放标准</w:t>
            </w:r>
          </w:p>
        </w:tc>
        <w:tc>
          <w:tcPr>
            <w:tcW w:w="701" w:type="pct"/>
            <w:vMerge w:val="restart"/>
            <w:tcBorders>
              <w:tl2br w:val="nil"/>
              <w:tr2bl w:val="nil"/>
            </w:tcBorders>
            <w:vAlign w:val="center"/>
          </w:tcPr>
          <w:p>
            <w:pPr>
              <w:pStyle w:val="34"/>
            </w:pPr>
            <w: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277" w:type="pct"/>
            <w:vMerge w:val="continue"/>
            <w:tcBorders>
              <w:tl2br w:val="nil"/>
              <w:tr2bl w:val="nil"/>
            </w:tcBorders>
            <w:vAlign w:val="center"/>
          </w:tcPr>
          <w:p>
            <w:pPr>
              <w:pStyle w:val="34"/>
            </w:pPr>
          </w:p>
        </w:tc>
        <w:tc>
          <w:tcPr>
            <w:tcW w:w="296" w:type="pct"/>
            <w:vMerge w:val="continue"/>
            <w:tcBorders>
              <w:tl2br w:val="nil"/>
              <w:tr2bl w:val="nil"/>
            </w:tcBorders>
            <w:vAlign w:val="center"/>
          </w:tcPr>
          <w:p>
            <w:pPr>
              <w:pStyle w:val="34"/>
            </w:pPr>
          </w:p>
        </w:tc>
        <w:tc>
          <w:tcPr>
            <w:tcW w:w="316" w:type="pct"/>
            <w:vMerge w:val="continue"/>
            <w:tcBorders>
              <w:tl2br w:val="nil"/>
              <w:tr2bl w:val="nil"/>
            </w:tcBorders>
            <w:vAlign w:val="center"/>
          </w:tcPr>
          <w:p>
            <w:pPr>
              <w:pStyle w:val="34"/>
            </w:pPr>
          </w:p>
        </w:tc>
        <w:tc>
          <w:tcPr>
            <w:tcW w:w="315" w:type="pct"/>
            <w:vMerge w:val="continue"/>
            <w:tcBorders>
              <w:tl2br w:val="nil"/>
              <w:tr2bl w:val="nil"/>
            </w:tcBorders>
            <w:vAlign w:val="center"/>
          </w:tcPr>
          <w:p>
            <w:pPr>
              <w:pStyle w:val="34"/>
            </w:pPr>
          </w:p>
        </w:tc>
        <w:tc>
          <w:tcPr>
            <w:tcW w:w="204" w:type="pct"/>
            <w:vMerge w:val="continue"/>
            <w:tcBorders>
              <w:tl2br w:val="nil"/>
              <w:tr2bl w:val="nil"/>
            </w:tcBorders>
            <w:vAlign w:val="center"/>
          </w:tcPr>
          <w:p>
            <w:pPr>
              <w:pStyle w:val="34"/>
            </w:pPr>
          </w:p>
        </w:tc>
        <w:tc>
          <w:tcPr>
            <w:tcW w:w="567" w:type="pct"/>
            <w:vMerge w:val="continue"/>
            <w:tcBorders>
              <w:tl2br w:val="nil"/>
              <w:tr2bl w:val="nil"/>
            </w:tcBorders>
            <w:vAlign w:val="center"/>
          </w:tcPr>
          <w:p>
            <w:pPr>
              <w:pStyle w:val="34"/>
            </w:pPr>
          </w:p>
        </w:tc>
        <w:tc>
          <w:tcPr>
            <w:tcW w:w="521" w:type="pct"/>
            <w:vMerge w:val="continue"/>
            <w:tcBorders>
              <w:tl2br w:val="nil"/>
              <w:tr2bl w:val="nil"/>
            </w:tcBorders>
            <w:vAlign w:val="center"/>
          </w:tcPr>
          <w:p>
            <w:pPr>
              <w:pStyle w:val="34"/>
            </w:pPr>
          </w:p>
        </w:tc>
        <w:tc>
          <w:tcPr>
            <w:tcW w:w="395" w:type="pct"/>
            <w:vMerge w:val="continue"/>
            <w:tcBorders>
              <w:tl2br w:val="nil"/>
              <w:tr2bl w:val="nil"/>
            </w:tcBorders>
            <w:vAlign w:val="center"/>
          </w:tcPr>
          <w:p>
            <w:pPr>
              <w:pStyle w:val="34"/>
            </w:pPr>
          </w:p>
        </w:tc>
        <w:tc>
          <w:tcPr>
            <w:tcW w:w="432" w:type="pct"/>
            <w:vMerge w:val="continue"/>
            <w:tcBorders>
              <w:tl2br w:val="nil"/>
              <w:tr2bl w:val="nil"/>
            </w:tcBorders>
            <w:vAlign w:val="center"/>
          </w:tcPr>
          <w:p>
            <w:pPr>
              <w:pStyle w:val="34"/>
            </w:pPr>
          </w:p>
        </w:tc>
        <w:tc>
          <w:tcPr>
            <w:tcW w:w="553" w:type="pct"/>
            <w:tcBorders>
              <w:tl2br w:val="nil"/>
              <w:tr2bl w:val="nil"/>
            </w:tcBorders>
            <w:vAlign w:val="center"/>
          </w:tcPr>
          <w:p>
            <w:pPr>
              <w:pStyle w:val="34"/>
            </w:pPr>
            <w:r>
              <w:t>排放浓度</w:t>
            </w:r>
          </w:p>
          <w:p>
            <w:pPr>
              <w:pStyle w:val="34"/>
            </w:pPr>
            <w:r>
              <w:t>（mg/m</w:t>
            </w:r>
            <w:r>
              <w:rPr>
                <w:vertAlign w:val="superscript"/>
              </w:rPr>
              <w:t>3</w:t>
            </w:r>
            <w:r>
              <w:t>）</w:t>
            </w:r>
          </w:p>
        </w:tc>
        <w:tc>
          <w:tcPr>
            <w:tcW w:w="423" w:type="pct"/>
            <w:tcBorders>
              <w:tl2br w:val="nil"/>
              <w:tr2bl w:val="nil"/>
            </w:tcBorders>
            <w:vAlign w:val="center"/>
          </w:tcPr>
          <w:p>
            <w:pPr>
              <w:pStyle w:val="34"/>
            </w:pPr>
            <w:r>
              <w:t>排放量（kg/h）</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restart"/>
            <w:tcBorders>
              <w:tl2br w:val="nil"/>
              <w:tr2bl w:val="nil"/>
            </w:tcBorders>
            <w:vAlign w:val="center"/>
          </w:tcPr>
          <w:p>
            <w:pPr>
              <w:pStyle w:val="34"/>
              <w:rPr>
                <w:bCs/>
              </w:rPr>
            </w:pPr>
            <w:r>
              <w:t>大气污染物</w:t>
            </w:r>
          </w:p>
        </w:tc>
        <w:tc>
          <w:tcPr>
            <w:tcW w:w="296" w:type="pct"/>
            <w:vMerge w:val="restart"/>
            <w:tcBorders>
              <w:tl2br w:val="nil"/>
              <w:tr2bl w:val="nil"/>
            </w:tcBorders>
            <w:vAlign w:val="center"/>
          </w:tcPr>
          <w:p>
            <w:pPr>
              <w:pStyle w:val="34"/>
            </w:pPr>
            <w:r>
              <w:rPr>
                <w:rFonts w:hint="eastAsia"/>
              </w:rPr>
              <w:t>成品</w:t>
            </w:r>
            <w:r>
              <w:t>生产车间</w:t>
            </w:r>
          </w:p>
        </w:tc>
        <w:tc>
          <w:tcPr>
            <w:tcW w:w="316" w:type="pct"/>
            <w:vMerge w:val="restart"/>
            <w:tcBorders>
              <w:tl2br w:val="nil"/>
              <w:tr2bl w:val="nil"/>
            </w:tcBorders>
            <w:vAlign w:val="center"/>
          </w:tcPr>
          <w:p>
            <w:pPr>
              <w:pStyle w:val="34"/>
            </w:pPr>
            <w:r>
              <w:t>造粒工序、滴灌带</w:t>
            </w:r>
            <w:r>
              <w:rPr>
                <w:rFonts w:hint="eastAsia"/>
              </w:rPr>
              <w:t>/水带</w:t>
            </w:r>
            <w:r>
              <w:t>生产工序</w:t>
            </w:r>
          </w:p>
        </w:tc>
        <w:tc>
          <w:tcPr>
            <w:tcW w:w="315" w:type="pct"/>
            <w:vMerge w:val="restart"/>
            <w:tcBorders>
              <w:tl2br w:val="nil"/>
              <w:tr2bl w:val="nil"/>
            </w:tcBorders>
            <w:vAlign w:val="center"/>
          </w:tcPr>
          <w:p>
            <w:pPr>
              <w:pStyle w:val="34"/>
            </w:pPr>
            <w:r>
              <w:t>非甲烷总烃</w:t>
            </w:r>
          </w:p>
        </w:tc>
        <w:tc>
          <w:tcPr>
            <w:tcW w:w="204" w:type="pct"/>
            <w:tcBorders>
              <w:tl2br w:val="nil"/>
              <w:tr2bl w:val="nil"/>
            </w:tcBorders>
            <w:vAlign w:val="center"/>
          </w:tcPr>
          <w:p>
            <w:pPr>
              <w:pStyle w:val="34"/>
            </w:pPr>
            <w:r>
              <w:t>有组织</w:t>
            </w:r>
            <w:r>
              <w:rPr>
                <w:bCs/>
              </w:rPr>
              <w:t>　</w:t>
            </w:r>
          </w:p>
        </w:tc>
        <w:tc>
          <w:tcPr>
            <w:tcW w:w="567" w:type="pct"/>
            <w:tcBorders>
              <w:tl2br w:val="nil"/>
              <w:tr2bl w:val="nil"/>
            </w:tcBorders>
            <w:vAlign w:val="center"/>
          </w:tcPr>
          <w:p>
            <w:pPr>
              <w:pStyle w:val="34"/>
            </w:pPr>
            <w:r>
              <w:t>废气经收集后通过1套“UV光氧催化设备+活性炭吸附装置”+1根15m高排气筒</w:t>
            </w:r>
          </w:p>
        </w:tc>
        <w:tc>
          <w:tcPr>
            <w:tcW w:w="521" w:type="pct"/>
            <w:tcBorders>
              <w:tl2br w:val="nil"/>
              <w:tr2bl w:val="nil"/>
            </w:tcBorders>
            <w:vAlign w:val="center"/>
          </w:tcPr>
          <w:p>
            <w:pPr>
              <w:pStyle w:val="34"/>
            </w:pPr>
            <w:r>
              <w:rPr>
                <w:rFonts w:hint="eastAsia"/>
              </w:rPr>
              <w:t>61</w:t>
            </w:r>
          </w:p>
        </w:tc>
        <w:tc>
          <w:tcPr>
            <w:tcW w:w="395" w:type="pct"/>
            <w:tcBorders>
              <w:tl2br w:val="nil"/>
              <w:tr2bl w:val="nil"/>
            </w:tcBorders>
            <w:vAlign w:val="center"/>
          </w:tcPr>
          <w:p>
            <w:pPr>
              <w:pStyle w:val="34"/>
            </w:pPr>
            <w:r>
              <w:rPr>
                <w:rFonts w:hint="eastAsia"/>
              </w:rPr>
              <w:t>5.25</w:t>
            </w:r>
          </w:p>
        </w:tc>
        <w:tc>
          <w:tcPr>
            <w:tcW w:w="432" w:type="pct"/>
            <w:tcBorders>
              <w:tl2br w:val="nil"/>
              <w:tr2bl w:val="nil"/>
            </w:tcBorders>
            <w:vAlign w:val="center"/>
          </w:tcPr>
          <w:p>
            <w:pPr>
              <w:pStyle w:val="34"/>
            </w:pPr>
            <w:r>
              <w:rPr>
                <w:rFonts w:hint="eastAsia"/>
              </w:rPr>
              <w:t>5.25</w:t>
            </w:r>
          </w:p>
        </w:tc>
        <w:tc>
          <w:tcPr>
            <w:tcW w:w="553" w:type="pct"/>
            <w:tcBorders>
              <w:tl2br w:val="nil"/>
              <w:tr2bl w:val="nil"/>
            </w:tcBorders>
            <w:vAlign w:val="center"/>
          </w:tcPr>
          <w:p>
            <w:pPr>
              <w:pStyle w:val="34"/>
            </w:pPr>
            <w:r>
              <w:t>100</w:t>
            </w:r>
          </w:p>
        </w:tc>
        <w:tc>
          <w:tcPr>
            <w:tcW w:w="423" w:type="pct"/>
            <w:tcBorders>
              <w:tl2br w:val="nil"/>
              <w:tr2bl w:val="nil"/>
            </w:tcBorders>
            <w:vAlign w:val="center"/>
          </w:tcPr>
          <w:p>
            <w:pPr>
              <w:pStyle w:val="34"/>
            </w:pPr>
            <w:r>
              <w:t>/</w:t>
            </w:r>
          </w:p>
        </w:tc>
        <w:tc>
          <w:tcPr>
            <w:tcW w:w="701" w:type="pct"/>
            <w:tcBorders>
              <w:tl2br w:val="nil"/>
              <w:tr2bl w:val="nil"/>
            </w:tcBorders>
            <w:vAlign w:val="center"/>
          </w:tcPr>
          <w:p>
            <w:pPr>
              <w:pStyle w:val="34"/>
              <w:rPr>
                <w:bCs/>
              </w:rPr>
            </w:pPr>
            <w:r>
              <w:rPr>
                <w:lang w:val="zh-CN"/>
              </w:rPr>
              <w:t>《合成树脂工业污染物排放标准》（GB 31572-2015，含2024年修改单）</w:t>
            </w:r>
            <w:r>
              <w:t>表4</w:t>
            </w:r>
            <w:r>
              <w:rPr>
                <w:bCs/>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continue"/>
            <w:tcBorders>
              <w:tl2br w:val="nil"/>
              <w:tr2bl w:val="nil"/>
            </w:tcBorders>
            <w:vAlign w:val="center"/>
          </w:tcPr>
          <w:p>
            <w:pPr>
              <w:pStyle w:val="34"/>
            </w:pPr>
          </w:p>
        </w:tc>
        <w:tc>
          <w:tcPr>
            <w:tcW w:w="296" w:type="pct"/>
            <w:vMerge w:val="continue"/>
            <w:tcBorders>
              <w:tl2br w:val="nil"/>
              <w:tr2bl w:val="nil"/>
            </w:tcBorders>
            <w:vAlign w:val="center"/>
          </w:tcPr>
          <w:p>
            <w:pPr>
              <w:pStyle w:val="34"/>
            </w:pPr>
          </w:p>
        </w:tc>
        <w:tc>
          <w:tcPr>
            <w:tcW w:w="316" w:type="pct"/>
            <w:vMerge w:val="continue"/>
            <w:tcBorders>
              <w:tl2br w:val="nil"/>
              <w:tr2bl w:val="nil"/>
            </w:tcBorders>
            <w:vAlign w:val="center"/>
          </w:tcPr>
          <w:p>
            <w:pPr>
              <w:pStyle w:val="34"/>
            </w:pPr>
          </w:p>
        </w:tc>
        <w:tc>
          <w:tcPr>
            <w:tcW w:w="315" w:type="pct"/>
            <w:vMerge w:val="continue"/>
            <w:tcBorders>
              <w:tl2br w:val="nil"/>
              <w:tr2bl w:val="nil"/>
            </w:tcBorders>
            <w:vAlign w:val="center"/>
          </w:tcPr>
          <w:p>
            <w:pPr>
              <w:pStyle w:val="34"/>
            </w:pPr>
          </w:p>
        </w:tc>
        <w:tc>
          <w:tcPr>
            <w:tcW w:w="204" w:type="pct"/>
            <w:tcBorders>
              <w:tl2br w:val="nil"/>
              <w:tr2bl w:val="nil"/>
            </w:tcBorders>
            <w:vAlign w:val="center"/>
          </w:tcPr>
          <w:p>
            <w:pPr>
              <w:pStyle w:val="34"/>
            </w:pPr>
            <w:r>
              <w:t>厂界无组织</w:t>
            </w:r>
          </w:p>
        </w:tc>
        <w:tc>
          <w:tcPr>
            <w:tcW w:w="567" w:type="pct"/>
            <w:tcBorders>
              <w:tl2br w:val="nil"/>
              <w:tr2bl w:val="nil"/>
            </w:tcBorders>
            <w:vAlign w:val="center"/>
          </w:tcPr>
          <w:p>
            <w:pPr>
              <w:pStyle w:val="34"/>
            </w:pPr>
            <w:r>
              <w:t>加强车间通风</w:t>
            </w: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rPr>
                <w:rFonts w:hint="eastAsia"/>
              </w:rPr>
              <w:t>0.925</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4.0</w:t>
            </w:r>
          </w:p>
        </w:tc>
        <w:tc>
          <w:tcPr>
            <w:tcW w:w="423" w:type="pct"/>
            <w:tcBorders>
              <w:tl2br w:val="nil"/>
              <w:tr2bl w:val="nil"/>
            </w:tcBorders>
            <w:vAlign w:val="center"/>
          </w:tcPr>
          <w:p>
            <w:pPr>
              <w:pStyle w:val="34"/>
            </w:pPr>
            <w:r>
              <w:t>/</w:t>
            </w:r>
          </w:p>
        </w:tc>
        <w:tc>
          <w:tcPr>
            <w:tcW w:w="701" w:type="pct"/>
            <w:tcBorders>
              <w:tl2br w:val="nil"/>
              <w:tr2bl w:val="nil"/>
            </w:tcBorders>
            <w:vAlign w:val="center"/>
          </w:tcPr>
          <w:p>
            <w:pPr>
              <w:pStyle w:val="34"/>
            </w:pPr>
            <w:r>
              <w:t xml:space="preserve">《合成树脂工业污染物排放标准》（GB 31572-2015，含2024年修改单）表9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continue"/>
            <w:tcBorders>
              <w:tl2br w:val="nil"/>
              <w:tr2bl w:val="nil"/>
            </w:tcBorders>
            <w:vAlign w:val="center"/>
          </w:tcPr>
          <w:p>
            <w:pPr>
              <w:pStyle w:val="34"/>
            </w:pPr>
          </w:p>
        </w:tc>
        <w:tc>
          <w:tcPr>
            <w:tcW w:w="296" w:type="pct"/>
            <w:vMerge w:val="continue"/>
            <w:tcBorders>
              <w:tl2br w:val="nil"/>
              <w:tr2bl w:val="nil"/>
            </w:tcBorders>
            <w:vAlign w:val="center"/>
          </w:tcPr>
          <w:p>
            <w:pPr>
              <w:pStyle w:val="34"/>
            </w:pPr>
          </w:p>
        </w:tc>
        <w:tc>
          <w:tcPr>
            <w:tcW w:w="316" w:type="pct"/>
            <w:vMerge w:val="continue"/>
            <w:tcBorders>
              <w:tl2br w:val="nil"/>
              <w:tr2bl w:val="nil"/>
            </w:tcBorders>
            <w:vAlign w:val="center"/>
          </w:tcPr>
          <w:p>
            <w:pPr>
              <w:pStyle w:val="34"/>
            </w:pPr>
          </w:p>
        </w:tc>
        <w:tc>
          <w:tcPr>
            <w:tcW w:w="315" w:type="pct"/>
            <w:vMerge w:val="continue"/>
            <w:tcBorders>
              <w:tl2br w:val="nil"/>
              <w:tr2bl w:val="nil"/>
            </w:tcBorders>
            <w:vAlign w:val="center"/>
          </w:tcPr>
          <w:p>
            <w:pPr>
              <w:pStyle w:val="34"/>
            </w:pPr>
          </w:p>
        </w:tc>
        <w:tc>
          <w:tcPr>
            <w:tcW w:w="204" w:type="pct"/>
            <w:tcBorders>
              <w:tl2br w:val="nil"/>
              <w:tr2bl w:val="nil"/>
            </w:tcBorders>
            <w:vAlign w:val="center"/>
          </w:tcPr>
          <w:p>
            <w:pPr>
              <w:pStyle w:val="34"/>
            </w:pPr>
            <w:r>
              <w:t>厂房外</w:t>
            </w:r>
          </w:p>
        </w:tc>
        <w:tc>
          <w:tcPr>
            <w:tcW w:w="567" w:type="pct"/>
            <w:tcBorders>
              <w:tl2br w:val="nil"/>
              <w:tr2bl w:val="nil"/>
            </w:tcBorders>
            <w:vAlign w:val="center"/>
          </w:tcPr>
          <w:p>
            <w:pPr>
              <w:pStyle w:val="34"/>
            </w:pPr>
            <w:r>
              <w:t>/</w:t>
            </w: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t>/</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1h平均值≤</w:t>
            </w:r>
            <w:r>
              <w:rPr>
                <w:rFonts w:hint="eastAsia"/>
              </w:rPr>
              <w:t>10</w:t>
            </w:r>
            <w:r>
              <w:t>mg/m</w:t>
            </w:r>
            <w:r>
              <w:rPr>
                <w:vertAlign w:val="superscript"/>
              </w:rPr>
              <w:t>3</w:t>
            </w:r>
            <w:r>
              <w:t>；任意一次值≤</w:t>
            </w:r>
            <w:r>
              <w:rPr>
                <w:rFonts w:hint="eastAsia"/>
              </w:rPr>
              <w:t>30</w:t>
            </w:r>
            <w:r>
              <w:t>mg/m</w:t>
            </w:r>
            <w:r>
              <w:rPr>
                <w:vertAlign w:val="superscript"/>
              </w:rPr>
              <w:t>3</w:t>
            </w:r>
          </w:p>
        </w:tc>
        <w:tc>
          <w:tcPr>
            <w:tcW w:w="423" w:type="pct"/>
            <w:tcBorders>
              <w:tl2br w:val="nil"/>
              <w:tr2bl w:val="nil"/>
            </w:tcBorders>
            <w:vAlign w:val="center"/>
          </w:tcPr>
          <w:p>
            <w:pPr>
              <w:pStyle w:val="34"/>
            </w:pPr>
            <w:r>
              <w:t>/</w:t>
            </w:r>
          </w:p>
        </w:tc>
        <w:tc>
          <w:tcPr>
            <w:tcW w:w="701" w:type="pct"/>
            <w:tcBorders>
              <w:tl2br w:val="nil"/>
              <w:tr2bl w:val="nil"/>
            </w:tcBorders>
            <w:vAlign w:val="center"/>
          </w:tcPr>
          <w:p>
            <w:pPr>
              <w:pStyle w:val="34"/>
            </w:pPr>
            <w:r>
              <w:t>《挥发性有机物无组织排放控制标准》（GB37822-2019）</w:t>
            </w:r>
            <w:r>
              <w:rPr>
                <w:rFonts w:hint="eastAsia"/>
              </w:rPr>
              <w:t>表A.1厂区内VOCs无组织排放限值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5000" w:type="pct"/>
            <w:gridSpan w:val="12"/>
            <w:tcBorders>
              <w:tl2br w:val="nil"/>
              <w:tr2bl w:val="nil"/>
            </w:tcBorders>
            <w:vAlign w:val="center"/>
          </w:tcPr>
          <w:p>
            <w:pPr>
              <w:pStyle w:val="34"/>
            </w:pPr>
            <w:r>
              <w:t>　废气总量控制指标 ：VOC</w:t>
            </w:r>
            <w:r>
              <w:rPr>
                <w:vertAlign w:val="subscript"/>
              </w:rPr>
              <w:t>S</w:t>
            </w:r>
            <w:r>
              <w:t>（以非甲烷总烃计）：</w:t>
            </w:r>
            <w:r>
              <w:rPr>
                <w:rFonts w:hint="eastAsia"/>
                <w:lang w:val="en-US" w:eastAsia="zh-CN"/>
              </w:rPr>
              <w:t>5.25</w:t>
            </w:r>
            <w:r>
              <w:rPr>
                <w:rFonts w:hint="eastAsia"/>
              </w:rPr>
              <w:t>t</w:t>
            </w:r>
            <w: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77" w:type="pct"/>
            <w:vMerge w:val="restart"/>
            <w:tcBorders>
              <w:tl2br w:val="nil"/>
              <w:tr2bl w:val="nil"/>
            </w:tcBorders>
            <w:vAlign w:val="center"/>
          </w:tcPr>
          <w:p>
            <w:pPr>
              <w:pStyle w:val="34"/>
              <w:rPr>
                <w:bCs/>
              </w:rPr>
            </w:pPr>
            <w:r>
              <w:t>水污 染物　</w:t>
            </w:r>
          </w:p>
        </w:tc>
        <w:tc>
          <w:tcPr>
            <w:tcW w:w="296" w:type="pct"/>
            <w:vMerge w:val="restart"/>
            <w:tcBorders>
              <w:tl2br w:val="nil"/>
              <w:tr2bl w:val="nil"/>
            </w:tcBorders>
            <w:vAlign w:val="center"/>
          </w:tcPr>
          <w:p>
            <w:pPr>
              <w:pStyle w:val="34"/>
            </w:pPr>
            <w:r>
              <w:t>办公</w:t>
            </w:r>
          </w:p>
          <w:p>
            <w:pPr>
              <w:pStyle w:val="34"/>
            </w:pPr>
            <w:r>
              <w:t>生活</w:t>
            </w:r>
          </w:p>
        </w:tc>
        <w:tc>
          <w:tcPr>
            <w:tcW w:w="316" w:type="pct"/>
            <w:vMerge w:val="restart"/>
            <w:tcBorders>
              <w:tl2br w:val="nil"/>
              <w:tr2bl w:val="nil"/>
            </w:tcBorders>
            <w:vAlign w:val="center"/>
          </w:tcPr>
          <w:p>
            <w:pPr>
              <w:pStyle w:val="34"/>
            </w:pPr>
            <w:r>
              <w:t>生活</w:t>
            </w:r>
          </w:p>
          <w:p>
            <w:pPr>
              <w:pStyle w:val="34"/>
            </w:pPr>
            <w:r>
              <w:t>污水</w:t>
            </w:r>
          </w:p>
        </w:tc>
        <w:tc>
          <w:tcPr>
            <w:tcW w:w="315" w:type="pct"/>
            <w:tcBorders>
              <w:tl2br w:val="nil"/>
              <w:tr2bl w:val="nil"/>
            </w:tcBorders>
            <w:vAlign w:val="center"/>
          </w:tcPr>
          <w:p>
            <w:pPr>
              <w:pStyle w:val="34"/>
            </w:pPr>
            <w:r>
              <w:t>CODcr</w:t>
            </w:r>
          </w:p>
        </w:tc>
        <w:tc>
          <w:tcPr>
            <w:tcW w:w="204" w:type="pct"/>
            <w:vMerge w:val="restart"/>
            <w:tcBorders>
              <w:tl2br w:val="nil"/>
              <w:tr2bl w:val="nil"/>
            </w:tcBorders>
            <w:vAlign w:val="center"/>
          </w:tcPr>
          <w:p>
            <w:pPr>
              <w:pStyle w:val="34"/>
              <w:rPr>
                <w:bCs/>
              </w:rPr>
            </w:pPr>
            <w:r>
              <w:t>间接排放　</w:t>
            </w:r>
          </w:p>
        </w:tc>
        <w:tc>
          <w:tcPr>
            <w:tcW w:w="567" w:type="pct"/>
            <w:vMerge w:val="restart"/>
            <w:tcBorders>
              <w:tl2br w:val="nil"/>
              <w:tr2bl w:val="nil"/>
            </w:tcBorders>
            <w:vAlign w:val="center"/>
          </w:tcPr>
          <w:p>
            <w:pPr>
              <w:pStyle w:val="34"/>
            </w:pPr>
            <w:r>
              <w:rPr>
                <w:lang w:val="zh-CN"/>
              </w:rPr>
              <w:t>定期由环卫</w:t>
            </w:r>
            <w:r>
              <w:rPr>
                <w:rFonts w:hint="eastAsia"/>
                <w:lang w:val="zh-CN"/>
              </w:rPr>
              <w:t>部门</w:t>
            </w:r>
            <w:r>
              <w:rPr>
                <w:lang w:val="zh-CN"/>
              </w:rPr>
              <w:t>拉运处理</w:t>
            </w:r>
          </w:p>
        </w:tc>
        <w:tc>
          <w:tcPr>
            <w:tcW w:w="521" w:type="pct"/>
            <w:tcBorders>
              <w:tl2br w:val="nil"/>
              <w:tr2bl w:val="nil"/>
            </w:tcBorders>
            <w:vAlign w:val="center"/>
          </w:tcPr>
          <w:p>
            <w:pPr>
              <w:pStyle w:val="34"/>
            </w:pPr>
            <w:r>
              <w:t>300</w:t>
            </w:r>
          </w:p>
        </w:tc>
        <w:tc>
          <w:tcPr>
            <w:tcW w:w="395" w:type="pct"/>
            <w:tcBorders>
              <w:tl2br w:val="nil"/>
              <w:tr2bl w:val="nil"/>
            </w:tcBorders>
            <w:vAlign w:val="center"/>
          </w:tcPr>
          <w:p>
            <w:pPr>
              <w:pStyle w:val="34"/>
            </w:pPr>
            <w:r>
              <w:t>0.1</w:t>
            </w:r>
            <w:r>
              <w:rPr>
                <w:rFonts w:hint="eastAsia"/>
              </w:rPr>
              <w:t>3</w:t>
            </w:r>
          </w:p>
        </w:tc>
        <w:tc>
          <w:tcPr>
            <w:tcW w:w="432" w:type="pct"/>
            <w:tcBorders>
              <w:tl2br w:val="nil"/>
              <w:tr2bl w:val="nil"/>
            </w:tcBorders>
            <w:vAlign w:val="center"/>
          </w:tcPr>
          <w:p>
            <w:pPr>
              <w:pStyle w:val="34"/>
            </w:pPr>
            <w:r>
              <w:t>0</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restart"/>
            <w:tcBorders>
              <w:tl2br w:val="nil"/>
              <w:tr2bl w:val="nil"/>
            </w:tcBorders>
            <w:vAlign w:val="center"/>
          </w:tcPr>
          <w:p>
            <w:pPr>
              <w:pStyle w:val="34"/>
            </w:pPr>
            <w:r>
              <w:t>《污水综合排放标准》（GB8978-1996）表4三级标准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2" w:hRule="atLeast"/>
          <w:jc w:val="center"/>
        </w:trPr>
        <w:tc>
          <w:tcPr>
            <w:tcW w:w="277" w:type="pct"/>
            <w:vMerge w:val="continue"/>
            <w:tcBorders>
              <w:tl2br w:val="nil"/>
              <w:tr2bl w:val="nil"/>
            </w:tcBorders>
            <w:vAlign w:val="center"/>
          </w:tcPr>
          <w:p>
            <w:pPr>
              <w:pStyle w:val="34"/>
            </w:pPr>
          </w:p>
        </w:tc>
        <w:tc>
          <w:tcPr>
            <w:tcW w:w="296" w:type="pct"/>
            <w:vMerge w:val="continue"/>
            <w:tcBorders>
              <w:tl2br w:val="nil"/>
              <w:tr2bl w:val="nil"/>
            </w:tcBorders>
            <w:vAlign w:val="center"/>
          </w:tcPr>
          <w:p>
            <w:pPr>
              <w:pStyle w:val="34"/>
            </w:pPr>
          </w:p>
        </w:tc>
        <w:tc>
          <w:tcPr>
            <w:tcW w:w="316" w:type="pct"/>
            <w:vMerge w:val="continue"/>
            <w:tcBorders>
              <w:tl2br w:val="nil"/>
              <w:tr2bl w:val="nil"/>
            </w:tcBorders>
            <w:vAlign w:val="center"/>
          </w:tcPr>
          <w:p>
            <w:pPr>
              <w:pStyle w:val="34"/>
            </w:pPr>
          </w:p>
        </w:tc>
        <w:tc>
          <w:tcPr>
            <w:tcW w:w="315" w:type="pct"/>
            <w:tcBorders>
              <w:tl2br w:val="nil"/>
              <w:tr2bl w:val="nil"/>
            </w:tcBorders>
            <w:vAlign w:val="center"/>
          </w:tcPr>
          <w:p>
            <w:pPr>
              <w:pStyle w:val="34"/>
            </w:pPr>
            <w:r>
              <w:t>BOD</w:t>
            </w:r>
            <w:r>
              <w:rPr>
                <w:vertAlign w:val="subscript"/>
              </w:rPr>
              <w:t>5</w:t>
            </w:r>
          </w:p>
        </w:tc>
        <w:tc>
          <w:tcPr>
            <w:tcW w:w="204" w:type="pct"/>
            <w:vMerge w:val="continue"/>
            <w:tcBorders>
              <w:tl2br w:val="nil"/>
              <w:tr2bl w:val="nil"/>
            </w:tcBorders>
            <w:vAlign w:val="center"/>
          </w:tcPr>
          <w:p>
            <w:pPr>
              <w:pStyle w:val="34"/>
            </w:pPr>
          </w:p>
        </w:tc>
        <w:tc>
          <w:tcPr>
            <w:tcW w:w="567" w:type="pct"/>
            <w:vMerge w:val="continue"/>
            <w:tcBorders>
              <w:tl2br w:val="nil"/>
              <w:tr2bl w:val="nil"/>
            </w:tcBorders>
            <w:vAlign w:val="center"/>
          </w:tcPr>
          <w:p>
            <w:pPr>
              <w:pStyle w:val="34"/>
            </w:pPr>
          </w:p>
        </w:tc>
        <w:tc>
          <w:tcPr>
            <w:tcW w:w="521" w:type="pct"/>
            <w:tcBorders>
              <w:tl2br w:val="nil"/>
              <w:tr2bl w:val="nil"/>
            </w:tcBorders>
            <w:vAlign w:val="center"/>
          </w:tcPr>
          <w:p>
            <w:pPr>
              <w:pStyle w:val="34"/>
            </w:pPr>
            <w:r>
              <w:t>200</w:t>
            </w:r>
          </w:p>
        </w:tc>
        <w:tc>
          <w:tcPr>
            <w:tcW w:w="395" w:type="pct"/>
            <w:tcBorders>
              <w:tl2br w:val="nil"/>
              <w:tr2bl w:val="nil"/>
            </w:tcBorders>
            <w:vAlign w:val="center"/>
          </w:tcPr>
          <w:p>
            <w:pPr>
              <w:pStyle w:val="34"/>
            </w:pPr>
            <w:r>
              <w:t>0.0</w:t>
            </w:r>
            <w:r>
              <w:rPr>
                <w:rFonts w:hint="eastAsia"/>
              </w:rPr>
              <w:t>9</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77" w:type="pct"/>
            <w:vMerge w:val="continue"/>
            <w:tcBorders>
              <w:tl2br w:val="nil"/>
              <w:tr2bl w:val="nil"/>
            </w:tcBorders>
            <w:vAlign w:val="center"/>
          </w:tcPr>
          <w:p>
            <w:pPr>
              <w:pStyle w:val="34"/>
            </w:pPr>
          </w:p>
        </w:tc>
        <w:tc>
          <w:tcPr>
            <w:tcW w:w="296" w:type="pct"/>
            <w:vMerge w:val="continue"/>
            <w:tcBorders>
              <w:tl2br w:val="nil"/>
              <w:tr2bl w:val="nil"/>
            </w:tcBorders>
            <w:vAlign w:val="center"/>
          </w:tcPr>
          <w:p>
            <w:pPr>
              <w:pStyle w:val="34"/>
            </w:pPr>
          </w:p>
        </w:tc>
        <w:tc>
          <w:tcPr>
            <w:tcW w:w="316" w:type="pct"/>
            <w:vMerge w:val="continue"/>
            <w:tcBorders>
              <w:tl2br w:val="nil"/>
              <w:tr2bl w:val="nil"/>
            </w:tcBorders>
            <w:vAlign w:val="center"/>
          </w:tcPr>
          <w:p>
            <w:pPr>
              <w:pStyle w:val="34"/>
            </w:pPr>
          </w:p>
        </w:tc>
        <w:tc>
          <w:tcPr>
            <w:tcW w:w="315" w:type="pct"/>
            <w:tcBorders>
              <w:tl2br w:val="nil"/>
              <w:tr2bl w:val="nil"/>
            </w:tcBorders>
            <w:vAlign w:val="center"/>
          </w:tcPr>
          <w:p>
            <w:pPr>
              <w:pStyle w:val="34"/>
            </w:pPr>
            <w:r>
              <w:t>NH</w:t>
            </w:r>
            <w:r>
              <w:rPr>
                <w:vertAlign w:val="subscript"/>
              </w:rPr>
              <w:t>3</w:t>
            </w:r>
            <w:r>
              <w:t>-N</w:t>
            </w:r>
          </w:p>
        </w:tc>
        <w:tc>
          <w:tcPr>
            <w:tcW w:w="204" w:type="pct"/>
            <w:vMerge w:val="continue"/>
            <w:tcBorders>
              <w:tl2br w:val="nil"/>
              <w:tr2bl w:val="nil"/>
            </w:tcBorders>
            <w:vAlign w:val="center"/>
          </w:tcPr>
          <w:p>
            <w:pPr>
              <w:pStyle w:val="34"/>
            </w:pPr>
          </w:p>
        </w:tc>
        <w:tc>
          <w:tcPr>
            <w:tcW w:w="567" w:type="pct"/>
            <w:vMerge w:val="continue"/>
            <w:tcBorders>
              <w:tl2br w:val="nil"/>
              <w:tr2bl w:val="nil"/>
            </w:tcBorders>
            <w:vAlign w:val="center"/>
          </w:tcPr>
          <w:p>
            <w:pPr>
              <w:pStyle w:val="34"/>
            </w:pPr>
          </w:p>
        </w:tc>
        <w:tc>
          <w:tcPr>
            <w:tcW w:w="521" w:type="pct"/>
            <w:tcBorders>
              <w:tl2br w:val="nil"/>
              <w:tr2bl w:val="nil"/>
            </w:tcBorders>
            <w:vAlign w:val="center"/>
          </w:tcPr>
          <w:p>
            <w:pPr>
              <w:pStyle w:val="34"/>
            </w:pPr>
            <w:r>
              <w:t>150</w:t>
            </w:r>
          </w:p>
        </w:tc>
        <w:tc>
          <w:tcPr>
            <w:tcW w:w="395" w:type="pct"/>
            <w:tcBorders>
              <w:tl2br w:val="nil"/>
              <w:tr2bl w:val="nil"/>
            </w:tcBorders>
            <w:vAlign w:val="center"/>
          </w:tcPr>
          <w:p>
            <w:pPr>
              <w:pStyle w:val="34"/>
            </w:pPr>
            <w:r>
              <w:t>0.01</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77" w:type="pct"/>
            <w:vMerge w:val="continue"/>
            <w:tcBorders>
              <w:tl2br w:val="nil"/>
              <w:tr2bl w:val="nil"/>
            </w:tcBorders>
            <w:vAlign w:val="center"/>
          </w:tcPr>
          <w:p>
            <w:pPr>
              <w:pStyle w:val="34"/>
            </w:pPr>
          </w:p>
        </w:tc>
        <w:tc>
          <w:tcPr>
            <w:tcW w:w="296" w:type="pct"/>
            <w:vMerge w:val="continue"/>
            <w:tcBorders>
              <w:tl2br w:val="nil"/>
              <w:tr2bl w:val="nil"/>
            </w:tcBorders>
            <w:vAlign w:val="center"/>
          </w:tcPr>
          <w:p>
            <w:pPr>
              <w:pStyle w:val="34"/>
            </w:pPr>
          </w:p>
        </w:tc>
        <w:tc>
          <w:tcPr>
            <w:tcW w:w="316" w:type="pct"/>
            <w:vMerge w:val="continue"/>
            <w:tcBorders>
              <w:tl2br w:val="nil"/>
              <w:tr2bl w:val="nil"/>
            </w:tcBorders>
            <w:vAlign w:val="center"/>
          </w:tcPr>
          <w:p>
            <w:pPr>
              <w:pStyle w:val="34"/>
            </w:pPr>
          </w:p>
        </w:tc>
        <w:tc>
          <w:tcPr>
            <w:tcW w:w="315" w:type="pct"/>
            <w:tcBorders>
              <w:tl2br w:val="nil"/>
              <w:tr2bl w:val="nil"/>
            </w:tcBorders>
            <w:vAlign w:val="center"/>
          </w:tcPr>
          <w:p>
            <w:pPr>
              <w:pStyle w:val="34"/>
            </w:pPr>
            <w:r>
              <w:t>SS</w:t>
            </w:r>
          </w:p>
        </w:tc>
        <w:tc>
          <w:tcPr>
            <w:tcW w:w="204" w:type="pct"/>
            <w:vMerge w:val="continue"/>
            <w:tcBorders>
              <w:tl2br w:val="nil"/>
              <w:tr2bl w:val="nil"/>
            </w:tcBorders>
            <w:vAlign w:val="center"/>
          </w:tcPr>
          <w:p>
            <w:pPr>
              <w:pStyle w:val="34"/>
            </w:pPr>
          </w:p>
        </w:tc>
        <w:tc>
          <w:tcPr>
            <w:tcW w:w="567" w:type="pct"/>
            <w:vMerge w:val="continue"/>
            <w:tcBorders>
              <w:tl2br w:val="nil"/>
              <w:tr2bl w:val="nil"/>
            </w:tcBorders>
            <w:vAlign w:val="center"/>
          </w:tcPr>
          <w:p>
            <w:pPr>
              <w:pStyle w:val="34"/>
            </w:pPr>
          </w:p>
        </w:tc>
        <w:tc>
          <w:tcPr>
            <w:tcW w:w="521" w:type="pct"/>
            <w:tcBorders>
              <w:tl2br w:val="nil"/>
              <w:tr2bl w:val="nil"/>
            </w:tcBorders>
            <w:vAlign w:val="center"/>
          </w:tcPr>
          <w:p>
            <w:pPr>
              <w:pStyle w:val="34"/>
            </w:pPr>
            <w:r>
              <w:t>30</w:t>
            </w:r>
          </w:p>
        </w:tc>
        <w:tc>
          <w:tcPr>
            <w:tcW w:w="395" w:type="pct"/>
            <w:tcBorders>
              <w:tl2br w:val="nil"/>
              <w:tr2bl w:val="nil"/>
            </w:tcBorders>
            <w:vAlign w:val="center"/>
          </w:tcPr>
          <w:p>
            <w:pPr>
              <w:pStyle w:val="34"/>
            </w:pPr>
            <w:r>
              <w:t>0.06</w:t>
            </w:r>
          </w:p>
        </w:tc>
        <w:tc>
          <w:tcPr>
            <w:tcW w:w="432" w:type="pct"/>
            <w:tcBorders>
              <w:tl2br w:val="nil"/>
              <w:tr2bl w:val="nil"/>
            </w:tcBorders>
            <w:vAlign w:val="center"/>
          </w:tcPr>
          <w:p>
            <w:pPr>
              <w:pStyle w:val="34"/>
            </w:pPr>
            <w:r>
              <w:t>0</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continue"/>
            <w:tcBorders>
              <w:tl2br w:val="nil"/>
              <w:tr2bl w:val="nil"/>
            </w:tcBorders>
            <w:vAlign w:val="center"/>
          </w:tcPr>
          <w:p>
            <w:pPr>
              <w:pStyle w:val="34"/>
            </w:pPr>
          </w:p>
        </w:tc>
        <w:tc>
          <w:tcPr>
            <w:tcW w:w="296" w:type="pct"/>
            <w:tcBorders>
              <w:tl2br w:val="nil"/>
              <w:tr2bl w:val="nil"/>
            </w:tcBorders>
            <w:vAlign w:val="center"/>
          </w:tcPr>
          <w:p>
            <w:pPr>
              <w:pStyle w:val="34"/>
            </w:pPr>
            <w:r>
              <w:t>生产区</w:t>
            </w:r>
          </w:p>
        </w:tc>
        <w:tc>
          <w:tcPr>
            <w:tcW w:w="316" w:type="pct"/>
            <w:tcBorders>
              <w:tl2br w:val="nil"/>
              <w:tr2bl w:val="nil"/>
            </w:tcBorders>
            <w:vAlign w:val="center"/>
          </w:tcPr>
          <w:p>
            <w:pPr>
              <w:pStyle w:val="34"/>
            </w:pPr>
            <w:r>
              <w:t>清洗废水</w:t>
            </w:r>
          </w:p>
        </w:tc>
        <w:tc>
          <w:tcPr>
            <w:tcW w:w="315" w:type="pct"/>
            <w:tcBorders>
              <w:tl2br w:val="nil"/>
              <w:tr2bl w:val="nil"/>
            </w:tcBorders>
            <w:vAlign w:val="center"/>
          </w:tcPr>
          <w:p>
            <w:pPr>
              <w:pStyle w:val="34"/>
            </w:pPr>
            <w:r>
              <w:t>SS</w:t>
            </w:r>
          </w:p>
        </w:tc>
        <w:tc>
          <w:tcPr>
            <w:tcW w:w="204" w:type="pct"/>
            <w:tcBorders>
              <w:tl2br w:val="nil"/>
              <w:tr2bl w:val="nil"/>
            </w:tcBorders>
            <w:vAlign w:val="center"/>
          </w:tcPr>
          <w:p>
            <w:pPr>
              <w:pStyle w:val="34"/>
            </w:pPr>
            <w:r>
              <w:t>不排放</w:t>
            </w:r>
          </w:p>
        </w:tc>
        <w:tc>
          <w:tcPr>
            <w:tcW w:w="567" w:type="pct"/>
            <w:tcBorders>
              <w:tl2br w:val="nil"/>
              <w:tr2bl w:val="nil"/>
            </w:tcBorders>
            <w:vAlign w:val="center"/>
          </w:tcPr>
          <w:p>
            <w:pPr>
              <w:pStyle w:val="34"/>
            </w:pPr>
            <w:r>
              <w:t>循环沉淀池处理并回用</w:t>
            </w:r>
          </w:p>
        </w:tc>
        <w:tc>
          <w:tcPr>
            <w:tcW w:w="521" w:type="pct"/>
            <w:tcBorders>
              <w:tl2br w:val="nil"/>
              <w:tr2bl w:val="nil"/>
            </w:tcBorders>
            <w:vAlign w:val="center"/>
          </w:tcPr>
          <w:p>
            <w:pPr>
              <w:pStyle w:val="34"/>
              <w:rPr>
                <w:snapToGrid w:val="0"/>
              </w:rPr>
            </w:pPr>
            <w:r>
              <w:rPr>
                <w:snapToGrid w:val="0"/>
              </w:rPr>
              <w:t>/</w:t>
            </w:r>
          </w:p>
        </w:tc>
        <w:tc>
          <w:tcPr>
            <w:tcW w:w="395" w:type="pct"/>
            <w:tcBorders>
              <w:tl2br w:val="nil"/>
              <w:tr2bl w:val="nil"/>
            </w:tcBorders>
            <w:vAlign w:val="center"/>
          </w:tcPr>
          <w:p>
            <w:pPr>
              <w:pStyle w:val="34"/>
            </w:pPr>
            <w:r>
              <w:t>/</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000" w:type="pct"/>
            <w:gridSpan w:val="12"/>
            <w:tcBorders>
              <w:tl2br w:val="nil"/>
              <w:tr2bl w:val="nil"/>
            </w:tcBorders>
            <w:vAlign w:val="center"/>
          </w:tcPr>
          <w:p>
            <w:pPr>
              <w:pStyle w:val="34"/>
            </w:pPr>
            <w:r>
              <w:t>　废水总量控制指标：无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restart"/>
            <w:tcBorders>
              <w:tl2br w:val="nil"/>
              <w:tr2bl w:val="nil"/>
            </w:tcBorders>
            <w:vAlign w:val="center"/>
          </w:tcPr>
          <w:p>
            <w:pPr>
              <w:pStyle w:val="34"/>
            </w:pPr>
            <w:r>
              <w:t>固体废物</w:t>
            </w:r>
          </w:p>
        </w:tc>
        <w:tc>
          <w:tcPr>
            <w:tcW w:w="612" w:type="pct"/>
            <w:gridSpan w:val="2"/>
            <w:tcBorders>
              <w:tl2br w:val="nil"/>
              <w:tr2bl w:val="nil"/>
            </w:tcBorders>
            <w:vAlign w:val="center"/>
          </w:tcPr>
          <w:p>
            <w:pPr>
              <w:pStyle w:val="34"/>
            </w:pPr>
            <w:r>
              <w:rPr>
                <w:snapToGrid w:val="0"/>
              </w:rPr>
              <w:t>办公生活</w:t>
            </w:r>
          </w:p>
        </w:tc>
        <w:tc>
          <w:tcPr>
            <w:tcW w:w="315" w:type="pct"/>
            <w:tcBorders>
              <w:tl2br w:val="nil"/>
              <w:tr2bl w:val="nil"/>
            </w:tcBorders>
            <w:vAlign w:val="center"/>
          </w:tcPr>
          <w:p>
            <w:pPr>
              <w:pStyle w:val="34"/>
            </w:pPr>
            <w:r>
              <w:t>生活</w:t>
            </w:r>
          </w:p>
          <w:p>
            <w:pPr>
              <w:pStyle w:val="34"/>
            </w:pPr>
            <w:r>
              <w:t>垃圾</w:t>
            </w:r>
          </w:p>
        </w:tc>
        <w:tc>
          <w:tcPr>
            <w:tcW w:w="204" w:type="pct"/>
            <w:tcBorders>
              <w:tl2br w:val="nil"/>
              <w:tr2bl w:val="nil"/>
            </w:tcBorders>
            <w:vAlign w:val="center"/>
          </w:tcPr>
          <w:p>
            <w:pPr>
              <w:pStyle w:val="34"/>
            </w:pPr>
            <w:r>
              <w:t>生活垃圾</w:t>
            </w:r>
          </w:p>
        </w:tc>
        <w:tc>
          <w:tcPr>
            <w:tcW w:w="567" w:type="pct"/>
            <w:tcBorders>
              <w:tl2br w:val="nil"/>
              <w:tr2bl w:val="nil"/>
            </w:tcBorders>
            <w:vAlign w:val="center"/>
          </w:tcPr>
          <w:p>
            <w:pPr>
              <w:pStyle w:val="34"/>
              <w:rPr>
                <w:spacing w:val="-6"/>
              </w:rPr>
            </w:pPr>
            <w:r>
              <w:rPr>
                <w:snapToGrid w:val="0"/>
                <w:spacing w:val="-6"/>
              </w:rPr>
              <w:t>生活垃圾集中收集后交由当地环卫部门处置</w:t>
            </w: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rPr>
                <w:rFonts w:hint="eastAsia"/>
              </w:rPr>
              <w:t>5.4</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restart"/>
            <w:tcBorders>
              <w:tl2br w:val="nil"/>
              <w:tr2bl w:val="nil"/>
            </w:tcBorders>
            <w:vAlign w:val="center"/>
          </w:tcPr>
          <w:p>
            <w:pPr>
              <w:pStyle w:val="34"/>
            </w:pPr>
            <w:r>
              <w:t>《一般工业固体废物贮存及填埋污染控制标准》（GB18599-2020）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20" w:hRule="atLeast"/>
          <w:jc w:val="center"/>
        </w:trPr>
        <w:tc>
          <w:tcPr>
            <w:tcW w:w="277" w:type="pct"/>
            <w:vMerge w:val="continue"/>
            <w:tcBorders>
              <w:tl2br w:val="nil"/>
              <w:tr2bl w:val="nil"/>
            </w:tcBorders>
            <w:vAlign w:val="center"/>
          </w:tcPr>
          <w:p>
            <w:pPr>
              <w:pStyle w:val="34"/>
            </w:pPr>
          </w:p>
        </w:tc>
        <w:tc>
          <w:tcPr>
            <w:tcW w:w="612" w:type="pct"/>
            <w:gridSpan w:val="2"/>
            <w:vMerge w:val="restart"/>
            <w:tcBorders>
              <w:tl2br w:val="nil"/>
              <w:tr2bl w:val="nil"/>
            </w:tcBorders>
            <w:vAlign w:val="center"/>
          </w:tcPr>
          <w:p>
            <w:pPr>
              <w:pStyle w:val="34"/>
              <w:rPr>
                <w:snapToGrid w:val="0"/>
              </w:rPr>
            </w:pPr>
            <w:r>
              <w:rPr>
                <w:snapToGrid w:val="0"/>
              </w:rPr>
              <w:t>生产车间</w:t>
            </w:r>
          </w:p>
        </w:tc>
        <w:tc>
          <w:tcPr>
            <w:tcW w:w="315" w:type="pct"/>
            <w:tcBorders>
              <w:tl2br w:val="nil"/>
              <w:tr2bl w:val="nil"/>
            </w:tcBorders>
            <w:vAlign w:val="center"/>
          </w:tcPr>
          <w:p>
            <w:pPr>
              <w:pStyle w:val="34"/>
            </w:pPr>
            <w:r>
              <w:t>污泥</w:t>
            </w:r>
          </w:p>
        </w:tc>
        <w:tc>
          <w:tcPr>
            <w:tcW w:w="204" w:type="pct"/>
            <w:tcBorders>
              <w:tl2br w:val="nil"/>
              <w:tr2bl w:val="nil"/>
            </w:tcBorders>
            <w:vAlign w:val="center"/>
          </w:tcPr>
          <w:p>
            <w:pPr>
              <w:pStyle w:val="34"/>
            </w:pPr>
            <w:r>
              <w:t>一般固废</w:t>
            </w:r>
          </w:p>
        </w:tc>
        <w:tc>
          <w:tcPr>
            <w:tcW w:w="567" w:type="pct"/>
            <w:tcBorders>
              <w:tl2br w:val="nil"/>
              <w:tr2bl w:val="nil"/>
            </w:tcBorders>
            <w:vAlign w:val="center"/>
          </w:tcPr>
          <w:p>
            <w:pPr>
              <w:pStyle w:val="34"/>
              <w:rPr>
                <w:snapToGrid w:val="0"/>
                <w:spacing w:val="-6"/>
              </w:rPr>
            </w:pPr>
            <w:r>
              <w:rPr>
                <w:snapToGrid w:val="0"/>
                <w:spacing w:val="-6"/>
              </w:rPr>
              <w:t>自然干化后交由环卫部门处置</w:t>
            </w: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rPr>
                <w:rFonts w:hint="eastAsia"/>
              </w:rPr>
              <w:t>10.25</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continue"/>
            <w:tcBorders>
              <w:tl2br w:val="nil"/>
              <w:tr2bl w:val="nil"/>
            </w:tcBorders>
            <w:vAlign w:val="center"/>
          </w:tcPr>
          <w:p>
            <w:pPr>
              <w:pStyle w:val="34"/>
            </w:pPr>
          </w:p>
        </w:tc>
        <w:tc>
          <w:tcPr>
            <w:tcW w:w="612" w:type="pct"/>
            <w:gridSpan w:val="2"/>
            <w:vMerge w:val="continue"/>
            <w:tcBorders>
              <w:tl2br w:val="nil"/>
              <w:tr2bl w:val="nil"/>
            </w:tcBorders>
            <w:vAlign w:val="center"/>
          </w:tcPr>
          <w:p>
            <w:pPr>
              <w:pStyle w:val="34"/>
            </w:pPr>
          </w:p>
        </w:tc>
        <w:tc>
          <w:tcPr>
            <w:tcW w:w="315" w:type="pct"/>
            <w:tcBorders>
              <w:tl2br w:val="nil"/>
              <w:tr2bl w:val="nil"/>
            </w:tcBorders>
            <w:vAlign w:val="center"/>
          </w:tcPr>
          <w:p>
            <w:pPr>
              <w:pStyle w:val="34"/>
            </w:pPr>
            <w:r>
              <w:t>残次品及边角料</w:t>
            </w:r>
          </w:p>
        </w:tc>
        <w:tc>
          <w:tcPr>
            <w:tcW w:w="204" w:type="pct"/>
            <w:tcBorders>
              <w:tl2br w:val="nil"/>
              <w:tr2bl w:val="nil"/>
            </w:tcBorders>
            <w:vAlign w:val="center"/>
          </w:tcPr>
          <w:p>
            <w:pPr>
              <w:pStyle w:val="34"/>
            </w:pPr>
            <w:r>
              <w:t>一般固废</w:t>
            </w:r>
          </w:p>
        </w:tc>
        <w:tc>
          <w:tcPr>
            <w:tcW w:w="567" w:type="pct"/>
            <w:tcBorders>
              <w:tl2br w:val="nil"/>
              <w:tr2bl w:val="nil"/>
            </w:tcBorders>
            <w:vAlign w:val="center"/>
          </w:tcPr>
          <w:p>
            <w:pPr>
              <w:pStyle w:val="34"/>
            </w:pPr>
            <w:r>
              <w:t>全部回收作为原料使用</w:t>
            </w: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t>5.25</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continue"/>
            <w:tcBorders>
              <w:tl2br w:val="nil"/>
              <w:tr2bl w:val="nil"/>
            </w:tcBorders>
            <w:vAlign w:val="center"/>
          </w:tcPr>
          <w:p>
            <w:pPr>
              <w:pStyle w:val="34"/>
            </w:pPr>
          </w:p>
        </w:tc>
        <w:tc>
          <w:tcPr>
            <w:tcW w:w="612" w:type="pct"/>
            <w:gridSpan w:val="2"/>
            <w:vMerge w:val="continue"/>
            <w:tcBorders>
              <w:tl2br w:val="nil"/>
              <w:tr2bl w:val="nil"/>
            </w:tcBorders>
            <w:vAlign w:val="center"/>
          </w:tcPr>
          <w:p>
            <w:pPr>
              <w:pStyle w:val="34"/>
            </w:pPr>
          </w:p>
        </w:tc>
        <w:tc>
          <w:tcPr>
            <w:tcW w:w="315" w:type="pct"/>
            <w:tcBorders>
              <w:tl2br w:val="nil"/>
              <w:tr2bl w:val="nil"/>
            </w:tcBorders>
            <w:vAlign w:val="center"/>
          </w:tcPr>
          <w:p>
            <w:pPr>
              <w:pStyle w:val="34"/>
            </w:pPr>
            <w:r>
              <w:t>废滤网</w:t>
            </w:r>
          </w:p>
        </w:tc>
        <w:tc>
          <w:tcPr>
            <w:tcW w:w="204" w:type="pct"/>
            <w:tcBorders>
              <w:tl2br w:val="nil"/>
              <w:tr2bl w:val="nil"/>
            </w:tcBorders>
            <w:vAlign w:val="center"/>
          </w:tcPr>
          <w:p>
            <w:pPr>
              <w:pStyle w:val="34"/>
            </w:pPr>
            <w:r>
              <w:t>一般固废</w:t>
            </w:r>
          </w:p>
        </w:tc>
        <w:tc>
          <w:tcPr>
            <w:tcW w:w="567" w:type="pct"/>
            <w:tcBorders>
              <w:tl2br w:val="nil"/>
              <w:tr2bl w:val="nil"/>
            </w:tcBorders>
            <w:vAlign w:val="center"/>
          </w:tcPr>
          <w:p>
            <w:pPr>
              <w:pStyle w:val="34"/>
            </w:pPr>
            <w:r>
              <w:rPr>
                <w:snapToGrid w:val="0"/>
                <w:spacing w:val="-6"/>
              </w:rPr>
              <w:t>收集后外售物资回收单位处置</w:t>
            </w: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t>0.18</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77" w:type="pct"/>
            <w:vMerge w:val="continue"/>
            <w:tcBorders>
              <w:tl2br w:val="nil"/>
              <w:tr2bl w:val="nil"/>
            </w:tcBorders>
            <w:vAlign w:val="center"/>
          </w:tcPr>
          <w:p>
            <w:pPr>
              <w:pStyle w:val="34"/>
            </w:pPr>
          </w:p>
        </w:tc>
        <w:tc>
          <w:tcPr>
            <w:tcW w:w="612" w:type="pct"/>
            <w:gridSpan w:val="2"/>
            <w:vMerge w:val="restart"/>
            <w:tcBorders>
              <w:tl2br w:val="nil"/>
              <w:tr2bl w:val="nil"/>
            </w:tcBorders>
            <w:vAlign w:val="center"/>
          </w:tcPr>
          <w:p>
            <w:pPr>
              <w:pStyle w:val="34"/>
            </w:pPr>
            <w:r>
              <w:rPr>
                <w:rFonts w:hint="eastAsia"/>
                <w:snapToGrid w:val="0"/>
              </w:rPr>
              <w:t>危废贮存库</w:t>
            </w:r>
          </w:p>
        </w:tc>
        <w:tc>
          <w:tcPr>
            <w:tcW w:w="315" w:type="pct"/>
            <w:tcBorders>
              <w:tl2br w:val="nil"/>
              <w:tr2bl w:val="nil"/>
            </w:tcBorders>
            <w:vAlign w:val="center"/>
          </w:tcPr>
          <w:p>
            <w:pPr>
              <w:pStyle w:val="34"/>
            </w:pPr>
            <w:r>
              <w:t>废润</w:t>
            </w:r>
          </w:p>
          <w:p>
            <w:pPr>
              <w:pStyle w:val="34"/>
            </w:pPr>
            <w:r>
              <w:t>滑油</w:t>
            </w:r>
          </w:p>
        </w:tc>
        <w:tc>
          <w:tcPr>
            <w:tcW w:w="204" w:type="pct"/>
            <w:vMerge w:val="restart"/>
            <w:tcBorders>
              <w:tl2br w:val="nil"/>
              <w:tr2bl w:val="nil"/>
            </w:tcBorders>
            <w:vAlign w:val="center"/>
          </w:tcPr>
          <w:p>
            <w:pPr>
              <w:pStyle w:val="34"/>
            </w:pPr>
            <w:r>
              <w:t>危险</w:t>
            </w:r>
          </w:p>
          <w:p>
            <w:pPr>
              <w:pStyle w:val="34"/>
            </w:pPr>
            <w:r>
              <w:t>废物</w:t>
            </w:r>
          </w:p>
        </w:tc>
        <w:tc>
          <w:tcPr>
            <w:tcW w:w="567" w:type="pct"/>
            <w:vMerge w:val="restart"/>
            <w:tcBorders>
              <w:tl2br w:val="nil"/>
              <w:tr2bl w:val="nil"/>
            </w:tcBorders>
            <w:vAlign w:val="center"/>
          </w:tcPr>
          <w:p>
            <w:pPr>
              <w:pStyle w:val="34"/>
            </w:pPr>
            <w:r>
              <w:rPr>
                <w:snapToGrid w:val="0"/>
                <w:spacing w:val="-6"/>
              </w:rPr>
              <w:t>暂存于</w:t>
            </w:r>
            <w:r>
              <w:rPr>
                <w:rFonts w:hint="eastAsia"/>
                <w:snapToGrid w:val="0"/>
                <w:spacing w:val="-6"/>
              </w:rPr>
              <w:t>危废贮存库</w:t>
            </w:r>
            <w:r>
              <w:rPr>
                <w:snapToGrid w:val="0"/>
                <w:spacing w:val="-6"/>
              </w:rPr>
              <w:t>，定期交由有资质的单位处置</w:t>
            </w: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t>0.02</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restart"/>
            <w:tcBorders>
              <w:tl2br w:val="nil"/>
              <w:tr2bl w:val="nil"/>
            </w:tcBorders>
            <w:vAlign w:val="center"/>
          </w:tcPr>
          <w:p>
            <w:pPr>
              <w:pStyle w:val="34"/>
            </w:pPr>
            <w:r>
              <w:t>《危险废物贮存污染控制标准》（GB18597-2023）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7" w:type="pct"/>
            <w:vMerge w:val="continue"/>
            <w:tcBorders>
              <w:tl2br w:val="nil"/>
              <w:tr2bl w:val="nil"/>
            </w:tcBorders>
            <w:vAlign w:val="center"/>
          </w:tcPr>
          <w:p>
            <w:pPr>
              <w:pStyle w:val="34"/>
            </w:pPr>
          </w:p>
        </w:tc>
        <w:tc>
          <w:tcPr>
            <w:tcW w:w="612" w:type="pct"/>
            <w:gridSpan w:val="2"/>
            <w:vMerge w:val="continue"/>
            <w:tcBorders>
              <w:tl2br w:val="nil"/>
              <w:tr2bl w:val="nil"/>
            </w:tcBorders>
            <w:vAlign w:val="center"/>
          </w:tcPr>
          <w:p>
            <w:pPr>
              <w:pStyle w:val="34"/>
              <w:rPr>
                <w:snapToGrid w:val="0"/>
              </w:rPr>
            </w:pPr>
          </w:p>
        </w:tc>
        <w:tc>
          <w:tcPr>
            <w:tcW w:w="315" w:type="pct"/>
            <w:tcBorders>
              <w:tl2br w:val="nil"/>
              <w:tr2bl w:val="nil"/>
            </w:tcBorders>
            <w:vAlign w:val="center"/>
          </w:tcPr>
          <w:p>
            <w:pPr>
              <w:pStyle w:val="34"/>
            </w:pPr>
            <w:r>
              <w:t>废灯管</w:t>
            </w:r>
          </w:p>
        </w:tc>
        <w:tc>
          <w:tcPr>
            <w:tcW w:w="204" w:type="pct"/>
            <w:vMerge w:val="continue"/>
            <w:tcBorders>
              <w:tl2br w:val="nil"/>
              <w:tr2bl w:val="nil"/>
            </w:tcBorders>
            <w:vAlign w:val="center"/>
          </w:tcPr>
          <w:p>
            <w:pPr>
              <w:pStyle w:val="34"/>
            </w:pPr>
          </w:p>
        </w:tc>
        <w:tc>
          <w:tcPr>
            <w:tcW w:w="567" w:type="pct"/>
            <w:vMerge w:val="continue"/>
            <w:tcBorders>
              <w:tl2br w:val="nil"/>
              <w:tr2bl w:val="nil"/>
            </w:tcBorders>
            <w:vAlign w:val="center"/>
          </w:tcPr>
          <w:p>
            <w:pPr>
              <w:pStyle w:val="34"/>
            </w:pP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t>0.01</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 w:type="pct"/>
            <w:vMerge w:val="continue"/>
            <w:tcBorders>
              <w:tl2br w:val="nil"/>
              <w:tr2bl w:val="nil"/>
            </w:tcBorders>
            <w:vAlign w:val="center"/>
          </w:tcPr>
          <w:p>
            <w:pPr>
              <w:pStyle w:val="34"/>
            </w:pPr>
          </w:p>
        </w:tc>
        <w:tc>
          <w:tcPr>
            <w:tcW w:w="612" w:type="pct"/>
            <w:gridSpan w:val="2"/>
            <w:vMerge w:val="continue"/>
            <w:tcBorders>
              <w:tl2br w:val="nil"/>
              <w:tr2bl w:val="nil"/>
            </w:tcBorders>
            <w:vAlign w:val="center"/>
          </w:tcPr>
          <w:p>
            <w:pPr>
              <w:pStyle w:val="34"/>
              <w:rPr>
                <w:snapToGrid w:val="0"/>
              </w:rPr>
            </w:pPr>
          </w:p>
        </w:tc>
        <w:tc>
          <w:tcPr>
            <w:tcW w:w="315" w:type="pct"/>
            <w:tcBorders>
              <w:tl2br w:val="nil"/>
              <w:tr2bl w:val="nil"/>
            </w:tcBorders>
            <w:vAlign w:val="center"/>
          </w:tcPr>
          <w:p>
            <w:pPr>
              <w:pStyle w:val="34"/>
            </w:pPr>
            <w:r>
              <w:t>废活</w:t>
            </w:r>
          </w:p>
          <w:p>
            <w:pPr>
              <w:pStyle w:val="34"/>
            </w:pPr>
            <w:r>
              <w:t>性炭</w:t>
            </w:r>
          </w:p>
        </w:tc>
        <w:tc>
          <w:tcPr>
            <w:tcW w:w="204" w:type="pct"/>
            <w:vMerge w:val="continue"/>
            <w:tcBorders>
              <w:tl2br w:val="nil"/>
              <w:tr2bl w:val="nil"/>
            </w:tcBorders>
            <w:vAlign w:val="center"/>
          </w:tcPr>
          <w:p>
            <w:pPr>
              <w:pStyle w:val="34"/>
            </w:pPr>
          </w:p>
        </w:tc>
        <w:tc>
          <w:tcPr>
            <w:tcW w:w="567" w:type="pct"/>
            <w:vMerge w:val="continue"/>
            <w:tcBorders>
              <w:tl2br w:val="nil"/>
              <w:tr2bl w:val="nil"/>
            </w:tcBorders>
            <w:vAlign w:val="center"/>
          </w:tcPr>
          <w:p>
            <w:pPr>
              <w:pStyle w:val="34"/>
              <w:rPr>
                <w:snapToGrid w:val="0"/>
              </w:rPr>
            </w:pPr>
          </w:p>
        </w:tc>
        <w:tc>
          <w:tcPr>
            <w:tcW w:w="521" w:type="pct"/>
            <w:tcBorders>
              <w:tl2br w:val="nil"/>
              <w:tr2bl w:val="nil"/>
            </w:tcBorders>
            <w:vAlign w:val="center"/>
          </w:tcPr>
          <w:p>
            <w:pPr>
              <w:pStyle w:val="34"/>
            </w:pPr>
            <w:r>
              <w:t>/</w:t>
            </w:r>
          </w:p>
        </w:tc>
        <w:tc>
          <w:tcPr>
            <w:tcW w:w="395" w:type="pct"/>
            <w:tcBorders>
              <w:tl2br w:val="nil"/>
              <w:tr2bl w:val="nil"/>
            </w:tcBorders>
            <w:vAlign w:val="center"/>
          </w:tcPr>
          <w:p>
            <w:pPr>
              <w:pStyle w:val="34"/>
            </w:pPr>
            <w:r>
              <w:rPr>
                <w:rFonts w:hint="eastAsia"/>
              </w:rPr>
              <w:t>9.225</w:t>
            </w:r>
          </w:p>
        </w:tc>
        <w:tc>
          <w:tcPr>
            <w:tcW w:w="432" w:type="pct"/>
            <w:tcBorders>
              <w:tl2br w:val="nil"/>
              <w:tr2bl w:val="nil"/>
            </w:tcBorders>
            <w:vAlign w:val="center"/>
          </w:tcPr>
          <w:p>
            <w:pPr>
              <w:pStyle w:val="34"/>
            </w:pPr>
            <w:r>
              <w:t>/</w:t>
            </w:r>
          </w:p>
        </w:tc>
        <w:tc>
          <w:tcPr>
            <w:tcW w:w="553" w:type="pct"/>
            <w:tcBorders>
              <w:tl2br w:val="nil"/>
              <w:tr2bl w:val="nil"/>
            </w:tcBorders>
            <w:vAlign w:val="center"/>
          </w:tcPr>
          <w:p>
            <w:pPr>
              <w:pStyle w:val="34"/>
            </w:pPr>
            <w:r>
              <w:t>/</w:t>
            </w:r>
          </w:p>
        </w:tc>
        <w:tc>
          <w:tcPr>
            <w:tcW w:w="423" w:type="pct"/>
            <w:tcBorders>
              <w:tl2br w:val="nil"/>
              <w:tr2bl w:val="nil"/>
            </w:tcBorders>
            <w:vAlign w:val="center"/>
          </w:tcPr>
          <w:p>
            <w:pPr>
              <w:pStyle w:val="34"/>
            </w:pPr>
            <w:r>
              <w:t>/</w:t>
            </w:r>
          </w:p>
        </w:tc>
        <w:tc>
          <w:tcPr>
            <w:tcW w:w="701" w:type="pct"/>
            <w:vMerge w:val="continue"/>
            <w:tcBorders>
              <w:tl2br w:val="nil"/>
              <w:tr2bl w:val="nil"/>
            </w:tcBorders>
            <w:vAlign w:val="center"/>
          </w:tcPr>
          <w:p>
            <w:pPr>
              <w:pStyle w:val="34"/>
            </w:pPr>
          </w:p>
        </w:tc>
      </w:tr>
    </w:tbl>
    <w:p>
      <w:pPr>
        <w:pStyle w:val="7"/>
        <w:ind w:firstLine="480"/>
        <w:rPr>
          <w:rFonts w:cs="Times New Roman"/>
        </w:rPr>
        <w:sectPr>
          <w:pgSz w:w="16838" w:h="11906" w:orient="landscape"/>
          <w:pgMar w:top="1797" w:right="1440" w:bottom="1797" w:left="1440" w:header="851" w:footer="992" w:gutter="0"/>
          <w:pgNumType w:fmt="numberInDash"/>
          <w:cols w:space="720" w:num="1"/>
          <w:docGrid w:type="lines" w:linePitch="312" w:charSpace="0"/>
        </w:sectPr>
      </w:pPr>
    </w:p>
    <w:p>
      <w:pPr>
        <w:pStyle w:val="4"/>
        <w:spacing w:before="156" w:after="156"/>
        <w:rPr>
          <w:rFonts w:eastAsia="宋体"/>
        </w:rPr>
      </w:pPr>
      <w:bookmarkStart w:id="110" w:name="_Toc465"/>
      <w:r>
        <w:rPr>
          <w:rFonts w:eastAsia="宋体"/>
        </w:rPr>
        <w:t>竣工环境保护验收</w:t>
      </w:r>
      <w:bookmarkEnd w:id="110"/>
    </w:p>
    <w:p>
      <w:pPr>
        <w:pStyle w:val="5"/>
        <w:rPr>
          <w:rFonts w:cs="Times New Roman"/>
        </w:rPr>
      </w:pPr>
      <w:r>
        <w:rPr>
          <w:rFonts w:cs="Times New Roman"/>
        </w:rPr>
        <w:t>环保设施</w:t>
      </w:r>
    </w:p>
    <w:p>
      <w:pPr>
        <w:pStyle w:val="7"/>
        <w:ind w:firstLine="480"/>
        <w:rPr>
          <w:rFonts w:cs="Times New Roman"/>
        </w:rPr>
      </w:pPr>
      <w:r>
        <w:rPr>
          <w:rFonts w:cs="Times New Roman"/>
        </w:rPr>
        <w:t>环保设施主要包括建设项目为自身污染物达标排放或满足污染物总量控制的要求而必须采取的治理措施，包括专用于环境和污染防治，既是生产工艺中的一个环节，同时又具有环境保护功能；用于污染物回收于综合利用；为建设项目环境保护监测工作配套；用于防止潜在突发性污染事故。另一种环保设施指建设项目为满足环境影响评价中提出原有污染物一并治理的要求以及为新建项目污染物排放总量控制要求而承担的区域环境污染综合整治和区域污染物排放削减中的污染治理工作而建设的污染治理设施。</w:t>
      </w:r>
    </w:p>
    <w:p>
      <w:pPr>
        <w:pStyle w:val="5"/>
        <w:rPr>
          <w:rFonts w:cs="Times New Roman"/>
        </w:rPr>
      </w:pPr>
      <w:r>
        <w:rPr>
          <w:rFonts w:cs="Times New Roman"/>
        </w:rPr>
        <w:t>竣工环境保护验收主要内容</w:t>
      </w:r>
    </w:p>
    <w:p>
      <w:pPr>
        <w:pStyle w:val="7"/>
        <w:ind w:firstLine="480"/>
        <w:rPr>
          <w:rFonts w:cs="Times New Roman"/>
        </w:rPr>
      </w:pPr>
      <w:r>
        <w:rPr>
          <w:rFonts w:cs="Times New Roman"/>
        </w:rPr>
        <w:t>验收监测是对建设项目环境保护设施建设、运行及其效果、“三废”处理和综合利用、污染物排放、环境管理等情况的全面检查与测试。建设项目竣工环境保护验收条件如下：</w:t>
      </w:r>
    </w:p>
    <w:p>
      <w:pPr>
        <w:pStyle w:val="7"/>
        <w:ind w:firstLine="480"/>
        <w:rPr>
          <w:rFonts w:cs="Times New Roman"/>
        </w:rPr>
      </w:pPr>
      <w:r>
        <w:rPr>
          <w:rFonts w:cs="Times New Roman"/>
        </w:rPr>
        <w:t>（1）建设前期环境保护审查、审批手续完备，技术资料与环境保护档案资料齐全。</w:t>
      </w:r>
    </w:p>
    <w:p>
      <w:pPr>
        <w:pStyle w:val="7"/>
        <w:ind w:firstLine="480"/>
        <w:rPr>
          <w:rFonts w:cs="Times New Roman"/>
        </w:rPr>
      </w:pPr>
      <w:r>
        <w:rPr>
          <w:rFonts w:cs="Times New Roman"/>
        </w:rPr>
        <w:t>（2）环境保护设施及其它措施等已按批准的环境影响报告书和设计文件的要求建成，环境保护设施经负荷检测合格，其防治污染能力适应主体工程的需要。</w:t>
      </w:r>
    </w:p>
    <w:p>
      <w:pPr>
        <w:pStyle w:val="7"/>
        <w:ind w:firstLine="480"/>
        <w:rPr>
          <w:rFonts w:cs="Times New Roman"/>
        </w:rPr>
      </w:pPr>
      <w:r>
        <w:rPr>
          <w:rFonts w:cs="Times New Roman"/>
        </w:rPr>
        <w:t>（3）环境保护设施安装质量符合国家和有关部门颁发的专业工程验收规范、规程和检验评定标准。</w:t>
      </w:r>
    </w:p>
    <w:p>
      <w:pPr>
        <w:pStyle w:val="7"/>
        <w:ind w:firstLine="480"/>
        <w:rPr>
          <w:rFonts w:cs="Times New Roman"/>
        </w:rPr>
      </w:pPr>
      <w:r>
        <w:rPr>
          <w:rFonts w:cs="Times New Roman"/>
        </w:rPr>
        <w:t>（4）具备环境保护设施正常运转的条件，包括：经培训合格的操作人员、健全的岗位操作规程及相应的规章制度，原料、动力供应落实，符合交付使用的其它要求。</w:t>
      </w:r>
    </w:p>
    <w:p>
      <w:pPr>
        <w:pStyle w:val="7"/>
        <w:ind w:firstLine="480"/>
        <w:rPr>
          <w:rFonts w:cs="Times New Roman"/>
        </w:rPr>
      </w:pPr>
      <w:r>
        <w:rPr>
          <w:rFonts w:cs="Times New Roman"/>
        </w:rPr>
        <w:t>（5）污染物排放符合环境影响报告书提出的标准及核定的污染物排放总量控制指标的要求。</w:t>
      </w:r>
    </w:p>
    <w:p>
      <w:pPr>
        <w:pStyle w:val="7"/>
        <w:ind w:firstLine="480"/>
        <w:rPr>
          <w:rFonts w:cs="Times New Roman"/>
        </w:rPr>
      </w:pPr>
      <w:r>
        <w:rPr>
          <w:rFonts w:cs="Times New Roman"/>
        </w:rPr>
        <w:t>（6）各项生态保护措施按环境影响报告书规定的要求落实，建设项目建设过程中受到破坏并可恢复的环境已按规定采取了恢复措施。</w:t>
      </w:r>
    </w:p>
    <w:p>
      <w:pPr>
        <w:pStyle w:val="7"/>
        <w:ind w:firstLine="480"/>
        <w:rPr>
          <w:rFonts w:cs="Times New Roman"/>
        </w:rPr>
      </w:pPr>
      <w:r>
        <w:rPr>
          <w:rFonts w:cs="Times New Roman"/>
        </w:rPr>
        <w:t>（7）环境监测项目、点位、机构设置及人员配备，符合环境影响报告书和有关规定的要求。</w:t>
      </w:r>
    </w:p>
    <w:p>
      <w:pPr>
        <w:pStyle w:val="5"/>
        <w:rPr>
          <w:rFonts w:cs="Times New Roman"/>
        </w:rPr>
      </w:pPr>
      <w:r>
        <w:rPr>
          <w:rFonts w:cs="Times New Roman"/>
        </w:rPr>
        <w:t>环保设施“三同时”竣工验收</w:t>
      </w:r>
    </w:p>
    <w:p>
      <w:pPr>
        <w:pStyle w:val="7"/>
        <w:ind w:firstLine="480"/>
        <w:rPr>
          <w:rFonts w:cs="Times New Roman"/>
        </w:rPr>
      </w:pPr>
      <w:r>
        <w:rPr>
          <w:rFonts w:cs="Times New Roman"/>
        </w:rPr>
        <w:t>本项目完工后，必须根据“三同时”要求进行环保设施设备竣工验收，建设项目环境保护设施“三同时”验收见</w:t>
      </w:r>
      <w:r>
        <w:rPr>
          <w:rFonts w:hint="eastAsia" w:cs="Times New Roman"/>
        </w:rPr>
        <w:t>表8.4-1</w:t>
      </w:r>
      <w:r>
        <w:rPr>
          <w:rFonts w:cs="Times New Roman"/>
        </w:rPr>
        <w:t>。</w:t>
      </w:r>
    </w:p>
    <w:p>
      <w:pPr>
        <w:pStyle w:val="36"/>
        <w:spacing w:before="156"/>
        <w:rPr>
          <w:rFonts w:eastAsia="宋体"/>
        </w:rPr>
      </w:pPr>
      <w:bookmarkStart w:id="111" w:name="_Ref111573588"/>
      <w:r>
        <w:rPr>
          <w:rFonts w:eastAsia="宋体"/>
        </w:rPr>
        <w:t>表</w:t>
      </w:r>
      <w:r>
        <w:rPr>
          <w:rFonts w:hint="eastAsia" w:eastAsia="宋体"/>
        </w:rPr>
        <w:t>8.4-1</w:t>
      </w:r>
      <w:bookmarkEnd w:id="111"/>
      <w:r>
        <w:rPr>
          <w:rFonts w:eastAsia="宋体"/>
        </w:rPr>
        <w:t xml:space="preserve">  项目环境保护设施“三同时”验收一览表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74"/>
        <w:gridCol w:w="2127"/>
        <w:gridCol w:w="2180"/>
        <w:gridCol w:w="2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tcBorders>
              <w:tl2br w:val="nil"/>
              <w:tr2bl w:val="nil"/>
            </w:tcBorders>
            <w:vAlign w:val="center"/>
          </w:tcPr>
          <w:p>
            <w:pPr>
              <w:pStyle w:val="34"/>
            </w:pPr>
            <w:r>
              <w:t>类别</w:t>
            </w:r>
          </w:p>
        </w:tc>
        <w:tc>
          <w:tcPr>
            <w:tcW w:w="747" w:type="pct"/>
            <w:tcBorders>
              <w:tl2br w:val="nil"/>
              <w:tr2bl w:val="nil"/>
            </w:tcBorders>
            <w:vAlign w:val="center"/>
          </w:tcPr>
          <w:p>
            <w:pPr>
              <w:pStyle w:val="34"/>
            </w:pPr>
            <w:r>
              <w:t>污染工序</w:t>
            </w:r>
          </w:p>
        </w:tc>
        <w:tc>
          <w:tcPr>
            <w:tcW w:w="1247" w:type="pct"/>
            <w:tcBorders>
              <w:tl2br w:val="nil"/>
              <w:tr2bl w:val="nil"/>
            </w:tcBorders>
            <w:vAlign w:val="center"/>
          </w:tcPr>
          <w:p>
            <w:pPr>
              <w:pStyle w:val="34"/>
            </w:pPr>
            <w:r>
              <w:t>污染治理措施</w:t>
            </w:r>
          </w:p>
        </w:tc>
        <w:tc>
          <w:tcPr>
            <w:tcW w:w="1278" w:type="pct"/>
            <w:tcBorders>
              <w:tl2br w:val="nil"/>
              <w:tr2bl w:val="nil"/>
            </w:tcBorders>
            <w:vAlign w:val="center"/>
          </w:tcPr>
          <w:p>
            <w:pPr>
              <w:pStyle w:val="34"/>
            </w:pPr>
            <w:r>
              <w:t>处理效果</w:t>
            </w:r>
          </w:p>
        </w:tc>
        <w:tc>
          <w:tcPr>
            <w:tcW w:w="1249" w:type="pct"/>
            <w:tcBorders>
              <w:tl2br w:val="nil"/>
              <w:tr2bl w:val="nil"/>
            </w:tcBorders>
            <w:vAlign w:val="center"/>
          </w:tcPr>
          <w:p>
            <w:pPr>
              <w:pStyle w:val="34"/>
            </w:pPr>
            <w: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vAlign w:val="center"/>
          </w:tcPr>
          <w:p>
            <w:pPr>
              <w:pStyle w:val="34"/>
            </w:pPr>
            <w:r>
              <w:t>废气</w:t>
            </w:r>
          </w:p>
        </w:tc>
        <w:tc>
          <w:tcPr>
            <w:tcW w:w="747" w:type="pct"/>
            <w:tcBorders>
              <w:tl2br w:val="nil"/>
              <w:tr2bl w:val="nil"/>
            </w:tcBorders>
            <w:vAlign w:val="center"/>
          </w:tcPr>
          <w:p>
            <w:pPr>
              <w:pStyle w:val="34"/>
            </w:pPr>
            <w:r>
              <w:t>原料储存、破碎</w:t>
            </w:r>
          </w:p>
        </w:tc>
        <w:tc>
          <w:tcPr>
            <w:tcW w:w="1247" w:type="pct"/>
            <w:tcBorders>
              <w:tl2br w:val="nil"/>
              <w:tr2bl w:val="nil"/>
            </w:tcBorders>
            <w:vAlign w:val="center"/>
          </w:tcPr>
          <w:p>
            <w:pPr>
              <w:pStyle w:val="34"/>
            </w:pPr>
            <w:r>
              <w:t>半封闭</w:t>
            </w:r>
            <w:r>
              <w:rPr>
                <w:rFonts w:hint="eastAsia"/>
              </w:rPr>
              <w:t>彩钢棚</w:t>
            </w:r>
            <w:r>
              <w:t>存放、湿式破碎</w:t>
            </w:r>
          </w:p>
        </w:tc>
        <w:tc>
          <w:tcPr>
            <w:tcW w:w="1278" w:type="pct"/>
            <w:tcBorders>
              <w:tl2br w:val="nil"/>
              <w:tr2bl w:val="nil"/>
            </w:tcBorders>
            <w:vAlign w:val="center"/>
          </w:tcPr>
          <w:p>
            <w:pPr>
              <w:pStyle w:val="34"/>
            </w:pPr>
            <w:r>
              <w:t>不起尘</w:t>
            </w:r>
          </w:p>
        </w:tc>
        <w:tc>
          <w:tcPr>
            <w:tcW w:w="1249" w:type="pct"/>
            <w:vMerge w:val="restart"/>
            <w:tcBorders>
              <w:tl2br w:val="nil"/>
              <w:tr2bl w:val="nil"/>
            </w:tcBorders>
            <w:vAlign w:val="center"/>
          </w:tcPr>
          <w:p>
            <w:pPr>
              <w:pStyle w:val="34"/>
            </w:pPr>
            <w:r>
              <w:rPr>
                <w:rFonts w:hint="eastAsia"/>
              </w:rPr>
              <w:t>《合成树脂工业污染物排放标准》（GB 31572-2015，含2024年修改单）</w:t>
            </w:r>
            <w:r>
              <w:t>表4、表9中标准要求</w:t>
            </w:r>
            <w:r>
              <w:rPr>
                <w:rFonts w:hint="eastAsia"/>
              </w:rPr>
              <w:t>；</w:t>
            </w:r>
            <w:r>
              <w:t>《挥发性有机物无组织排放控制标准》（GB37822-2019）</w:t>
            </w:r>
            <w:r>
              <w:rPr>
                <w:rFonts w:hint="eastAsia"/>
              </w:rPr>
              <w:t>表A.1厂区内VOCs无组织排放限值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造粒、滴灌带生产</w:t>
            </w:r>
          </w:p>
        </w:tc>
        <w:tc>
          <w:tcPr>
            <w:tcW w:w="1247" w:type="pct"/>
            <w:tcBorders>
              <w:tl2br w:val="nil"/>
              <w:tr2bl w:val="nil"/>
            </w:tcBorders>
            <w:vAlign w:val="center"/>
          </w:tcPr>
          <w:p>
            <w:pPr>
              <w:pStyle w:val="34"/>
            </w:pPr>
            <w:r>
              <w:rPr>
                <w:spacing w:val="-6"/>
              </w:rPr>
              <w:t>对废气产生设备安装集气罩收集废气，收集的废气进入一套“UV光氧催化+活性炭吸附装置”净化处理后通过1根15m高排气筒外排</w:t>
            </w:r>
          </w:p>
        </w:tc>
        <w:tc>
          <w:tcPr>
            <w:tcW w:w="1278" w:type="pct"/>
            <w:vMerge w:val="restart"/>
            <w:tcBorders>
              <w:tl2br w:val="nil"/>
              <w:tr2bl w:val="nil"/>
            </w:tcBorders>
            <w:vAlign w:val="center"/>
          </w:tcPr>
          <w:p>
            <w:pPr>
              <w:pStyle w:val="34"/>
              <w:rPr>
                <w:vertAlign w:val="superscript"/>
              </w:rPr>
            </w:pPr>
            <w:r>
              <w:t>有组织非甲烷总烃满足</w:t>
            </w:r>
            <w:r>
              <w:rPr>
                <w:rFonts w:hint="eastAsia"/>
              </w:rPr>
              <w:t>《合成树脂工业污染物排放标准》（GB 31572-2015，含2024年修改单）</w:t>
            </w:r>
            <w:r>
              <w:t>表4排放限值要求浓度100mg/m</w:t>
            </w:r>
            <w:r>
              <w:rPr>
                <w:vertAlign w:val="superscript"/>
              </w:rPr>
              <w:t>3</w:t>
            </w:r>
            <w:r>
              <w:t>；厂界无组织满足《合成树脂工业污染物排放标准》（GB31572-2015</w:t>
            </w:r>
            <w:r>
              <w:rPr>
                <w:rFonts w:hint="eastAsia"/>
              </w:rPr>
              <w:t>，含2024年修改单</w:t>
            </w:r>
            <w:r>
              <w:t>）表9浓度限值4.0mg/m</w:t>
            </w:r>
            <w:r>
              <w:rPr>
                <w:vertAlign w:val="superscript"/>
              </w:rPr>
              <w:t>3</w:t>
            </w:r>
          </w:p>
        </w:tc>
        <w:tc>
          <w:tcPr>
            <w:tcW w:w="1249"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生产车间</w:t>
            </w:r>
          </w:p>
        </w:tc>
        <w:tc>
          <w:tcPr>
            <w:tcW w:w="1247" w:type="pct"/>
            <w:tcBorders>
              <w:tl2br w:val="nil"/>
              <w:tr2bl w:val="nil"/>
            </w:tcBorders>
            <w:vAlign w:val="center"/>
          </w:tcPr>
          <w:p>
            <w:pPr>
              <w:pStyle w:val="34"/>
            </w:pPr>
            <w:r>
              <w:t>加强通风</w:t>
            </w:r>
          </w:p>
        </w:tc>
        <w:tc>
          <w:tcPr>
            <w:tcW w:w="1278" w:type="pct"/>
            <w:vMerge w:val="continue"/>
            <w:tcBorders>
              <w:tl2br w:val="nil"/>
              <w:tr2bl w:val="nil"/>
            </w:tcBorders>
            <w:vAlign w:val="center"/>
          </w:tcPr>
          <w:p>
            <w:pPr>
              <w:pStyle w:val="34"/>
            </w:pPr>
          </w:p>
        </w:tc>
        <w:tc>
          <w:tcPr>
            <w:tcW w:w="1249"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vAlign w:val="center"/>
          </w:tcPr>
          <w:p>
            <w:pPr>
              <w:pStyle w:val="34"/>
            </w:pPr>
            <w:r>
              <w:t>废水</w:t>
            </w:r>
          </w:p>
        </w:tc>
        <w:tc>
          <w:tcPr>
            <w:tcW w:w="747" w:type="pct"/>
            <w:tcBorders>
              <w:tl2br w:val="nil"/>
              <w:tr2bl w:val="nil"/>
            </w:tcBorders>
            <w:vAlign w:val="center"/>
          </w:tcPr>
          <w:p>
            <w:pPr>
              <w:pStyle w:val="34"/>
            </w:pPr>
            <w:r>
              <w:t>生产废水</w:t>
            </w:r>
          </w:p>
        </w:tc>
        <w:tc>
          <w:tcPr>
            <w:tcW w:w="1247" w:type="pct"/>
            <w:tcBorders>
              <w:tl2br w:val="nil"/>
              <w:tr2bl w:val="nil"/>
            </w:tcBorders>
            <w:vAlign w:val="center"/>
          </w:tcPr>
          <w:p>
            <w:pPr>
              <w:pStyle w:val="34"/>
            </w:pPr>
            <w:r>
              <w:t>清洗废水设置一座</w:t>
            </w:r>
            <w:r>
              <w:rPr>
                <w:rFonts w:hint="eastAsia"/>
              </w:rPr>
              <w:t>400</w:t>
            </w:r>
            <w:r>
              <w:t>m</w:t>
            </w:r>
            <w:r>
              <w:rPr>
                <w:vertAlign w:val="superscript"/>
              </w:rPr>
              <w:t>3</w:t>
            </w:r>
            <w:r>
              <w:rPr>
                <w:rFonts w:hint="eastAsia"/>
              </w:rPr>
              <w:t>循环</w:t>
            </w:r>
            <w:r>
              <w:t>沉淀池</w:t>
            </w:r>
          </w:p>
        </w:tc>
        <w:tc>
          <w:tcPr>
            <w:tcW w:w="1278" w:type="pct"/>
            <w:tcBorders>
              <w:tl2br w:val="nil"/>
              <w:tr2bl w:val="nil"/>
            </w:tcBorders>
            <w:vAlign w:val="center"/>
          </w:tcPr>
          <w:p>
            <w:pPr>
              <w:pStyle w:val="34"/>
            </w:pPr>
            <w:r>
              <w:t>处理后循环使用，不外排</w:t>
            </w:r>
          </w:p>
        </w:tc>
        <w:tc>
          <w:tcPr>
            <w:tcW w:w="1249" w:type="pct"/>
            <w:tcBorders>
              <w:tl2br w:val="nil"/>
              <w:tr2bl w:val="nil"/>
            </w:tcBorders>
            <w:vAlign w:val="center"/>
          </w:tcPr>
          <w:p>
            <w:pPr>
              <w:pStyle w:val="34"/>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生活污水</w:t>
            </w:r>
          </w:p>
        </w:tc>
        <w:tc>
          <w:tcPr>
            <w:tcW w:w="1247" w:type="pct"/>
            <w:tcBorders>
              <w:tl2br w:val="nil"/>
              <w:tr2bl w:val="nil"/>
            </w:tcBorders>
            <w:vAlign w:val="center"/>
          </w:tcPr>
          <w:p>
            <w:pPr>
              <w:pStyle w:val="34"/>
            </w:pPr>
            <w:r>
              <w:t>经厂区化粪池收集后</w:t>
            </w:r>
            <w:r>
              <w:rPr>
                <w:lang w:val="zh-CN"/>
              </w:rPr>
              <w:t>定期由环卫</w:t>
            </w:r>
            <w:r>
              <w:rPr>
                <w:rFonts w:hint="eastAsia"/>
                <w:lang w:val="zh-CN"/>
              </w:rPr>
              <w:t>部门</w:t>
            </w:r>
            <w:r>
              <w:rPr>
                <w:lang w:val="zh-CN"/>
              </w:rPr>
              <w:t>拉运处理</w:t>
            </w:r>
          </w:p>
        </w:tc>
        <w:tc>
          <w:tcPr>
            <w:tcW w:w="1278" w:type="pct"/>
            <w:tcBorders>
              <w:tl2br w:val="nil"/>
              <w:tr2bl w:val="nil"/>
            </w:tcBorders>
            <w:vAlign w:val="center"/>
          </w:tcPr>
          <w:p>
            <w:pPr>
              <w:pStyle w:val="34"/>
            </w:pPr>
            <w:r>
              <w:t>/</w:t>
            </w:r>
          </w:p>
        </w:tc>
        <w:tc>
          <w:tcPr>
            <w:tcW w:w="1249" w:type="pct"/>
            <w:tcBorders>
              <w:tl2br w:val="nil"/>
              <w:tr2bl w:val="nil"/>
            </w:tcBorders>
            <w:vAlign w:val="center"/>
          </w:tcPr>
          <w:p>
            <w:pPr>
              <w:pStyle w:val="34"/>
            </w:pPr>
            <w:r>
              <w:rPr>
                <w:spacing w:val="-6"/>
              </w:rPr>
              <w:t>《污水综合排放标准》（GB8978-1996）表4中的三级标准</w:t>
            </w:r>
            <w:r>
              <w:rPr>
                <w:rFonts w:hint="eastAsia"/>
                <w:spacing w:val="-6"/>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tcBorders>
              <w:tl2br w:val="nil"/>
              <w:tr2bl w:val="nil"/>
            </w:tcBorders>
            <w:vAlign w:val="center"/>
          </w:tcPr>
          <w:p>
            <w:pPr>
              <w:pStyle w:val="34"/>
            </w:pPr>
            <w:r>
              <w:t>噪声</w:t>
            </w:r>
          </w:p>
        </w:tc>
        <w:tc>
          <w:tcPr>
            <w:tcW w:w="747" w:type="pct"/>
            <w:tcBorders>
              <w:tl2br w:val="nil"/>
              <w:tr2bl w:val="nil"/>
            </w:tcBorders>
            <w:vAlign w:val="center"/>
          </w:tcPr>
          <w:p>
            <w:pPr>
              <w:pStyle w:val="34"/>
            </w:pPr>
            <w:r>
              <w:t>生产设备</w:t>
            </w:r>
          </w:p>
        </w:tc>
        <w:tc>
          <w:tcPr>
            <w:tcW w:w="1247" w:type="pct"/>
            <w:tcBorders>
              <w:tl2br w:val="nil"/>
              <w:tr2bl w:val="nil"/>
            </w:tcBorders>
            <w:vAlign w:val="center"/>
          </w:tcPr>
          <w:p>
            <w:pPr>
              <w:pStyle w:val="34"/>
            </w:pPr>
            <w:r>
              <w:t>采取基础减振、隔声罩、消声器等措施；生产设备尽量安装在车间内</w:t>
            </w:r>
          </w:p>
        </w:tc>
        <w:tc>
          <w:tcPr>
            <w:tcW w:w="1278" w:type="pct"/>
            <w:tcBorders>
              <w:tl2br w:val="nil"/>
              <w:tr2bl w:val="nil"/>
            </w:tcBorders>
            <w:vAlign w:val="center"/>
          </w:tcPr>
          <w:p>
            <w:pPr>
              <w:pStyle w:val="34"/>
            </w:pPr>
            <w:r>
              <w:t>厂界噪声：</w:t>
            </w:r>
          </w:p>
          <w:p>
            <w:pPr>
              <w:pStyle w:val="34"/>
            </w:pPr>
            <w:r>
              <w:t>昼间≤60dB（A）</w:t>
            </w:r>
          </w:p>
          <w:p>
            <w:pPr>
              <w:pStyle w:val="34"/>
            </w:pPr>
            <w:r>
              <w:t>夜间≤50dB（A）</w:t>
            </w:r>
          </w:p>
        </w:tc>
        <w:tc>
          <w:tcPr>
            <w:tcW w:w="1249" w:type="pct"/>
            <w:tcBorders>
              <w:tl2br w:val="nil"/>
              <w:tr2bl w:val="nil"/>
            </w:tcBorders>
            <w:vAlign w:val="center"/>
          </w:tcPr>
          <w:p>
            <w:pPr>
              <w:pStyle w:val="34"/>
            </w:pPr>
            <w:r>
              <w:t>《工业企业厂界环境噪声排放标准》</w:t>
            </w:r>
          </w:p>
          <w:p>
            <w:pPr>
              <w:pStyle w:val="34"/>
              <w:rPr>
                <w:spacing w:val="-6"/>
              </w:rPr>
            </w:pPr>
            <w:r>
              <w:t>(GB12348-2008)中2类标准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vAlign w:val="center"/>
          </w:tcPr>
          <w:p>
            <w:pPr>
              <w:pStyle w:val="34"/>
            </w:pPr>
            <w:r>
              <w:t>固体废物</w:t>
            </w:r>
          </w:p>
        </w:tc>
        <w:tc>
          <w:tcPr>
            <w:tcW w:w="747" w:type="pct"/>
            <w:tcBorders>
              <w:tl2br w:val="nil"/>
              <w:tr2bl w:val="nil"/>
            </w:tcBorders>
            <w:vAlign w:val="center"/>
          </w:tcPr>
          <w:p>
            <w:pPr>
              <w:pStyle w:val="34"/>
            </w:pPr>
            <w:r>
              <w:t>污泥</w:t>
            </w:r>
          </w:p>
        </w:tc>
        <w:tc>
          <w:tcPr>
            <w:tcW w:w="1247" w:type="pct"/>
            <w:tcBorders>
              <w:tl2br w:val="nil"/>
              <w:tr2bl w:val="nil"/>
            </w:tcBorders>
            <w:vAlign w:val="center"/>
          </w:tcPr>
          <w:p>
            <w:pPr>
              <w:pStyle w:val="34"/>
            </w:pPr>
            <w:r>
              <w:t>定期清掏，经自然干化后交由环卫部门处置</w:t>
            </w:r>
          </w:p>
        </w:tc>
        <w:tc>
          <w:tcPr>
            <w:tcW w:w="1278" w:type="pct"/>
            <w:vMerge w:val="restart"/>
            <w:tcBorders>
              <w:tl2br w:val="nil"/>
              <w:tr2bl w:val="nil"/>
            </w:tcBorders>
            <w:vAlign w:val="center"/>
          </w:tcPr>
          <w:p>
            <w:pPr>
              <w:pStyle w:val="34"/>
            </w:pPr>
            <w:r>
              <w:t>/</w:t>
            </w:r>
          </w:p>
        </w:tc>
        <w:tc>
          <w:tcPr>
            <w:tcW w:w="1249" w:type="pct"/>
            <w:vMerge w:val="restart"/>
            <w:tcBorders>
              <w:tl2br w:val="nil"/>
              <w:tr2bl w:val="nil"/>
            </w:tcBorders>
            <w:vAlign w:val="center"/>
          </w:tcPr>
          <w:p>
            <w:pPr>
              <w:pStyle w:val="34"/>
            </w:pPr>
            <w:r>
              <w:rPr>
                <w:spacing w:val="-6"/>
              </w:rPr>
              <w:t>符合《一般工业固体废物贮存及填埋污染控制标准》</w:t>
            </w:r>
            <w:r>
              <w:rPr>
                <w:rFonts w:hint="eastAsia"/>
                <w:spacing w:val="-6"/>
              </w:rPr>
              <w:t>（GB18599-2020）</w:t>
            </w:r>
            <w:r>
              <w:rPr>
                <w:spacing w:val="-6"/>
              </w:rPr>
              <w:t>的相关规定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废滤网</w:t>
            </w:r>
          </w:p>
        </w:tc>
        <w:tc>
          <w:tcPr>
            <w:tcW w:w="1247" w:type="pct"/>
            <w:tcBorders>
              <w:tl2br w:val="nil"/>
              <w:tr2bl w:val="nil"/>
            </w:tcBorders>
            <w:vAlign w:val="center"/>
          </w:tcPr>
          <w:p>
            <w:pPr>
              <w:pStyle w:val="34"/>
            </w:pPr>
            <w:r>
              <w:t>收集后外售物资回收单位处置</w:t>
            </w:r>
          </w:p>
        </w:tc>
        <w:tc>
          <w:tcPr>
            <w:tcW w:w="1278" w:type="pct"/>
            <w:vMerge w:val="continue"/>
            <w:tcBorders>
              <w:tl2br w:val="nil"/>
              <w:tr2bl w:val="nil"/>
            </w:tcBorders>
            <w:vAlign w:val="center"/>
          </w:tcPr>
          <w:p>
            <w:pPr>
              <w:pStyle w:val="34"/>
            </w:pPr>
          </w:p>
        </w:tc>
        <w:tc>
          <w:tcPr>
            <w:tcW w:w="1249"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残次品及边角料</w:t>
            </w:r>
          </w:p>
        </w:tc>
        <w:tc>
          <w:tcPr>
            <w:tcW w:w="1247" w:type="pct"/>
            <w:tcBorders>
              <w:tl2br w:val="nil"/>
              <w:tr2bl w:val="nil"/>
            </w:tcBorders>
            <w:vAlign w:val="center"/>
          </w:tcPr>
          <w:p>
            <w:pPr>
              <w:pStyle w:val="34"/>
            </w:pPr>
            <w:r>
              <w:t>返回造粒工序再利用</w:t>
            </w:r>
          </w:p>
        </w:tc>
        <w:tc>
          <w:tcPr>
            <w:tcW w:w="1278" w:type="pct"/>
            <w:tcBorders>
              <w:tl2br w:val="nil"/>
              <w:tr2bl w:val="nil"/>
            </w:tcBorders>
            <w:vAlign w:val="center"/>
          </w:tcPr>
          <w:p>
            <w:pPr>
              <w:pStyle w:val="34"/>
            </w:pPr>
            <w:r>
              <w:t>合理处置，不外排</w:t>
            </w:r>
          </w:p>
        </w:tc>
        <w:tc>
          <w:tcPr>
            <w:tcW w:w="1249"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废活性炭</w:t>
            </w:r>
          </w:p>
        </w:tc>
        <w:tc>
          <w:tcPr>
            <w:tcW w:w="1247" w:type="pct"/>
            <w:vMerge w:val="restart"/>
            <w:tcBorders>
              <w:tl2br w:val="nil"/>
              <w:tr2bl w:val="nil"/>
            </w:tcBorders>
            <w:vAlign w:val="center"/>
          </w:tcPr>
          <w:p>
            <w:pPr>
              <w:pStyle w:val="34"/>
            </w:pPr>
            <w:r>
              <w:t>设置</w:t>
            </w:r>
            <w:r>
              <w:rPr>
                <w:rFonts w:hint="eastAsia"/>
              </w:rPr>
              <w:t>危废贮存库</w:t>
            </w:r>
            <w:r>
              <w:t>，集中收集后暂存，定期交由有资质单位处置</w:t>
            </w:r>
          </w:p>
        </w:tc>
        <w:tc>
          <w:tcPr>
            <w:tcW w:w="1278" w:type="pct"/>
            <w:vMerge w:val="restart"/>
            <w:tcBorders>
              <w:tl2br w:val="nil"/>
              <w:tr2bl w:val="nil"/>
            </w:tcBorders>
            <w:vAlign w:val="center"/>
          </w:tcPr>
          <w:p>
            <w:pPr>
              <w:pStyle w:val="34"/>
            </w:pPr>
            <w:r>
              <w:t>全部暂存</w:t>
            </w:r>
            <w:r>
              <w:rPr>
                <w:rFonts w:hint="eastAsia"/>
              </w:rPr>
              <w:t>危废贮存库</w:t>
            </w:r>
            <w:r>
              <w:t>，定期交由有资质单位处置</w:t>
            </w:r>
          </w:p>
        </w:tc>
        <w:tc>
          <w:tcPr>
            <w:tcW w:w="1249" w:type="pct"/>
            <w:vMerge w:val="restart"/>
            <w:tcBorders>
              <w:tl2br w:val="nil"/>
              <w:tr2bl w:val="nil"/>
            </w:tcBorders>
            <w:vAlign w:val="center"/>
          </w:tcPr>
          <w:p>
            <w:pPr>
              <w:pStyle w:val="34"/>
            </w:pPr>
            <w:r>
              <w:t>《危险废物贮存污染控制标准》（GB18</w:t>
            </w:r>
            <w:r>
              <w:rPr>
                <w:rFonts w:hint="eastAsia"/>
              </w:rPr>
              <w:t>597</w:t>
            </w:r>
            <w:r>
              <w:t>-20</w:t>
            </w:r>
            <w:r>
              <w:rPr>
                <w:rFonts w:hint="eastAsia"/>
              </w:rPr>
              <w:t>23</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废灯管</w:t>
            </w:r>
          </w:p>
        </w:tc>
        <w:tc>
          <w:tcPr>
            <w:tcW w:w="1247" w:type="pct"/>
            <w:vMerge w:val="continue"/>
            <w:tcBorders>
              <w:tl2br w:val="nil"/>
              <w:tr2bl w:val="nil"/>
            </w:tcBorders>
            <w:vAlign w:val="center"/>
          </w:tcPr>
          <w:p>
            <w:pPr>
              <w:pStyle w:val="34"/>
            </w:pPr>
          </w:p>
        </w:tc>
        <w:tc>
          <w:tcPr>
            <w:tcW w:w="1278" w:type="pct"/>
            <w:vMerge w:val="continue"/>
            <w:tcBorders>
              <w:tl2br w:val="nil"/>
              <w:tr2bl w:val="nil"/>
            </w:tcBorders>
            <w:vAlign w:val="center"/>
          </w:tcPr>
          <w:p>
            <w:pPr>
              <w:pStyle w:val="34"/>
            </w:pPr>
          </w:p>
        </w:tc>
        <w:tc>
          <w:tcPr>
            <w:tcW w:w="1249"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废润滑油</w:t>
            </w:r>
          </w:p>
        </w:tc>
        <w:tc>
          <w:tcPr>
            <w:tcW w:w="1247" w:type="pct"/>
            <w:vMerge w:val="continue"/>
            <w:tcBorders>
              <w:tl2br w:val="nil"/>
              <w:tr2bl w:val="nil"/>
            </w:tcBorders>
            <w:vAlign w:val="center"/>
          </w:tcPr>
          <w:p>
            <w:pPr>
              <w:pStyle w:val="34"/>
            </w:pPr>
          </w:p>
        </w:tc>
        <w:tc>
          <w:tcPr>
            <w:tcW w:w="1278" w:type="pct"/>
            <w:vMerge w:val="continue"/>
            <w:tcBorders>
              <w:tl2br w:val="nil"/>
              <w:tr2bl w:val="nil"/>
            </w:tcBorders>
            <w:vAlign w:val="center"/>
          </w:tcPr>
          <w:p>
            <w:pPr>
              <w:pStyle w:val="34"/>
            </w:pPr>
          </w:p>
        </w:tc>
        <w:tc>
          <w:tcPr>
            <w:tcW w:w="1249" w:type="pct"/>
            <w:vMerge w:val="continue"/>
            <w:tcBorders>
              <w:tl2br w:val="nil"/>
              <w:tr2bl w:val="nil"/>
            </w:tcBorders>
            <w:vAlign w:val="center"/>
          </w:tcPr>
          <w:p>
            <w:pPr>
              <w:pStyle w:val="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747" w:type="pct"/>
            <w:tcBorders>
              <w:tl2br w:val="nil"/>
              <w:tr2bl w:val="nil"/>
            </w:tcBorders>
            <w:vAlign w:val="center"/>
          </w:tcPr>
          <w:p>
            <w:pPr>
              <w:pStyle w:val="34"/>
            </w:pPr>
            <w:r>
              <w:t>生活垃圾</w:t>
            </w:r>
          </w:p>
        </w:tc>
        <w:tc>
          <w:tcPr>
            <w:tcW w:w="1247" w:type="pct"/>
            <w:tcBorders>
              <w:tl2br w:val="nil"/>
              <w:tr2bl w:val="nil"/>
            </w:tcBorders>
            <w:vAlign w:val="center"/>
          </w:tcPr>
          <w:p>
            <w:pPr>
              <w:pStyle w:val="34"/>
            </w:pPr>
            <w:r>
              <w:t>设置收集设施，集中收集后交由环卫部门</w:t>
            </w:r>
          </w:p>
        </w:tc>
        <w:tc>
          <w:tcPr>
            <w:tcW w:w="1278" w:type="pct"/>
            <w:tcBorders>
              <w:tl2br w:val="nil"/>
              <w:tr2bl w:val="nil"/>
            </w:tcBorders>
            <w:vAlign w:val="center"/>
          </w:tcPr>
          <w:p>
            <w:pPr>
              <w:pStyle w:val="34"/>
            </w:pPr>
            <w:r>
              <w:t>集中处置</w:t>
            </w:r>
          </w:p>
        </w:tc>
        <w:tc>
          <w:tcPr>
            <w:tcW w:w="1249" w:type="pct"/>
            <w:tcBorders>
              <w:tl2br w:val="nil"/>
              <w:tr2bl w:val="nil"/>
            </w:tcBorders>
            <w:vAlign w:val="center"/>
          </w:tcPr>
          <w:p>
            <w:pPr>
              <w:pStyle w:val="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pPr>
              <w:pStyle w:val="34"/>
            </w:pPr>
          </w:p>
        </w:tc>
        <w:tc>
          <w:tcPr>
            <w:tcW w:w="1994" w:type="pct"/>
            <w:gridSpan w:val="2"/>
            <w:tcBorders>
              <w:tl2br w:val="nil"/>
              <w:tr2bl w:val="nil"/>
            </w:tcBorders>
            <w:vAlign w:val="center"/>
          </w:tcPr>
          <w:p>
            <w:pPr>
              <w:pStyle w:val="34"/>
            </w:pPr>
            <w:r>
              <w:rPr>
                <w:rFonts w:hint="eastAsia"/>
              </w:rPr>
              <w:t>分区防渗</w:t>
            </w:r>
          </w:p>
        </w:tc>
        <w:tc>
          <w:tcPr>
            <w:tcW w:w="2527" w:type="pct"/>
            <w:gridSpan w:val="2"/>
            <w:tcBorders>
              <w:tl2br w:val="nil"/>
              <w:tr2bl w:val="nil"/>
            </w:tcBorders>
            <w:vAlign w:val="center"/>
          </w:tcPr>
          <w:p>
            <w:pPr>
              <w:pStyle w:val="34"/>
            </w:pPr>
            <w:r>
              <w:rPr>
                <w:rFonts w:hint="eastAsia"/>
              </w:rPr>
              <w:t>一般防渗区相当于厚度1.5m、渗透系数≤1.0×10</w:t>
            </w:r>
            <w:r>
              <w:rPr>
                <w:rFonts w:hint="eastAsia"/>
                <w:vertAlign w:val="superscript"/>
              </w:rPr>
              <w:t>-7</w:t>
            </w:r>
            <w:r>
              <w:rPr>
                <w:rFonts w:hint="eastAsia"/>
              </w:rPr>
              <w:t>cm/s的黏土层的防渗性能；重点防渗区不应低于6.0m厚、渗透系数为1.0×10</w:t>
            </w:r>
            <w:r>
              <w:rPr>
                <w:rFonts w:hint="eastAsia"/>
                <w:vertAlign w:val="superscript"/>
              </w:rPr>
              <w:t>-7</w:t>
            </w:r>
            <w:r>
              <w:rPr>
                <w:rFonts w:hint="eastAsia"/>
              </w:rPr>
              <w:t>cm/s的黏土层的防渗性能。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tcBorders>
              <w:tl2br w:val="nil"/>
              <w:tr2bl w:val="nil"/>
            </w:tcBorders>
            <w:vAlign w:val="center"/>
          </w:tcPr>
          <w:p>
            <w:pPr>
              <w:pStyle w:val="34"/>
            </w:pPr>
            <w:r>
              <w:rPr>
                <w:rFonts w:hint="eastAsia"/>
              </w:rPr>
              <w:t>环境风险</w:t>
            </w:r>
          </w:p>
        </w:tc>
        <w:tc>
          <w:tcPr>
            <w:tcW w:w="4521" w:type="pct"/>
            <w:gridSpan w:val="4"/>
            <w:tcBorders>
              <w:tl2br w:val="nil"/>
              <w:tr2bl w:val="nil"/>
            </w:tcBorders>
            <w:vAlign w:val="center"/>
          </w:tcPr>
          <w:p>
            <w:pPr>
              <w:pStyle w:val="34"/>
            </w:pPr>
            <w:r>
              <w:rPr>
                <w:rFonts w:hint="eastAsia"/>
              </w:rPr>
              <w:t>标志标识牌等</w:t>
            </w:r>
          </w:p>
        </w:tc>
      </w:tr>
    </w:tbl>
    <w:p>
      <w:pPr>
        <w:pStyle w:val="7"/>
        <w:ind w:firstLine="480"/>
        <w:rPr>
          <w:rFonts w:cs="Times New Roman"/>
        </w:rPr>
      </w:pPr>
    </w:p>
    <w:p>
      <w:pPr>
        <w:pStyle w:val="7"/>
        <w:ind w:firstLine="480"/>
        <w:rPr>
          <w:rFonts w:cs="Times New Roman"/>
        </w:rPr>
        <w:sectPr>
          <w:pgSz w:w="11906" w:h="16838"/>
          <w:pgMar w:top="1440" w:right="1797" w:bottom="1440" w:left="1797" w:header="851" w:footer="992" w:gutter="0"/>
          <w:pgNumType w:fmt="numberInDash"/>
          <w:cols w:space="720" w:num="1"/>
          <w:docGrid w:type="lines" w:linePitch="312" w:charSpace="0"/>
        </w:sectPr>
      </w:pPr>
    </w:p>
    <w:p>
      <w:pPr>
        <w:pStyle w:val="3"/>
        <w:spacing w:before="156" w:after="156"/>
        <w:jc w:val="center"/>
        <w:rPr>
          <w:rFonts w:eastAsia="宋体"/>
        </w:rPr>
      </w:pPr>
      <w:bookmarkStart w:id="112" w:name="_Toc9751"/>
      <w:r>
        <w:rPr>
          <w:rFonts w:eastAsia="宋体"/>
        </w:rPr>
        <w:t>环境影响评价结论</w:t>
      </w:r>
      <w:bookmarkEnd w:id="112"/>
    </w:p>
    <w:p>
      <w:pPr>
        <w:pStyle w:val="4"/>
        <w:spacing w:before="156" w:after="156"/>
        <w:rPr>
          <w:rFonts w:eastAsia="宋体"/>
        </w:rPr>
      </w:pPr>
      <w:bookmarkStart w:id="113" w:name="_Toc2855"/>
      <w:r>
        <w:rPr>
          <w:rFonts w:eastAsia="宋体"/>
        </w:rPr>
        <w:t>建设项目基本情况</w:t>
      </w:r>
      <w:bookmarkEnd w:id="113"/>
    </w:p>
    <w:p>
      <w:pPr>
        <w:pStyle w:val="7"/>
        <w:ind w:firstLine="480"/>
        <w:rPr>
          <w:rFonts w:cs="Times New Roman"/>
        </w:rPr>
      </w:pPr>
      <w:r>
        <w:rPr>
          <w:rFonts w:cs="Times New Roman"/>
        </w:rPr>
        <w:t>项目名称：</w:t>
      </w:r>
      <w:r>
        <w:rPr>
          <w:rFonts w:hint="eastAsia" w:cs="Times New Roman"/>
          <w:lang w:val="zh-CN"/>
        </w:rPr>
        <w:t>塔城市恰夏镇珠茹社日村股份经济合作社滴灌带生产加工厂建设项目</w:t>
      </w:r>
    </w:p>
    <w:p>
      <w:pPr>
        <w:pStyle w:val="7"/>
        <w:ind w:firstLine="480"/>
        <w:rPr>
          <w:rFonts w:cs="Times New Roman"/>
        </w:rPr>
      </w:pPr>
      <w:r>
        <w:rPr>
          <w:rFonts w:cs="Times New Roman"/>
        </w:rPr>
        <w:t>建设单位：</w:t>
      </w:r>
      <w:r>
        <w:rPr>
          <w:rFonts w:hint="eastAsia" w:cs="Times New Roman"/>
          <w:lang w:val="zh-CN"/>
        </w:rPr>
        <w:t>塔城市恰夏镇珠茹社日村股份经济合作社</w:t>
      </w:r>
    </w:p>
    <w:p>
      <w:pPr>
        <w:pStyle w:val="7"/>
        <w:ind w:firstLine="480"/>
        <w:rPr>
          <w:rFonts w:cs="Times New Roman"/>
        </w:rPr>
      </w:pPr>
      <w:r>
        <w:rPr>
          <w:rFonts w:cs="Times New Roman"/>
        </w:rPr>
        <w:t>建设性质：新建</w:t>
      </w:r>
    </w:p>
    <w:p>
      <w:pPr>
        <w:pStyle w:val="7"/>
        <w:ind w:firstLine="480"/>
        <w:rPr>
          <w:rFonts w:cs="Times New Roman"/>
          <w:lang w:val="zh-CN"/>
        </w:rPr>
      </w:pPr>
      <w:r>
        <w:rPr>
          <w:rFonts w:cs="Times New Roman"/>
        </w:rPr>
        <w:t>建设地点：</w:t>
      </w:r>
      <w:r>
        <w:rPr>
          <w:rFonts w:cs="Times New Roman"/>
          <w:lang w:val="zh-CN"/>
        </w:rPr>
        <w:t>项目位于</w:t>
      </w:r>
      <w:r>
        <w:rPr>
          <w:rFonts w:hint="eastAsia" w:cs="Times New Roman"/>
        </w:rPr>
        <w:t>塔城市</w:t>
      </w:r>
      <w:r>
        <w:rPr>
          <w:rFonts w:hint="eastAsia" w:cs="Times New Roman"/>
          <w:lang w:val="zh-CN"/>
        </w:rPr>
        <w:t>恰夏镇珠茹社日村</w:t>
      </w:r>
      <w:r>
        <w:rPr>
          <w:rFonts w:hint="eastAsia" w:cs="Times New Roman"/>
        </w:rPr>
        <w:t>南</w:t>
      </w:r>
      <w:r>
        <w:rPr>
          <w:rFonts w:cs="Times New Roman"/>
          <w:lang w:val="zh-CN"/>
        </w:rPr>
        <w:t>侧</w:t>
      </w:r>
      <w:r>
        <w:rPr>
          <w:rFonts w:hint="eastAsia" w:cs="Times New Roman"/>
        </w:rPr>
        <w:t>约360m</w:t>
      </w:r>
      <w:r>
        <w:rPr>
          <w:rFonts w:cs="Times New Roman"/>
          <w:lang w:val="zh-CN"/>
        </w:rPr>
        <w:t>处。项目区</w:t>
      </w:r>
      <w:r>
        <w:rPr>
          <w:rFonts w:hint="eastAsia" w:cs="Times New Roman"/>
        </w:rPr>
        <w:t>东</w:t>
      </w:r>
      <w:r>
        <w:rPr>
          <w:rFonts w:cs="Times New Roman"/>
          <w:lang w:val="zh-CN"/>
        </w:rPr>
        <w:t>侧为</w:t>
      </w:r>
      <w:r>
        <w:rPr>
          <w:rFonts w:hint="eastAsia" w:cs="Times New Roman"/>
        </w:rPr>
        <w:t>烘干厂</w:t>
      </w:r>
      <w:r>
        <w:rPr>
          <w:rFonts w:cs="Times New Roman"/>
          <w:lang w:val="zh-CN"/>
        </w:rPr>
        <w:t>，</w:t>
      </w:r>
      <w:r>
        <w:rPr>
          <w:rFonts w:hint="eastAsia" w:cs="Times New Roman"/>
        </w:rPr>
        <w:t>西</w:t>
      </w:r>
      <w:r>
        <w:rPr>
          <w:rFonts w:cs="Times New Roman"/>
          <w:lang w:val="zh-CN"/>
        </w:rPr>
        <w:t>侧紧邻乡村道路，</w:t>
      </w:r>
      <w:r>
        <w:rPr>
          <w:rFonts w:hint="eastAsia" w:cs="Times New Roman"/>
        </w:rPr>
        <w:t>南</w:t>
      </w:r>
      <w:r>
        <w:rPr>
          <w:rFonts w:cs="Times New Roman"/>
          <w:lang w:val="zh-CN"/>
        </w:rPr>
        <w:t>、</w:t>
      </w:r>
      <w:r>
        <w:rPr>
          <w:rFonts w:hint="eastAsia" w:cs="Times New Roman"/>
        </w:rPr>
        <w:t>北</w:t>
      </w:r>
      <w:r>
        <w:rPr>
          <w:rFonts w:cs="Times New Roman"/>
          <w:lang w:val="zh-CN"/>
        </w:rPr>
        <w:t>侧均为空地。</w:t>
      </w:r>
    </w:p>
    <w:p>
      <w:pPr>
        <w:pStyle w:val="7"/>
        <w:ind w:firstLine="480"/>
        <w:rPr>
          <w:rFonts w:cs="Times New Roman"/>
        </w:rPr>
      </w:pPr>
      <w:r>
        <w:rPr>
          <w:rFonts w:cs="Times New Roman"/>
        </w:rPr>
        <w:t>建设项目总投资：</w:t>
      </w:r>
      <w:r>
        <w:rPr>
          <w:rFonts w:hint="eastAsia" w:cs="Times New Roman"/>
        </w:rPr>
        <w:t>500</w:t>
      </w:r>
      <w:r>
        <w:rPr>
          <w:rFonts w:cs="Times New Roman"/>
        </w:rPr>
        <w:t>万元。其中环保投资</w:t>
      </w:r>
      <w:r>
        <w:rPr>
          <w:rFonts w:hint="eastAsia" w:cs="Times New Roman"/>
        </w:rPr>
        <w:t>30.7万元</w:t>
      </w:r>
      <w:r>
        <w:rPr>
          <w:rFonts w:cs="Times New Roman"/>
        </w:rPr>
        <w:t>，占总投资的</w:t>
      </w:r>
      <w:r>
        <w:rPr>
          <w:rFonts w:hint="eastAsia" w:cs="Times New Roman"/>
        </w:rPr>
        <w:t>6.1%</w:t>
      </w:r>
      <w:r>
        <w:rPr>
          <w:rFonts w:cs="Times New Roman"/>
        </w:rPr>
        <w:t>。</w:t>
      </w:r>
    </w:p>
    <w:p>
      <w:pPr>
        <w:pStyle w:val="7"/>
        <w:ind w:firstLine="480"/>
        <w:rPr>
          <w:rFonts w:cs="Times New Roman"/>
          <w:lang w:val="zh-CN"/>
        </w:rPr>
      </w:pPr>
      <w:r>
        <w:rPr>
          <w:rFonts w:cs="Times New Roman"/>
        </w:rPr>
        <w:t>占地面积及建设内容：厂区总占地面积</w:t>
      </w:r>
      <w:r>
        <w:rPr>
          <w:rFonts w:hint="eastAsia" w:cs="Times New Roman"/>
        </w:rPr>
        <w:t>9974.4</w:t>
      </w:r>
      <w:r>
        <w:rPr>
          <w:rFonts w:cs="Times New Roman"/>
        </w:rPr>
        <w:t>m</w:t>
      </w:r>
      <w:r>
        <w:rPr>
          <w:rFonts w:cs="Times New Roman"/>
          <w:vertAlign w:val="superscript"/>
        </w:rPr>
        <w:t>2</w:t>
      </w:r>
      <w:r>
        <w:rPr>
          <w:rFonts w:cs="Times New Roman"/>
        </w:rPr>
        <w:t>，总建筑面积</w:t>
      </w:r>
      <w:r>
        <w:rPr>
          <w:rFonts w:hint="eastAsia" w:cs="Times New Roman"/>
        </w:rPr>
        <w:t>9000</w:t>
      </w:r>
      <w:r>
        <w:rPr>
          <w:rFonts w:cs="Times New Roman"/>
        </w:rPr>
        <w:t>m</w:t>
      </w:r>
      <w:r>
        <w:rPr>
          <w:rFonts w:cs="Times New Roman"/>
          <w:vertAlign w:val="superscript"/>
        </w:rPr>
        <w:t>2</w:t>
      </w:r>
      <w:r>
        <w:rPr>
          <w:rFonts w:cs="Times New Roman"/>
        </w:rPr>
        <w:t>，</w:t>
      </w:r>
      <w:r>
        <w:rPr>
          <w:rFonts w:cs="Times New Roman"/>
          <w:lang w:val="zh-CN"/>
        </w:rPr>
        <w:t>由</w:t>
      </w:r>
      <w:r>
        <w:rPr>
          <w:rFonts w:hint="eastAsia" w:cs="Times New Roman"/>
        </w:rPr>
        <w:t>粉碎</w:t>
      </w:r>
      <w:r>
        <w:rPr>
          <w:rFonts w:cs="Times New Roman"/>
          <w:lang w:val="zh-CN"/>
        </w:rPr>
        <w:t>造粒间、成品生产车间、</w:t>
      </w:r>
      <w:r>
        <w:rPr>
          <w:rFonts w:hint="eastAsia" w:cs="Times New Roman"/>
        </w:rPr>
        <w:t>库房</w:t>
      </w:r>
      <w:r>
        <w:rPr>
          <w:rFonts w:cs="Times New Roman"/>
          <w:lang w:val="zh-CN"/>
        </w:rPr>
        <w:t>、公用配套工程等组成。</w:t>
      </w:r>
    </w:p>
    <w:p>
      <w:pPr>
        <w:pStyle w:val="7"/>
        <w:ind w:firstLine="480"/>
        <w:rPr>
          <w:rFonts w:cs="Times New Roman"/>
        </w:rPr>
      </w:pPr>
      <w:r>
        <w:rPr>
          <w:rFonts w:cs="Times New Roman"/>
        </w:rPr>
        <w:t>建设规模：</w:t>
      </w:r>
      <w:r>
        <w:rPr>
          <w:rFonts w:cs="Times New Roman"/>
          <w:lang w:val="zh-CN"/>
        </w:rPr>
        <w:t>年回收</w:t>
      </w:r>
      <w:r>
        <w:rPr>
          <w:rFonts w:hint="eastAsia" w:cs="Times New Roman"/>
          <w:lang w:val="zh-CN"/>
        </w:rPr>
        <w:t>废旧滴灌带及废水带</w:t>
      </w:r>
      <w:r>
        <w:rPr>
          <w:rFonts w:cs="Times New Roman"/>
          <w:lang w:val="zh-CN"/>
        </w:rPr>
        <w:t>约</w:t>
      </w:r>
      <w:r>
        <w:rPr>
          <w:rFonts w:hint="eastAsia" w:cs="Times New Roman"/>
        </w:rPr>
        <w:t>5000</w:t>
      </w:r>
      <w:r>
        <w:rPr>
          <w:rFonts w:cs="Times New Roman"/>
          <w:lang w:val="zh-CN"/>
        </w:rPr>
        <w:t>t，年生产滴灌带约3000t、水带约2000t。</w:t>
      </w:r>
    </w:p>
    <w:p>
      <w:pPr>
        <w:pStyle w:val="7"/>
        <w:ind w:firstLine="480"/>
        <w:rPr>
          <w:rFonts w:cs="Times New Roman"/>
        </w:rPr>
      </w:pPr>
      <w:r>
        <w:rPr>
          <w:rFonts w:cs="Times New Roman"/>
        </w:rPr>
        <w:t>劳动定员及工作制度：本项目劳动定员30人，年工作180天，每天3班，每班8小时，年工作4320小时。</w:t>
      </w:r>
    </w:p>
    <w:p>
      <w:pPr>
        <w:pStyle w:val="4"/>
        <w:spacing w:before="156" w:after="156"/>
        <w:rPr>
          <w:rFonts w:eastAsia="宋体"/>
        </w:rPr>
      </w:pPr>
      <w:bookmarkStart w:id="114" w:name="_Toc19580"/>
      <w:r>
        <w:rPr>
          <w:rFonts w:eastAsia="宋体"/>
        </w:rPr>
        <w:t>污染物排放情况</w:t>
      </w:r>
      <w:r>
        <w:rPr>
          <w:rFonts w:hint="eastAsia" w:eastAsia="宋体"/>
          <w:lang w:eastAsia="zh-CN"/>
        </w:rPr>
        <w:t>及总量控制</w:t>
      </w:r>
      <w:bookmarkEnd w:id="114"/>
    </w:p>
    <w:p>
      <w:pPr>
        <w:pStyle w:val="7"/>
        <w:ind w:firstLine="480"/>
        <w:rPr>
          <w:rFonts w:cs="Times New Roman"/>
        </w:rPr>
      </w:pPr>
      <w:r>
        <w:rPr>
          <w:rFonts w:cs="Times New Roman"/>
        </w:rPr>
        <w:t>本项目大气污染物VOCs（以非甲烷总烃计）排放量</w:t>
      </w:r>
      <w:r>
        <w:rPr>
          <w:rFonts w:hint="eastAsia" w:cs="Times New Roman"/>
        </w:rPr>
        <w:t>6.175</w:t>
      </w:r>
      <w:r>
        <w:rPr>
          <w:rFonts w:cs="Times New Roman"/>
        </w:rPr>
        <w:t>t/a</w:t>
      </w:r>
      <w:r>
        <w:rPr>
          <w:rFonts w:hint="eastAsia" w:cs="Times New Roman"/>
          <w:lang w:eastAsia="zh-CN"/>
        </w:rPr>
        <w:t>，其中有组织排放量</w:t>
      </w:r>
      <w:r>
        <w:rPr>
          <w:rFonts w:hint="eastAsia" w:cs="Times New Roman"/>
          <w:lang w:val="en-US" w:eastAsia="zh-CN"/>
        </w:rPr>
        <w:t>5.25t/a，无组织排放量0.925t/a</w:t>
      </w:r>
      <w:r>
        <w:rPr>
          <w:rFonts w:cs="Times New Roman"/>
        </w:rPr>
        <w:t>。项目仅排放生活污水432m</w:t>
      </w:r>
      <w:r>
        <w:rPr>
          <w:rFonts w:cs="Times New Roman"/>
          <w:vertAlign w:val="superscript"/>
        </w:rPr>
        <w:t>3</w:t>
      </w:r>
      <w:r>
        <w:rPr>
          <w:rFonts w:cs="Times New Roman"/>
        </w:rPr>
        <w:t>/a，拉运至塔城市污水处理站处理。</w:t>
      </w:r>
    </w:p>
    <w:p>
      <w:pPr>
        <w:spacing w:line="360" w:lineRule="auto"/>
        <w:ind w:firstLine="480" w:firstLineChars="200"/>
        <w:rPr>
          <w:rFonts w:ascii="宋体" w:hAnsi="宋体" w:eastAsia="宋体"/>
          <w:color w:val="auto"/>
          <w:sz w:val="24"/>
          <w:highlight w:val="none"/>
        </w:rPr>
      </w:pPr>
      <w:r>
        <w:rPr>
          <w:rFonts w:hint="eastAsia" w:ascii="宋体" w:hAnsi="宋体"/>
          <w:color w:val="auto"/>
          <w:sz w:val="24"/>
          <w:highlight w:val="none"/>
          <w:lang w:eastAsia="zh-CN"/>
        </w:rPr>
        <w:t>项目</w:t>
      </w:r>
      <w:r>
        <w:rPr>
          <w:rFonts w:hint="eastAsia" w:ascii="宋体" w:hAnsi="宋体" w:eastAsia="宋体"/>
          <w:color w:val="auto"/>
          <w:sz w:val="24"/>
          <w:highlight w:val="none"/>
        </w:rPr>
        <w:t>生活污水</w:t>
      </w:r>
      <w:r>
        <w:rPr>
          <w:rFonts w:hint="eastAsia" w:ascii="宋体" w:hAnsi="宋体"/>
          <w:color w:val="auto"/>
          <w:sz w:val="24"/>
          <w:highlight w:val="none"/>
          <w:lang w:eastAsia="zh-CN"/>
        </w:rPr>
        <w:t>定期拉运至塔城市污水处理厂处理，不计入总量指标。</w:t>
      </w:r>
      <w:r>
        <w:rPr>
          <w:rFonts w:hint="eastAsia" w:ascii="宋体" w:hAnsi="宋体" w:eastAsia="宋体"/>
          <w:color w:val="auto"/>
          <w:sz w:val="24"/>
          <w:highlight w:val="none"/>
        </w:rPr>
        <w:t>大气污染物</w:t>
      </w:r>
      <w:r>
        <w:rPr>
          <w:rFonts w:hint="eastAsia" w:ascii="宋体" w:hAnsi="宋体"/>
          <w:color w:val="auto"/>
          <w:sz w:val="24"/>
          <w:highlight w:val="none"/>
          <w:lang w:eastAsia="zh-CN"/>
        </w:rPr>
        <w:t>总量控制指标为</w:t>
      </w:r>
      <w:r>
        <w:rPr>
          <w:rFonts w:hint="eastAsia" w:ascii="宋体" w:hAnsi="宋体"/>
          <w:color w:val="auto"/>
          <w:sz w:val="24"/>
          <w:highlight w:val="none"/>
          <w:lang w:val="en-US" w:eastAsia="zh-CN"/>
        </w:rPr>
        <w:t>VOCs（以</w:t>
      </w:r>
      <w:r>
        <w:rPr>
          <w:rFonts w:hint="eastAsia" w:ascii="宋体" w:hAnsi="宋体" w:eastAsia="宋体"/>
          <w:color w:val="auto"/>
          <w:sz w:val="24"/>
          <w:highlight w:val="none"/>
        </w:rPr>
        <w:t>非甲烷总烃</w:t>
      </w:r>
      <w:r>
        <w:rPr>
          <w:rFonts w:hint="eastAsia" w:ascii="宋体" w:hAnsi="宋体"/>
          <w:color w:val="auto"/>
          <w:sz w:val="24"/>
          <w:highlight w:val="none"/>
          <w:lang w:eastAsia="zh-CN"/>
        </w:rPr>
        <w:t>计），总量为</w:t>
      </w:r>
      <w:r>
        <w:rPr>
          <w:rFonts w:hint="eastAsia" w:ascii="宋体" w:hAnsi="宋体"/>
          <w:color w:val="auto"/>
          <w:sz w:val="24"/>
          <w:highlight w:val="none"/>
          <w:lang w:val="en-US" w:eastAsia="zh-CN"/>
        </w:rPr>
        <w:t>5.25t/a</w:t>
      </w:r>
      <w:r>
        <w:rPr>
          <w:rFonts w:hint="eastAsia" w:ascii="宋体" w:hAnsi="宋体" w:eastAsia="宋体"/>
          <w:color w:val="auto"/>
          <w:sz w:val="24"/>
          <w:highlight w:val="none"/>
        </w:rPr>
        <w:t>。</w:t>
      </w:r>
    </w:p>
    <w:p>
      <w:pPr>
        <w:pStyle w:val="4"/>
        <w:spacing w:before="156" w:after="156"/>
        <w:rPr>
          <w:rFonts w:eastAsia="宋体"/>
        </w:rPr>
      </w:pPr>
      <w:bookmarkStart w:id="115" w:name="_Toc17502"/>
      <w:r>
        <w:rPr>
          <w:rFonts w:eastAsia="宋体"/>
        </w:rPr>
        <w:t>主要环境影响</w:t>
      </w:r>
      <w:bookmarkEnd w:id="115"/>
    </w:p>
    <w:p>
      <w:pPr>
        <w:pStyle w:val="7"/>
        <w:ind w:firstLine="480"/>
        <w:rPr>
          <w:rFonts w:cs="Times New Roman"/>
        </w:rPr>
      </w:pPr>
      <w:r>
        <w:rPr>
          <w:rFonts w:cs="Times New Roman"/>
        </w:rPr>
        <w:t>环境影响预测与评价结果表明，本项目投产后，废气、废水、噪声和固废不会对周围环境造成明显影响。</w:t>
      </w:r>
    </w:p>
    <w:p>
      <w:pPr>
        <w:pStyle w:val="4"/>
        <w:spacing w:before="156" w:after="156"/>
        <w:rPr>
          <w:rFonts w:eastAsia="宋体"/>
        </w:rPr>
      </w:pPr>
      <w:bookmarkStart w:id="116" w:name="_Toc109829222"/>
      <w:bookmarkStart w:id="117" w:name="_Toc78482208"/>
      <w:bookmarkStart w:id="118" w:name="_Toc16578"/>
      <w:r>
        <w:rPr>
          <w:rFonts w:eastAsia="宋体"/>
        </w:rPr>
        <w:t>环境保护措施</w:t>
      </w:r>
      <w:bookmarkEnd w:id="116"/>
      <w:bookmarkEnd w:id="117"/>
      <w:bookmarkEnd w:id="118"/>
    </w:p>
    <w:p>
      <w:pPr>
        <w:pStyle w:val="7"/>
        <w:ind w:firstLine="480"/>
        <w:rPr>
          <w:rFonts w:cs="Times New Roman"/>
        </w:rPr>
      </w:pPr>
      <w:r>
        <w:rPr>
          <w:rFonts w:cs="Times New Roman"/>
        </w:rPr>
        <w:t>本项目原料废旧滴灌带</w:t>
      </w:r>
      <w:r>
        <w:rPr>
          <w:rFonts w:hint="eastAsia" w:cs="Times New Roman"/>
          <w:lang w:val="zh-CN"/>
        </w:rPr>
        <w:t>及废水带</w:t>
      </w:r>
      <w:r>
        <w:rPr>
          <w:rFonts w:cs="Times New Roman"/>
        </w:rPr>
        <w:t>在厂内半封闭</w:t>
      </w:r>
      <w:r>
        <w:rPr>
          <w:rFonts w:hint="eastAsia" w:cs="Times New Roman"/>
        </w:rPr>
        <w:t>彩钢棚</w:t>
      </w:r>
      <w:r>
        <w:rPr>
          <w:rFonts w:cs="Times New Roman"/>
        </w:rPr>
        <w:t>内存放；废旧滴灌带</w:t>
      </w:r>
      <w:r>
        <w:rPr>
          <w:rFonts w:hint="eastAsia" w:cs="Times New Roman"/>
          <w:lang w:val="zh-CN"/>
        </w:rPr>
        <w:t>及废水带</w:t>
      </w:r>
      <w:r>
        <w:rPr>
          <w:rFonts w:cs="Times New Roman"/>
        </w:rPr>
        <w:t>破碎采用湿法破碎工艺。项目造粒工序、滴灌带</w:t>
      </w:r>
      <w:r>
        <w:rPr>
          <w:rFonts w:hint="eastAsia" w:cs="Times New Roman"/>
        </w:rPr>
        <w:t>/水带</w:t>
      </w:r>
      <w:r>
        <w:rPr>
          <w:rFonts w:cs="Times New Roman"/>
        </w:rPr>
        <w:t>生产工序产生的挥发性有机废气分别通过集气罩收集后进入一套UV光氧催化+活性炭吸附装置处理后通过1根15m高排气筒排放。</w:t>
      </w:r>
    </w:p>
    <w:p>
      <w:pPr>
        <w:pStyle w:val="7"/>
        <w:ind w:firstLine="480"/>
        <w:rPr>
          <w:rFonts w:cs="Times New Roman"/>
        </w:rPr>
      </w:pPr>
      <w:r>
        <w:rPr>
          <w:rFonts w:cs="Times New Roman"/>
        </w:rPr>
        <w:t>项目运营期生产废水经处理后全部回用，不外排；生活污水在厂区化粪池临时储存，定期由环卫</w:t>
      </w:r>
      <w:r>
        <w:rPr>
          <w:rFonts w:hint="eastAsia" w:cs="Times New Roman"/>
          <w:lang w:eastAsia="zh-CN"/>
        </w:rPr>
        <w:t>部门</w:t>
      </w:r>
      <w:r>
        <w:rPr>
          <w:rFonts w:cs="Times New Roman"/>
        </w:rPr>
        <w:t>拉运处理。</w:t>
      </w:r>
    </w:p>
    <w:p>
      <w:pPr>
        <w:pStyle w:val="7"/>
        <w:ind w:firstLine="480"/>
        <w:rPr>
          <w:rFonts w:cs="Times New Roman"/>
        </w:rPr>
      </w:pPr>
      <w:r>
        <w:rPr>
          <w:rFonts w:cs="Times New Roman"/>
        </w:rPr>
        <w:t>本项目运营期设备噪声通过选用低噪声设备、基础减振、隔声等措施可以得到有效控制。</w:t>
      </w:r>
    </w:p>
    <w:p>
      <w:pPr>
        <w:pStyle w:val="7"/>
        <w:ind w:firstLine="480"/>
        <w:rPr>
          <w:rFonts w:cs="Times New Roman"/>
        </w:rPr>
      </w:pPr>
      <w:r>
        <w:rPr>
          <w:rFonts w:cs="Times New Roman"/>
        </w:rPr>
        <w:t>项目运营期的固体废物包括沉淀池污泥、造粒工段产生的废滤网、滴灌带</w:t>
      </w:r>
      <w:r>
        <w:rPr>
          <w:rFonts w:hint="eastAsia" w:cs="Times New Roman"/>
        </w:rPr>
        <w:t>/水带</w:t>
      </w:r>
      <w:r>
        <w:rPr>
          <w:rFonts w:cs="Times New Roman"/>
        </w:rPr>
        <w:t>产品成型工段产生的残次品及边角料、废气处理设施产生的废活性炭、废UV灯管，设备维修产生的废润滑油以及生活垃圾。</w:t>
      </w:r>
    </w:p>
    <w:p>
      <w:pPr>
        <w:pStyle w:val="7"/>
        <w:ind w:firstLine="480"/>
        <w:rPr>
          <w:rFonts w:cs="Times New Roman"/>
        </w:rPr>
      </w:pPr>
      <w:r>
        <w:rPr>
          <w:rFonts w:cs="Times New Roman"/>
        </w:rPr>
        <w:t>其中污泥定期清理，与生活垃圾一同交由环卫部门处置；废滤网收集后外售物资回收单位处置；残次品及边角料均返回造粒工序利用；废活性炭、废UV灯管及废润滑油等在厂区内</w:t>
      </w:r>
      <w:r>
        <w:rPr>
          <w:rFonts w:hint="eastAsia" w:cs="Times New Roman"/>
        </w:rPr>
        <w:t>危废贮存库</w:t>
      </w:r>
      <w:r>
        <w:rPr>
          <w:rFonts w:cs="Times New Roman"/>
        </w:rPr>
        <w:t>暂存，定期交由具有危险废物处置资质的单位处置。</w:t>
      </w:r>
    </w:p>
    <w:p>
      <w:pPr>
        <w:pStyle w:val="4"/>
        <w:snapToGrid w:val="0"/>
        <w:spacing w:before="156" w:after="156"/>
        <w:ind w:left="425" w:hanging="425"/>
        <w:rPr>
          <w:rFonts w:eastAsia="宋体"/>
        </w:rPr>
      </w:pPr>
      <w:bookmarkStart w:id="119" w:name="_Toc78482209"/>
      <w:bookmarkStart w:id="120" w:name="_Toc109829223"/>
      <w:bookmarkStart w:id="121" w:name="_Toc6252"/>
      <w:r>
        <w:rPr>
          <w:rFonts w:eastAsia="宋体"/>
        </w:rPr>
        <w:t>环境影响经济损益分析</w:t>
      </w:r>
      <w:bookmarkEnd w:id="119"/>
      <w:bookmarkEnd w:id="120"/>
      <w:bookmarkEnd w:id="121"/>
    </w:p>
    <w:p>
      <w:pPr>
        <w:pStyle w:val="7"/>
        <w:ind w:firstLine="480"/>
        <w:rPr>
          <w:rFonts w:cs="Times New Roman"/>
        </w:rPr>
      </w:pPr>
      <w:r>
        <w:rPr>
          <w:rFonts w:cs="Times New Roman"/>
        </w:rPr>
        <w:t>由环境经济效益分析可知，项目采取的各种污染防治措施合理可行，可使项目生产过程中产生的污染物得到较大程度的削减，同时项目的建设将会促进当地经济发展，增加就业机会，具有较好的经济效益、社会效益和环境效益。</w:t>
      </w:r>
    </w:p>
    <w:p>
      <w:pPr>
        <w:pStyle w:val="4"/>
        <w:snapToGrid w:val="0"/>
        <w:spacing w:before="156" w:after="156"/>
        <w:ind w:left="425" w:hanging="425"/>
        <w:rPr>
          <w:rFonts w:eastAsia="宋体"/>
        </w:rPr>
      </w:pPr>
      <w:bookmarkStart w:id="122" w:name="_Toc78482210"/>
      <w:bookmarkStart w:id="123" w:name="_Toc109829224"/>
      <w:bookmarkStart w:id="124" w:name="_Toc35"/>
      <w:r>
        <w:rPr>
          <w:rFonts w:eastAsia="宋体"/>
        </w:rPr>
        <w:t>环境管理与监测计划</w:t>
      </w:r>
      <w:bookmarkEnd w:id="122"/>
      <w:bookmarkEnd w:id="123"/>
      <w:bookmarkEnd w:id="124"/>
    </w:p>
    <w:p>
      <w:pPr>
        <w:pStyle w:val="7"/>
        <w:ind w:firstLine="480"/>
        <w:rPr>
          <w:rFonts w:cs="Times New Roman"/>
        </w:rPr>
      </w:pPr>
      <w:r>
        <w:rPr>
          <w:rFonts w:cs="Times New Roman"/>
          <w:lang w:val="zh-CN"/>
        </w:rPr>
        <w:t>本评价针对项目不同阶段均提出了完善的环境管理计划，能够</w:t>
      </w:r>
      <w:r>
        <w:rPr>
          <w:rFonts w:cs="Times New Roman"/>
        </w:rPr>
        <w:t>确保项目在工程施工和运行期间各项环保治理措施得到落实，做到最大限度地减少污染。同时制定了完善的环境监测计划，</w:t>
      </w:r>
      <w:r>
        <w:rPr>
          <w:rFonts w:cs="Times New Roman"/>
          <w:lang w:val="zh-CN"/>
        </w:rPr>
        <w:t>能够满足项目运行后环境管理需求，</w:t>
      </w:r>
      <w:r>
        <w:rPr>
          <w:rFonts w:cs="Times New Roman"/>
        </w:rPr>
        <w:t>为污染源治理，掌握污染物排放变化规律提供依据，为生态环境主管部门进行区域环境规划、管理执法提供依据。</w:t>
      </w:r>
    </w:p>
    <w:p>
      <w:pPr>
        <w:pStyle w:val="4"/>
        <w:spacing w:before="156" w:after="156"/>
        <w:rPr>
          <w:rFonts w:eastAsia="宋体"/>
        </w:rPr>
      </w:pPr>
      <w:bookmarkStart w:id="125" w:name="_Toc15693"/>
      <w:r>
        <w:rPr>
          <w:rFonts w:eastAsia="宋体"/>
        </w:rPr>
        <w:t>总结论</w:t>
      </w:r>
      <w:bookmarkEnd w:id="125"/>
    </w:p>
    <w:p>
      <w:pPr>
        <w:pStyle w:val="7"/>
        <w:ind w:firstLine="480"/>
        <w:rPr>
          <w:rFonts w:cs="Times New Roman"/>
        </w:rPr>
      </w:pPr>
      <w:r>
        <w:rPr>
          <w:rFonts w:cs="Times New Roman"/>
        </w:rPr>
        <w:t>本项目的建设符合国家产业政策、选址基本合理、生产工艺满足清洁生产要求、污染物的防治措施在技术上和经济上可行，能实现达标排放和总量控制的要求。采取的废水、废气、噪声、固体废物等污染防治措施合理可行，能够实现污染物稳定达标排放。采取可行的风险防控措施后，项目环境风险在环境可接受水平之内。评价认为，在严格执行“三同时”制度，落实好各项风险防范措施和事故应急计划、做好突发环境事件应急预案工作的前提下，从环境影响角度分析，项目的建设是可行的。</w:t>
      </w:r>
    </w:p>
    <w:sectPr>
      <w:pgSz w:w="11906" w:h="16838"/>
      <w:pgMar w:top="1440" w:right="1797" w:bottom="1440" w:left="179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tabs>
        <w:tab w:val="left" w:pos="3990"/>
        <w:tab w:val="center" w:pos="4156"/>
        <w:tab w:val="clear" w:pos="4153"/>
      </w:tabs>
      <w:jc w:val="center"/>
    </w:pPr>
    <w:r>
      <w:fldChar w:fldCharType="begin"/>
    </w:r>
    <w:r>
      <w:instrText xml:space="preserve">PAGE   \* MERGEFORMAT</w:instrText>
    </w:r>
    <w:r>
      <w:fldChar w:fldCharType="separate"/>
    </w:r>
    <w:r>
      <w:rPr>
        <w:lang w:val="zh-CN"/>
      </w:rPr>
      <w:t>-</w:t>
    </w:r>
    <w:r>
      <w:t xml:space="preserve"> 87 -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pPr>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rPr>
        <w:rFonts w:hint="eastAsia"/>
      </w:rPr>
      <w:t>塔城市恰夏镇珠茹社日村股份经济合作社滴灌带生产加工厂建设项目环境影响报告书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CD5CCD"/>
    <w:multiLevelType w:val="multilevel"/>
    <w:tmpl w:val="16CD5CCD"/>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2EB22B70"/>
    <w:multiLevelType w:val="multilevel"/>
    <w:tmpl w:val="2EB22B70"/>
    <w:lvl w:ilvl="0" w:tentative="0">
      <w:start w:val="1"/>
      <w:numFmt w:val="decimal"/>
      <w:pStyle w:val="3"/>
      <w:lvlText w:val="%1"/>
      <w:lvlJc w:val="left"/>
      <w:pPr>
        <w:ind w:left="425" w:hanging="425"/>
      </w:pPr>
      <w:rPr>
        <w:rFonts w:hint="eastAsia"/>
      </w:rPr>
    </w:lvl>
    <w:lvl w:ilvl="1" w:tentative="0">
      <w:start w:val="1"/>
      <w:numFmt w:val="decimal"/>
      <w:pStyle w:val="4"/>
      <w:lvlText w:val="%1.%2"/>
      <w:lvlJc w:val="left"/>
      <w:pPr>
        <w:tabs>
          <w:tab w:val="left" w:pos="567"/>
        </w:tabs>
        <w:ind w:left="425" w:hanging="425"/>
      </w:pPr>
      <w:rPr>
        <w:rFonts w:hint="eastAsia"/>
      </w:rPr>
    </w:lvl>
    <w:lvl w:ilvl="2" w:tentative="0">
      <w:start w:val="1"/>
      <w:numFmt w:val="decimal"/>
      <w:pStyle w:val="5"/>
      <w:lvlText w:val="%1.%2.%3"/>
      <w:lvlJc w:val="left"/>
      <w:pPr>
        <w:tabs>
          <w:tab w:val="left" w:pos="567"/>
        </w:tabs>
        <w:ind w:left="425" w:hanging="425"/>
      </w:pPr>
      <w:rPr>
        <w:rFonts w:hint="eastAsia" w:cs="Times New Roman"/>
        <w:b/>
        <w:bCs w:val="0"/>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3" w:tentative="0">
      <w:start w:val="1"/>
      <w:numFmt w:val="decimal"/>
      <w:pStyle w:val="6"/>
      <w:lvlText w:val="%1.%2.%3.%4"/>
      <w:lvlJc w:val="left"/>
      <w:pPr>
        <w:tabs>
          <w:tab w:val="left" w:pos="567"/>
        </w:tabs>
        <w:ind w:left="425" w:hanging="425"/>
      </w:pPr>
      <w:rPr>
        <w:rFonts w:hint="default" w:ascii="Times New Roman" w:hAnsi="Times New Roman"/>
        <w:b/>
        <w:i w:val="0"/>
        <w:sz w:val="28"/>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58FED9B5"/>
    <w:multiLevelType w:val="singleLevel"/>
    <w:tmpl w:val="58FED9B5"/>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dit="forms" w:enforcement="0"/>
  <w:defaultTabStop w:val="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4Njk3MTc0MGM2YzQ5OWNiODI1MWRlZmYyYTAyZmEifQ=="/>
  </w:docVars>
  <w:rsids>
    <w:rsidRoot w:val="00682393"/>
    <w:rsid w:val="000001AB"/>
    <w:rsid w:val="000003B3"/>
    <w:rsid w:val="00000629"/>
    <w:rsid w:val="00000996"/>
    <w:rsid w:val="0000099F"/>
    <w:rsid w:val="00001087"/>
    <w:rsid w:val="00001318"/>
    <w:rsid w:val="000013AA"/>
    <w:rsid w:val="00001AD5"/>
    <w:rsid w:val="00001B6B"/>
    <w:rsid w:val="00001CA5"/>
    <w:rsid w:val="00001D64"/>
    <w:rsid w:val="00001DCD"/>
    <w:rsid w:val="000020B1"/>
    <w:rsid w:val="00002184"/>
    <w:rsid w:val="000024FC"/>
    <w:rsid w:val="000029AE"/>
    <w:rsid w:val="000035AA"/>
    <w:rsid w:val="000036F8"/>
    <w:rsid w:val="000037BC"/>
    <w:rsid w:val="00003994"/>
    <w:rsid w:val="00003DED"/>
    <w:rsid w:val="000040CE"/>
    <w:rsid w:val="00004594"/>
    <w:rsid w:val="00004768"/>
    <w:rsid w:val="00004AFC"/>
    <w:rsid w:val="00004BE6"/>
    <w:rsid w:val="00004D29"/>
    <w:rsid w:val="00005150"/>
    <w:rsid w:val="000056DE"/>
    <w:rsid w:val="0000601B"/>
    <w:rsid w:val="0000615D"/>
    <w:rsid w:val="000062B6"/>
    <w:rsid w:val="000065D3"/>
    <w:rsid w:val="000066BB"/>
    <w:rsid w:val="00006E79"/>
    <w:rsid w:val="00007000"/>
    <w:rsid w:val="000070B6"/>
    <w:rsid w:val="00007235"/>
    <w:rsid w:val="000074E4"/>
    <w:rsid w:val="0000755A"/>
    <w:rsid w:val="0000769F"/>
    <w:rsid w:val="000078F4"/>
    <w:rsid w:val="00007CF7"/>
    <w:rsid w:val="00010A88"/>
    <w:rsid w:val="00010C0C"/>
    <w:rsid w:val="00010C7F"/>
    <w:rsid w:val="00010D28"/>
    <w:rsid w:val="00010EF6"/>
    <w:rsid w:val="00010F9D"/>
    <w:rsid w:val="000110D7"/>
    <w:rsid w:val="00011282"/>
    <w:rsid w:val="0001170F"/>
    <w:rsid w:val="00012134"/>
    <w:rsid w:val="0001294F"/>
    <w:rsid w:val="00012FC5"/>
    <w:rsid w:val="00013132"/>
    <w:rsid w:val="0001339E"/>
    <w:rsid w:val="0001340C"/>
    <w:rsid w:val="0001354A"/>
    <w:rsid w:val="000136C1"/>
    <w:rsid w:val="00013942"/>
    <w:rsid w:val="00013BC9"/>
    <w:rsid w:val="00014112"/>
    <w:rsid w:val="000143C8"/>
    <w:rsid w:val="00014467"/>
    <w:rsid w:val="00014DA6"/>
    <w:rsid w:val="000155E1"/>
    <w:rsid w:val="00015946"/>
    <w:rsid w:val="00015A8E"/>
    <w:rsid w:val="00015AC6"/>
    <w:rsid w:val="00015D39"/>
    <w:rsid w:val="000164FA"/>
    <w:rsid w:val="00016C41"/>
    <w:rsid w:val="00016C64"/>
    <w:rsid w:val="00017161"/>
    <w:rsid w:val="00017D3F"/>
    <w:rsid w:val="00017DE4"/>
    <w:rsid w:val="00020223"/>
    <w:rsid w:val="00020266"/>
    <w:rsid w:val="000206BF"/>
    <w:rsid w:val="00020930"/>
    <w:rsid w:val="00021A1B"/>
    <w:rsid w:val="00021C0F"/>
    <w:rsid w:val="00021C95"/>
    <w:rsid w:val="00023351"/>
    <w:rsid w:val="00023522"/>
    <w:rsid w:val="0002357E"/>
    <w:rsid w:val="00023638"/>
    <w:rsid w:val="000236F0"/>
    <w:rsid w:val="000237D4"/>
    <w:rsid w:val="00023B02"/>
    <w:rsid w:val="00023BA8"/>
    <w:rsid w:val="00023BD3"/>
    <w:rsid w:val="00023C8C"/>
    <w:rsid w:val="00023CA9"/>
    <w:rsid w:val="00023F5B"/>
    <w:rsid w:val="000242ED"/>
    <w:rsid w:val="00024660"/>
    <w:rsid w:val="000246BE"/>
    <w:rsid w:val="00024B8C"/>
    <w:rsid w:val="00024CED"/>
    <w:rsid w:val="000250B8"/>
    <w:rsid w:val="0002522C"/>
    <w:rsid w:val="00025511"/>
    <w:rsid w:val="000260CD"/>
    <w:rsid w:val="00026234"/>
    <w:rsid w:val="00026552"/>
    <w:rsid w:val="0002694F"/>
    <w:rsid w:val="00026A38"/>
    <w:rsid w:val="00026B60"/>
    <w:rsid w:val="00026DD0"/>
    <w:rsid w:val="0002707D"/>
    <w:rsid w:val="00027217"/>
    <w:rsid w:val="00027250"/>
    <w:rsid w:val="0002746B"/>
    <w:rsid w:val="0002776D"/>
    <w:rsid w:val="00027944"/>
    <w:rsid w:val="00027EBC"/>
    <w:rsid w:val="000302E9"/>
    <w:rsid w:val="0003063D"/>
    <w:rsid w:val="000306C6"/>
    <w:rsid w:val="000306D3"/>
    <w:rsid w:val="00030747"/>
    <w:rsid w:val="000309A5"/>
    <w:rsid w:val="00030E36"/>
    <w:rsid w:val="00031226"/>
    <w:rsid w:val="000314E6"/>
    <w:rsid w:val="00031727"/>
    <w:rsid w:val="00031B60"/>
    <w:rsid w:val="00031C39"/>
    <w:rsid w:val="00031E41"/>
    <w:rsid w:val="00031E63"/>
    <w:rsid w:val="000321FD"/>
    <w:rsid w:val="000323BB"/>
    <w:rsid w:val="00032582"/>
    <w:rsid w:val="000325E7"/>
    <w:rsid w:val="0003266C"/>
    <w:rsid w:val="00032763"/>
    <w:rsid w:val="00032799"/>
    <w:rsid w:val="00032899"/>
    <w:rsid w:val="00032E60"/>
    <w:rsid w:val="000331C0"/>
    <w:rsid w:val="0003320A"/>
    <w:rsid w:val="00033696"/>
    <w:rsid w:val="000339DE"/>
    <w:rsid w:val="00033A09"/>
    <w:rsid w:val="00033E7C"/>
    <w:rsid w:val="00033EFE"/>
    <w:rsid w:val="00034053"/>
    <w:rsid w:val="000343AD"/>
    <w:rsid w:val="0003455E"/>
    <w:rsid w:val="0003475A"/>
    <w:rsid w:val="000348DA"/>
    <w:rsid w:val="00034A4E"/>
    <w:rsid w:val="00034EBC"/>
    <w:rsid w:val="000352B1"/>
    <w:rsid w:val="00035DF2"/>
    <w:rsid w:val="000360DB"/>
    <w:rsid w:val="0003623F"/>
    <w:rsid w:val="00036278"/>
    <w:rsid w:val="000367CC"/>
    <w:rsid w:val="00036D89"/>
    <w:rsid w:val="00037006"/>
    <w:rsid w:val="00037380"/>
    <w:rsid w:val="00037765"/>
    <w:rsid w:val="000377BC"/>
    <w:rsid w:val="000378E4"/>
    <w:rsid w:val="00037C31"/>
    <w:rsid w:val="00040034"/>
    <w:rsid w:val="0004011E"/>
    <w:rsid w:val="000403A1"/>
    <w:rsid w:val="000407C9"/>
    <w:rsid w:val="00040AE2"/>
    <w:rsid w:val="00040B97"/>
    <w:rsid w:val="00040CB6"/>
    <w:rsid w:val="00040D55"/>
    <w:rsid w:val="000410D7"/>
    <w:rsid w:val="00041229"/>
    <w:rsid w:val="00041793"/>
    <w:rsid w:val="000417DF"/>
    <w:rsid w:val="000418C4"/>
    <w:rsid w:val="00041A3B"/>
    <w:rsid w:val="00041C28"/>
    <w:rsid w:val="00041C40"/>
    <w:rsid w:val="0004271A"/>
    <w:rsid w:val="00042833"/>
    <w:rsid w:val="00042A74"/>
    <w:rsid w:val="00042E06"/>
    <w:rsid w:val="00042F49"/>
    <w:rsid w:val="00042FB7"/>
    <w:rsid w:val="00043179"/>
    <w:rsid w:val="00043A70"/>
    <w:rsid w:val="00043AE7"/>
    <w:rsid w:val="00043BD5"/>
    <w:rsid w:val="00043C02"/>
    <w:rsid w:val="000445B8"/>
    <w:rsid w:val="00044682"/>
    <w:rsid w:val="000446A7"/>
    <w:rsid w:val="0004473C"/>
    <w:rsid w:val="000448EC"/>
    <w:rsid w:val="00044EC0"/>
    <w:rsid w:val="00045184"/>
    <w:rsid w:val="0004519D"/>
    <w:rsid w:val="00045598"/>
    <w:rsid w:val="000457D6"/>
    <w:rsid w:val="00045920"/>
    <w:rsid w:val="00045A87"/>
    <w:rsid w:val="00045E21"/>
    <w:rsid w:val="0004600D"/>
    <w:rsid w:val="00046158"/>
    <w:rsid w:val="000465A8"/>
    <w:rsid w:val="0004678A"/>
    <w:rsid w:val="00046B3A"/>
    <w:rsid w:val="00046D06"/>
    <w:rsid w:val="000470EB"/>
    <w:rsid w:val="0004746A"/>
    <w:rsid w:val="00047625"/>
    <w:rsid w:val="0004786C"/>
    <w:rsid w:val="00047B5A"/>
    <w:rsid w:val="00047EA5"/>
    <w:rsid w:val="00047ED4"/>
    <w:rsid w:val="00047F43"/>
    <w:rsid w:val="000502D0"/>
    <w:rsid w:val="000504DE"/>
    <w:rsid w:val="000508EC"/>
    <w:rsid w:val="000509B1"/>
    <w:rsid w:val="000509D5"/>
    <w:rsid w:val="00050B47"/>
    <w:rsid w:val="00051938"/>
    <w:rsid w:val="00051B87"/>
    <w:rsid w:val="000522EF"/>
    <w:rsid w:val="00052533"/>
    <w:rsid w:val="00052599"/>
    <w:rsid w:val="00052909"/>
    <w:rsid w:val="00052A25"/>
    <w:rsid w:val="00052E50"/>
    <w:rsid w:val="000530EB"/>
    <w:rsid w:val="00053162"/>
    <w:rsid w:val="00053376"/>
    <w:rsid w:val="00053953"/>
    <w:rsid w:val="00053ABB"/>
    <w:rsid w:val="00053B45"/>
    <w:rsid w:val="00053B9B"/>
    <w:rsid w:val="00053C10"/>
    <w:rsid w:val="00053E1E"/>
    <w:rsid w:val="00053E87"/>
    <w:rsid w:val="0005455E"/>
    <w:rsid w:val="000548DC"/>
    <w:rsid w:val="00054D2F"/>
    <w:rsid w:val="00054DF4"/>
    <w:rsid w:val="00054EDF"/>
    <w:rsid w:val="00054EE8"/>
    <w:rsid w:val="00055232"/>
    <w:rsid w:val="00055615"/>
    <w:rsid w:val="000556F6"/>
    <w:rsid w:val="00055791"/>
    <w:rsid w:val="00055C73"/>
    <w:rsid w:val="00055F32"/>
    <w:rsid w:val="0005623C"/>
    <w:rsid w:val="00056414"/>
    <w:rsid w:val="00056423"/>
    <w:rsid w:val="00056B9E"/>
    <w:rsid w:val="00056CE5"/>
    <w:rsid w:val="000574ED"/>
    <w:rsid w:val="000575EB"/>
    <w:rsid w:val="000577E6"/>
    <w:rsid w:val="0005786E"/>
    <w:rsid w:val="00057939"/>
    <w:rsid w:val="000603FC"/>
    <w:rsid w:val="00060945"/>
    <w:rsid w:val="00060F38"/>
    <w:rsid w:val="000612BC"/>
    <w:rsid w:val="00061418"/>
    <w:rsid w:val="00061BFF"/>
    <w:rsid w:val="00061E9B"/>
    <w:rsid w:val="00061ED1"/>
    <w:rsid w:val="00061F57"/>
    <w:rsid w:val="00062181"/>
    <w:rsid w:val="00062197"/>
    <w:rsid w:val="000629B7"/>
    <w:rsid w:val="00062AEA"/>
    <w:rsid w:val="00062DF1"/>
    <w:rsid w:val="00062F97"/>
    <w:rsid w:val="000636E8"/>
    <w:rsid w:val="00063DC6"/>
    <w:rsid w:val="00063DD1"/>
    <w:rsid w:val="00064665"/>
    <w:rsid w:val="000646E4"/>
    <w:rsid w:val="00064C11"/>
    <w:rsid w:val="00064C83"/>
    <w:rsid w:val="00064D1B"/>
    <w:rsid w:val="00065126"/>
    <w:rsid w:val="00065388"/>
    <w:rsid w:val="0006565D"/>
    <w:rsid w:val="00065766"/>
    <w:rsid w:val="00065C80"/>
    <w:rsid w:val="00066373"/>
    <w:rsid w:val="0006651B"/>
    <w:rsid w:val="00066605"/>
    <w:rsid w:val="00066C95"/>
    <w:rsid w:val="00066D10"/>
    <w:rsid w:val="00066FB9"/>
    <w:rsid w:val="00067046"/>
    <w:rsid w:val="000673DC"/>
    <w:rsid w:val="00067846"/>
    <w:rsid w:val="000678FD"/>
    <w:rsid w:val="00067C40"/>
    <w:rsid w:val="00067D69"/>
    <w:rsid w:val="00067DF1"/>
    <w:rsid w:val="00070055"/>
    <w:rsid w:val="00070380"/>
    <w:rsid w:val="000707B1"/>
    <w:rsid w:val="00070AA2"/>
    <w:rsid w:val="00070F37"/>
    <w:rsid w:val="00070F60"/>
    <w:rsid w:val="00070F63"/>
    <w:rsid w:val="00070FCD"/>
    <w:rsid w:val="00071030"/>
    <w:rsid w:val="00071182"/>
    <w:rsid w:val="00071AFE"/>
    <w:rsid w:val="00071C5D"/>
    <w:rsid w:val="00071C86"/>
    <w:rsid w:val="00071EF5"/>
    <w:rsid w:val="00072050"/>
    <w:rsid w:val="000723AD"/>
    <w:rsid w:val="000727F4"/>
    <w:rsid w:val="00073289"/>
    <w:rsid w:val="00073584"/>
    <w:rsid w:val="0007365E"/>
    <w:rsid w:val="00073795"/>
    <w:rsid w:val="000739C7"/>
    <w:rsid w:val="00073C5D"/>
    <w:rsid w:val="00073D27"/>
    <w:rsid w:val="0007402F"/>
    <w:rsid w:val="0007415E"/>
    <w:rsid w:val="0007423A"/>
    <w:rsid w:val="000749FE"/>
    <w:rsid w:val="00074E04"/>
    <w:rsid w:val="0007507B"/>
    <w:rsid w:val="00075956"/>
    <w:rsid w:val="00075E1E"/>
    <w:rsid w:val="000760BD"/>
    <w:rsid w:val="000760D0"/>
    <w:rsid w:val="00076176"/>
    <w:rsid w:val="000767DD"/>
    <w:rsid w:val="0007692D"/>
    <w:rsid w:val="00076B6C"/>
    <w:rsid w:val="00076B8F"/>
    <w:rsid w:val="00076DA2"/>
    <w:rsid w:val="00076EFD"/>
    <w:rsid w:val="00077685"/>
    <w:rsid w:val="000777AF"/>
    <w:rsid w:val="00077E6F"/>
    <w:rsid w:val="00080094"/>
    <w:rsid w:val="000804D8"/>
    <w:rsid w:val="00080636"/>
    <w:rsid w:val="0008067B"/>
    <w:rsid w:val="00080A18"/>
    <w:rsid w:val="00080EB2"/>
    <w:rsid w:val="0008172D"/>
    <w:rsid w:val="00081863"/>
    <w:rsid w:val="00081977"/>
    <w:rsid w:val="00081DF7"/>
    <w:rsid w:val="000821F5"/>
    <w:rsid w:val="000826F4"/>
    <w:rsid w:val="000829C4"/>
    <w:rsid w:val="00082B29"/>
    <w:rsid w:val="00082E67"/>
    <w:rsid w:val="0008312C"/>
    <w:rsid w:val="00083367"/>
    <w:rsid w:val="00083673"/>
    <w:rsid w:val="00083BB3"/>
    <w:rsid w:val="00083E58"/>
    <w:rsid w:val="00084089"/>
    <w:rsid w:val="000840BC"/>
    <w:rsid w:val="000841AF"/>
    <w:rsid w:val="000841B6"/>
    <w:rsid w:val="000846E9"/>
    <w:rsid w:val="00084A95"/>
    <w:rsid w:val="00084B03"/>
    <w:rsid w:val="00084DB0"/>
    <w:rsid w:val="00085030"/>
    <w:rsid w:val="0008516D"/>
    <w:rsid w:val="000859C0"/>
    <w:rsid w:val="00085AE3"/>
    <w:rsid w:val="00085BA8"/>
    <w:rsid w:val="00085C6A"/>
    <w:rsid w:val="00085EAC"/>
    <w:rsid w:val="000860E1"/>
    <w:rsid w:val="0008616B"/>
    <w:rsid w:val="000863A0"/>
    <w:rsid w:val="0008692C"/>
    <w:rsid w:val="00086F09"/>
    <w:rsid w:val="00087108"/>
    <w:rsid w:val="000875AD"/>
    <w:rsid w:val="0008782D"/>
    <w:rsid w:val="00087BBC"/>
    <w:rsid w:val="00087BF5"/>
    <w:rsid w:val="0009028C"/>
    <w:rsid w:val="000903D8"/>
    <w:rsid w:val="000904C1"/>
    <w:rsid w:val="000909B0"/>
    <w:rsid w:val="0009131F"/>
    <w:rsid w:val="00091918"/>
    <w:rsid w:val="00091D0E"/>
    <w:rsid w:val="00091D64"/>
    <w:rsid w:val="00091E1A"/>
    <w:rsid w:val="0009272E"/>
    <w:rsid w:val="000927FB"/>
    <w:rsid w:val="000928F2"/>
    <w:rsid w:val="00092ADF"/>
    <w:rsid w:val="00092B5E"/>
    <w:rsid w:val="00092C25"/>
    <w:rsid w:val="000934A2"/>
    <w:rsid w:val="0009396D"/>
    <w:rsid w:val="00094592"/>
    <w:rsid w:val="000945D6"/>
    <w:rsid w:val="00094F39"/>
    <w:rsid w:val="000951A8"/>
    <w:rsid w:val="00095672"/>
    <w:rsid w:val="0009570C"/>
    <w:rsid w:val="00095A44"/>
    <w:rsid w:val="00095AEA"/>
    <w:rsid w:val="00095B24"/>
    <w:rsid w:val="00095F88"/>
    <w:rsid w:val="00096007"/>
    <w:rsid w:val="00096200"/>
    <w:rsid w:val="00096A20"/>
    <w:rsid w:val="00096AD7"/>
    <w:rsid w:val="00096FDE"/>
    <w:rsid w:val="00097233"/>
    <w:rsid w:val="000974BC"/>
    <w:rsid w:val="00097535"/>
    <w:rsid w:val="00097A17"/>
    <w:rsid w:val="00097B60"/>
    <w:rsid w:val="00097E49"/>
    <w:rsid w:val="000A04F7"/>
    <w:rsid w:val="000A06FA"/>
    <w:rsid w:val="000A0767"/>
    <w:rsid w:val="000A0AF4"/>
    <w:rsid w:val="000A0D25"/>
    <w:rsid w:val="000A0EE7"/>
    <w:rsid w:val="000A0F27"/>
    <w:rsid w:val="000A11AF"/>
    <w:rsid w:val="000A12B1"/>
    <w:rsid w:val="000A18F6"/>
    <w:rsid w:val="000A1A47"/>
    <w:rsid w:val="000A1AB8"/>
    <w:rsid w:val="000A1CC6"/>
    <w:rsid w:val="000A1D6C"/>
    <w:rsid w:val="000A222B"/>
    <w:rsid w:val="000A22C7"/>
    <w:rsid w:val="000A24B4"/>
    <w:rsid w:val="000A24DF"/>
    <w:rsid w:val="000A2583"/>
    <w:rsid w:val="000A2605"/>
    <w:rsid w:val="000A2671"/>
    <w:rsid w:val="000A2DE1"/>
    <w:rsid w:val="000A2F81"/>
    <w:rsid w:val="000A2FAF"/>
    <w:rsid w:val="000A39C0"/>
    <w:rsid w:val="000A3CDB"/>
    <w:rsid w:val="000A3F4A"/>
    <w:rsid w:val="000A4208"/>
    <w:rsid w:val="000A4E4F"/>
    <w:rsid w:val="000A4E97"/>
    <w:rsid w:val="000A5301"/>
    <w:rsid w:val="000A55B9"/>
    <w:rsid w:val="000A5689"/>
    <w:rsid w:val="000A5901"/>
    <w:rsid w:val="000A5988"/>
    <w:rsid w:val="000A5BC1"/>
    <w:rsid w:val="000A5C56"/>
    <w:rsid w:val="000A62A6"/>
    <w:rsid w:val="000A62F0"/>
    <w:rsid w:val="000A6406"/>
    <w:rsid w:val="000A64FC"/>
    <w:rsid w:val="000A66A0"/>
    <w:rsid w:val="000A678C"/>
    <w:rsid w:val="000A6B05"/>
    <w:rsid w:val="000A6B69"/>
    <w:rsid w:val="000A6DBA"/>
    <w:rsid w:val="000A6EF4"/>
    <w:rsid w:val="000A7553"/>
    <w:rsid w:val="000A75F2"/>
    <w:rsid w:val="000A79A4"/>
    <w:rsid w:val="000A79B8"/>
    <w:rsid w:val="000A7E7E"/>
    <w:rsid w:val="000A7FBC"/>
    <w:rsid w:val="000B08E9"/>
    <w:rsid w:val="000B0914"/>
    <w:rsid w:val="000B0A14"/>
    <w:rsid w:val="000B0C8D"/>
    <w:rsid w:val="000B0D2F"/>
    <w:rsid w:val="000B0ECF"/>
    <w:rsid w:val="000B1018"/>
    <w:rsid w:val="000B11FA"/>
    <w:rsid w:val="000B1286"/>
    <w:rsid w:val="000B1291"/>
    <w:rsid w:val="000B1375"/>
    <w:rsid w:val="000B1610"/>
    <w:rsid w:val="000B1675"/>
    <w:rsid w:val="000B1747"/>
    <w:rsid w:val="000B17A3"/>
    <w:rsid w:val="000B2036"/>
    <w:rsid w:val="000B2461"/>
    <w:rsid w:val="000B258F"/>
    <w:rsid w:val="000B25F7"/>
    <w:rsid w:val="000B27E2"/>
    <w:rsid w:val="000B2C45"/>
    <w:rsid w:val="000B303D"/>
    <w:rsid w:val="000B35ED"/>
    <w:rsid w:val="000B36B5"/>
    <w:rsid w:val="000B3787"/>
    <w:rsid w:val="000B38C0"/>
    <w:rsid w:val="000B3B76"/>
    <w:rsid w:val="000B3B86"/>
    <w:rsid w:val="000B3EA8"/>
    <w:rsid w:val="000B450B"/>
    <w:rsid w:val="000B4511"/>
    <w:rsid w:val="000B4706"/>
    <w:rsid w:val="000B5122"/>
    <w:rsid w:val="000B5493"/>
    <w:rsid w:val="000B583B"/>
    <w:rsid w:val="000B5859"/>
    <w:rsid w:val="000B595A"/>
    <w:rsid w:val="000B5966"/>
    <w:rsid w:val="000B596F"/>
    <w:rsid w:val="000B59E9"/>
    <w:rsid w:val="000B5BDD"/>
    <w:rsid w:val="000B5C07"/>
    <w:rsid w:val="000B5F3B"/>
    <w:rsid w:val="000B6399"/>
    <w:rsid w:val="000B639B"/>
    <w:rsid w:val="000B6428"/>
    <w:rsid w:val="000B67A6"/>
    <w:rsid w:val="000B6AC4"/>
    <w:rsid w:val="000B6DAE"/>
    <w:rsid w:val="000B7191"/>
    <w:rsid w:val="000B7197"/>
    <w:rsid w:val="000B73CB"/>
    <w:rsid w:val="000B7507"/>
    <w:rsid w:val="000B7980"/>
    <w:rsid w:val="000B7A75"/>
    <w:rsid w:val="000B7B15"/>
    <w:rsid w:val="000C0401"/>
    <w:rsid w:val="000C0418"/>
    <w:rsid w:val="000C0754"/>
    <w:rsid w:val="000C07F6"/>
    <w:rsid w:val="000C08BC"/>
    <w:rsid w:val="000C09C4"/>
    <w:rsid w:val="000C0A74"/>
    <w:rsid w:val="000C0A7B"/>
    <w:rsid w:val="000C0B4E"/>
    <w:rsid w:val="000C1182"/>
    <w:rsid w:val="000C13C0"/>
    <w:rsid w:val="000C147E"/>
    <w:rsid w:val="000C168C"/>
    <w:rsid w:val="000C17E4"/>
    <w:rsid w:val="000C22BE"/>
    <w:rsid w:val="000C266E"/>
    <w:rsid w:val="000C26E3"/>
    <w:rsid w:val="000C2EED"/>
    <w:rsid w:val="000C33CE"/>
    <w:rsid w:val="000C3A23"/>
    <w:rsid w:val="000C4124"/>
    <w:rsid w:val="000C458C"/>
    <w:rsid w:val="000C4852"/>
    <w:rsid w:val="000C49BD"/>
    <w:rsid w:val="000C49E5"/>
    <w:rsid w:val="000C4FF2"/>
    <w:rsid w:val="000C5038"/>
    <w:rsid w:val="000C50BA"/>
    <w:rsid w:val="000C5108"/>
    <w:rsid w:val="000C5223"/>
    <w:rsid w:val="000C53FC"/>
    <w:rsid w:val="000C5A7D"/>
    <w:rsid w:val="000C5BCE"/>
    <w:rsid w:val="000C5D71"/>
    <w:rsid w:val="000C5D84"/>
    <w:rsid w:val="000C5E69"/>
    <w:rsid w:val="000C603F"/>
    <w:rsid w:val="000C60BE"/>
    <w:rsid w:val="000C645A"/>
    <w:rsid w:val="000C65E0"/>
    <w:rsid w:val="000C6864"/>
    <w:rsid w:val="000C69D5"/>
    <w:rsid w:val="000C6AA7"/>
    <w:rsid w:val="000C6AFC"/>
    <w:rsid w:val="000C6FD6"/>
    <w:rsid w:val="000C722B"/>
    <w:rsid w:val="000C73D2"/>
    <w:rsid w:val="000C73DC"/>
    <w:rsid w:val="000C73F7"/>
    <w:rsid w:val="000C75D4"/>
    <w:rsid w:val="000C7E32"/>
    <w:rsid w:val="000D02D5"/>
    <w:rsid w:val="000D0720"/>
    <w:rsid w:val="000D0A06"/>
    <w:rsid w:val="000D0D65"/>
    <w:rsid w:val="000D0E93"/>
    <w:rsid w:val="000D0ED1"/>
    <w:rsid w:val="000D10BA"/>
    <w:rsid w:val="000D1768"/>
    <w:rsid w:val="000D1922"/>
    <w:rsid w:val="000D1965"/>
    <w:rsid w:val="000D23E6"/>
    <w:rsid w:val="000D269C"/>
    <w:rsid w:val="000D2722"/>
    <w:rsid w:val="000D2A8C"/>
    <w:rsid w:val="000D2D17"/>
    <w:rsid w:val="000D2E3B"/>
    <w:rsid w:val="000D2F81"/>
    <w:rsid w:val="000D32AD"/>
    <w:rsid w:val="000D37E1"/>
    <w:rsid w:val="000D3B68"/>
    <w:rsid w:val="000D3FFA"/>
    <w:rsid w:val="000D408B"/>
    <w:rsid w:val="000D445F"/>
    <w:rsid w:val="000D45CC"/>
    <w:rsid w:val="000D4D73"/>
    <w:rsid w:val="000D573F"/>
    <w:rsid w:val="000D5C0A"/>
    <w:rsid w:val="000D6006"/>
    <w:rsid w:val="000D63F2"/>
    <w:rsid w:val="000D640B"/>
    <w:rsid w:val="000D6495"/>
    <w:rsid w:val="000D6956"/>
    <w:rsid w:val="000D6B0C"/>
    <w:rsid w:val="000D6FBA"/>
    <w:rsid w:val="000D7152"/>
    <w:rsid w:val="000D7280"/>
    <w:rsid w:val="000D74FA"/>
    <w:rsid w:val="000D769E"/>
    <w:rsid w:val="000D7F69"/>
    <w:rsid w:val="000E01D5"/>
    <w:rsid w:val="000E02CD"/>
    <w:rsid w:val="000E0AC7"/>
    <w:rsid w:val="000E0CD7"/>
    <w:rsid w:val="000E0D23"/>
    <w:rsid w:val="000E0D58"/>
    <w:rsid w:val="000E0F56"/>
    <w:rsid w:val="000E0FBB"/>
    <w:rsid w:val="000E10AF"/>
    <w:rsid w:val="000E115B"/>
    <w:rsid w:val="000E1723"/>
    <w:rsid w:val="000E19A6"/>
    <w:rsid w:val="000E1A0E"/>
    <w:rsid w:val="000E2163"/>
    <w:rsid w:val="000E2229"/>
    <w:rsid w:val="000E2A30"/>
    <w:rsid w:val="000E2B9D"/>
    <w:rsid w:val="000E2CB0"/>
    <w:rsid w:val="000E3435"/>
    <w:rsid w:val="000E3538"/>
    <w:rsid w:val="000E375B"/>
    <w:rsid w:val="000E37C7"/>
    <w:rsid w:val="000E3813"/>
    <w:rsid w:val="000E3B22"/>
    <w:rsid w:val="000E405A"/>
    <w:rsid w:val="000E4A9F"/>
    <w:rsid w:val="000E4AF5"/>
    <w:rsid w:val="000E4C8E"/>
    <w:rsid w:val="000E4ECB"/>
    <w:rsid w:val="000E4F97"/>
    <w:rsid w:val="000E5142"/>
    <w:rsid w:val="000E535B"/>
    <w:rsid w:val="000E56E2"/>
    <w:rsid w:val="000E5E8C"/>
    <w:rsid w:val="000E5FFA"/>
    <w:rsid w:val="000E6047"/>
    <w:rsid w:val="000E60E1"/>
    <w:rsid w:val="000E6A86"/>
    <w:rsid w:val="000E6D4E"/>
    <w:rsid w:val="000E6EFA"/>
    <w:rsid w:val="000E70C1"/>
    <w:rsid w:val="000E726E"/>
    <w:rsid w:val="000E73D0"/>
    <w:rsid w:val="000E7489"/>
    <w:rsid w:val="000E749F"/>
    <w:rsid w:val="000E778E"/>
    <w:rsid w:val="000E7960"/>
    <w:rsid w:val="000E7962"/>
    <w:rsid w:val="000E7D15"/>
    <w:rsid w:val="000E7D4D"/>
    <w:rsid w:val="000E7EA0"/>
    <w:rsid w:val="000F04C7"/>
    <w:rsid w:val="000F0BC3"/>
    <w:rsid w:val="000F0EF4"/>
    <w:rsid w:val="000F1718"/>
    <w:rsid w:val="000F176F"/>
    <w:rsid w:val="000F1A09"/>
    <w:rsid w:val="000F1A21"/>
    <w:rsid w:val="000F1AE8"/>
    <w:rsid w:val="000F1C14"/>
    <w:rsid w:val="000F1EA2"/>
    <w:rsid w:val="000F2082"/>
    <w:rsid w:val="000F23A4"/>
    <w:rsid w:val="000F243D"/>
    <w:rsid w:val="000F25CC"/>
    <w:rsid w:val="000F2810"/>
    <w:rsid w:val="000F2F3A"/>
    <w:rsid w:val="000F32F3"/>
    <w:rsid w:val="000F37AC"/>
    <w:rsid w:val="000F3B1D"/>
    <w:rsid w:val="000F446A"/>
    <w:rsid w:val="000F450C"/>
    <w:rsid w:val="000F4DC3"/>
    <w:rsid w:val="000F4FE3"/>
    <w:rsid w:val="000F4FED"/>
    <w:rsid w:val="000F535A"/>
    <w:rsid w:val="000F582C"/>
    <w:rsid w:val="000F591B"/>
    <w:rsid w:val="000F5EAF"/>
    <w:rsid w:val="000F613D"/>
    <w:rsid w:val="000F6278"/>
    <w:rsid w:val="000F687D"/>
    <w:rsid w:val="000F68FD"/>
    <w:rsid w:val="000F693A"/>
    <w:rsid w:val="000F6B7D"/>
    <w:rsid w:val="000F7547"/>
    <w:rsid w:val="000F788F"/>
    <w:rsid w:val="000F79C4"/>
    <w:rsid w:val="000F7D5F"/>
    <w:rsid w:val="000F7F3A"/>
    <w:rsid w:val="00100259"/>
    <w:rsid w:val="001003FB"/>
    <w:rsid w:val="001005A5"/>
    <w:rsid w:val="00100A65"/>
    <w:rsid w:val="00100B51"/>
    <w:rsid w:val="00100C19"/>
    <w:rsid w:val="00100D25"/>
    <w:rsid w:val="0010102F"/>
    <w:rsid w:val="00101030"/>
    <w:rsid w:val="00101283"/>
    <w:rsid w:val="00101768"/>
    <w:rsid w:val="00101B66"/>
    <w:rsid w:val="00101C91"/>
    <w:rsid w:val="00101CDB"/>
    <w:rsid w:val="00101D35"/>
    <w:rsid w:val="00101F2E"/>
    <w:rsid w:val="00102192"/>
    <w:rsid w:val="00102543"/>
    <w:rsid w:val="00102599"/>
    <w:rsid w:val="001026D9"/>
    <w:rsid w:val="00102A60"/>
    <w:rsid w:val="00102CC0"/>
    <w:rsid w:val="00102DA1"/>
    <w:rsid w:val="001031DC"/>
    <w:rsid w:val="00103424"/>
    <w:rsid w:val="0010344B"/>
    <w:rsid w:val="00103482"/>
    <w:rsid w:val="001036F4"/>
    <w:rsid w:val="00103805"/>
    <w:rsid w:val="00103BD8"/>
    <w:rsid w:val="00104198"/>
    <w:rsid w:val="00104407"/>
    <w:rsid w:val="001046F7"/>
    <w:rsid w:val="00104B11"/>
    <w:rsid w:val="001051F2"/>
    <w:rsid w:val="00105776"/>
    <w:rsid w:val="0010582A"/>
    <w:rsid w:val="001058D7"/>
    <w:rsid w:val="00105902"/>
    <w:rsid w:val="001059E8"/>
    <w:rsid w:val="001059F7"/>
    <w:rsid w:val="00105A82"/>
    <w:rsid w:val="00105E97"/>
    <w:rsid w:val="00106028"/>
    <w:rsid w:val="00106770"/>
    <w:rsid w:val="00106BC9"/>
    <w:rsid w:val="00106C36"/>
    <w:rsid w:val="00107180"/>
    <w:rsid w:val="001073AC"/>
    <w:rsid w:val="0010768C"/>
    <w:rsid w:val="00107694"/>
    <w:rsid w:val="00107781"/>
    <w:rsid w:val="00107872"/>
    <w:rsid w:val="00107983"/>
    <w:rsid w:val="00107A21"/>
    <w:rsid w:val="00107E6E"/>
    <w:rsid w:val="00107EA4"/>
    <w:rsid w:val="001106CA"/>
    <w:rsid w:val="00110779"/>
    <w:rsid w:val="001109AB"/>
    <w:rsid w:val="001109DB"/>
    <w:rsid w:val="00110C8E"/>
    <w:rsid w:val="0011113B"/>
    <w:rsid w:val="0011138C"/>
    <w:rsid w:val="0011194C"/>
    <w:rsid w:val="00111AC8"/>
    <w:rsid w:val="00111C35"/>
    <w:rsid w:val="00111E0C"/>
    <w:rsid w:val="0011261D"/>
    <w:rsid w:val="00112901"/>
    <w:rsid w:val="00112EDA"/>
    <w:rsid w:val="0011392C"/>
    <w:rsid w:val="00113CF7"/>
    <w:rsid w:val="00114015"/>
    <w:rsid w:val="00114046"/>
    <w:rsid w:val="00114059"/>
    <w:rsid w:val="0011472C"/>
    <w:rsid w:val="00114788"/>
    <w:rsid w:val="0011496F"/>
    <w:rsid w:val="00114A65"/>
    <w:rsid w:val="00114B66"/>
    <w:rsid w:val="00114B9B"/>
    <w:rsid w:val="00114BC4"/>
    <w:rsid w:val="00115168"/>
    <w:rsid w:val="00115BE8"/>
    <w:rsid w:val="0011654E"/>
    <w:rsid w:val="00116864"/>
    <w:rsid w:val="0011686F"/>
    <w:rsid w:val="00116971"/>
    <w:rsid w:val="0011722C"/>
    <w:rsid w:val="00117AC9"/>
    <w:rsid w:val="00117B9C"/>
    <w:rsid w:val="00120254"/>
    <w:rsid w:val="001203EF"/>
    <w:rsid w:val="00120452"/>
    <w:rsid w:val="0012083B"/>
    <w:rsid w:val="00120872"/>
    <w:rsid w:val="00120D84"/>
    <w:rsid w:val="00120E01"/>
    <w:rsid w:val="00121040"/>
    <w:rsid w:val="0012212B"/>
    <w:rsid w:val="00122143"/>
    <w:rsid w:val="00122ACC"/>
    <w:rsid w:val="00123112"/>
    <w:rsid w:val="0012343A"/>
    <w:rsid w:val="0012373E"/>
    <w:rsid w:val="00123AE0"/>
    <w:rsid w:val="00123C5A"/>
    <w:rsid w:val="00123CD7"/>
    <w:rsid w:val="00124186"/>
    <w:rsid w:val="001247FD"/>
    <w:rsid w:val="0012485E"/>
    <w:rsid w:val="00124C7C"/>
    <w:rsid w:val="00124E78"/>
    <w:rsid w:val="00125018"/>
    <w:rsid w:val="00125060"/>
    <w:rsid w:val="00125377"/>
    <w:rsid w:val="0012590F"/>
    <w:rsid w:val="00125E09"/>
    <w:rsid w:val="001265C9"/>
    <w:rsid w:val="00126E51"/>
    <w:rsid w:val="00126F10"/>
    <w:rsid w:val="001274F9"/>
    <w:rsid w:val="00127A4E"/>
    <w:rsid w:val="00127B63"/>
    <w:rsid w:val="00127CB8"/>
    <w:rsid w:val="00130008"/>
    <w:rsid w:val="00130267"/>
    <w:rsid w:val="001303FA"/>
    <w:rsid w:val="001304A6"/>
    <w:rsid w:val="001306C1"/>
    <w:rsid w:val="00130FFD"/>
    <w:rsid w:val="0013131A"/>
    <w:rsid w:val="001319AA"/>
    <w:rsid w:val="00131F69"/>
    <w:rsid w:val="00131FE1"/>
    <w:rsid w:val="0013204B"/>
    <w:rsid w:val="001326C1"/>
    <w:rsid w:val="00132845"/>
    <w:rsid w:val="0013298E"/>
    <w:rsid w:val="00132F4A"/>
    <w:rsid w:val="00133034"/>
    <w:rsid w:val="00133651"/>
    <w:rsid w:val="001336D4"/>
    <w:rsid w:val="0013373C"/>
    <w:rsid w:val="00133B1C"/>
    <w:rsid w:val="00133DFC"/>
    <w:rsid w:val="00134AB1"/>
    <w:rsid w:val="00134D77"/>
    <w:rsid w:val="00134D93"/>
    <w:rsid w:val="001355C3"/>
    <w:rsid w:val="00135E4A"/>
    <w:rsid w:val="001362BB"/>
    <w:rsid w:val="00136ABA"/>
    <w:rsid w:val="00136F02"/>
    <w:rsid w:val="00136F10"/>
    <w:rsid w:val="001370EC"/>
    <w:rsid w:val="00137705"/>
    <w:rsid w:val="001379C2"/>
    <w:rsid w:val="00137B99"/>
    <w:rsid w:val="0014002E"/>
    <w:rsid w:val="00140709"/>
    <w:rsid w:val="00140729"/>
    <w:rsid w:val="0014077E"/>
    <w:rsid w:val="00140846"/>
    <w:rsid w:val="00140A88"/>
    <w:rsid w:val="00140BEB"/>
    <w:rsid w:val="00140C4C"/>
    <w:rsid w:val="00140CC9"/>
    <w:rsid w:val="00140EA2"/>
    <w:rsid w:val="00141162"/>
    <w:rsid w:val="001411EF"/>
    <w:rsid w:val="001414EF"/>
    <w:rsid w:val="00141C1D"/>
    <w:rsid w:val="00141CC3"/>
    <w:rsid w:val="001421D1"/>
    <w:rsid w:val="001422C2"/>
    <w:rsid w:val="0014234F"/>
    <w:rsid w:val="001423EF"/>
    <w:rsid w:val="00142BB0"/>
    <w:rsid w:val="00142BDB"/>
    <w:rsid w:val="001438AE"/>
    <w:rsid w:val="00143B93"/>
    <w:rsid w:val="00143FE6"/>
    <w:rsid w:val="001440C6"/>
    <w:rsid w:val="001447BE"/>
    <w:rsid w:val="00144806"/>
    <w:rsid w:val="00144AE2"/>
    <w:rsid w:val="00144D42"/>
    <w:rsid w:val="00144FE5"/>
    <w:rsid w:val="001450F3"/>
    <w:rsid w:val="001453B5"/>
    <w:rsid w:val="001454A3"/>
    <w:rsid w:val="0014550A"/>
    <w:rsid w:val="001458DB"/>
    <w:rsid w:val="0014591C"/>
    <w:rsid w:val="00145B54"/>
    <w:rsid w:val="00145C1A"/>
    <w:rsid w:val="001461F4"/>
    <w:rsid w:val="001462C3"/>
    <w:rsid w:val="001463E8"/>
    <w:rsid w:val="00146477"/>
    <w:rsid w:val="00146779"/>
    <w:rsid w:val="00146884"/>
    <w:rsid w:val="00146B16"/>
    <w:rsid w:val="001471FB"/>
    <w:rsid w:val="00147443"/>
    <w:rsid w:val="001474D8"/>
    <w:rsid w:val="001477AB"/>
    <w:rsid w:val="0014793F"/>
    <w:rsid w:val="0014795B"/>
    <w:rsid w:val="001500B0"/>
    <w:rsid w:val="00150311"/>
    <w:rsid w:val="00150424"/>
    <w:rsid w:val="00150AF1"/>
    <w:rsid w:val="00150F06"/>
    <w:rsid w:val="00150FD1"/>
    <w:rsid w:val="00151120"/>
    <w:rsid w:val="00151698"/>
    <w:rsid w:val="00151937"/>
    <w:rsid w:val="00151E3B"/>
    <w:rsid w:val="00151FFA"/>
    <w:rsid w:val="00152125"/>
    <w:rsid w:val="001522D4"/>
    <w:rsid w:val="00152A17"/>
    <w:rsid w:val="00152B35"/>
    <w:rsid w:val="00153146"/>
    <w:rsid w:val="00153346"/>
    <w:rsid w:val="0015366C"/>
    <w:rsid w:val="001537CB"/>
    <w:rsid w:val="00153D13"/>
    <w:rsid w:val="0015415E"/>
    <w:rsid w:val="0015463C"/>
    <w:rsid w:val="001546D2"/>
    <w:rsid w:val="0015474D"/>
    <w:rsid w:val="00154797"/>
    <w:rsid w:val="00154813"/>
    <w:rsid w:val="00154C4E"/>
    <w:rsid w:val="0015525C"/>
    <w:rsid w:val="00155713"/>
    <w:rsid w:val="0015576C"/>
    <w:rsid w:val="00155C8E"/>
    <w:rsid w:val="00155C96"/>
    <w:rsid w:val="00155D83"/>
    <w:rsid w:val="00155FE9"/>
    <w:rsid w:val="00156022"/>
    <w:rsid w:val="0015609B"/>
    <w:rsid w:val="001560B2"/>
    <w:rsid w:val="00156609"/>
    <w:rsid w:val="001568C1"/>
    <w:rsid w:val="0015695A"/>
    <w:rsid w:val="00156C91"/>
    <w:rsid w:val="00156F91"/>
    <w:rsid w:val="00157075"/>
    <w:rsid w:val="00157447"/>
    <w:rsid w:val="0015747E"/>
    <w:rsid w:val="001576CC"/>
    <w:rsid w:val="001577FF"/>
    <w:rsid w:val="00157C67"/>
    <w:rsid w:val="0016009B"/>
    <w:rsid w:val="0016014B"/>
    <w:rsid w:val="001601A0"/>
    <w:rsid w:val="001601E3"/>
    <w:rsid w:val="00160616"/>
    <w:rsid w:val="0016086C"/>
    <w:rsid w:val="00160B39"/>
    <w:rsid w:val="00160BC9"/>
    <w:rsid w:val="001610B9"/>
    <w:rsid w:val="00161155"/>
    <w:rsid w:val="00161B02"/>
    <w:rsid w:val="00161D6F"/>
    <w:rsid w:val="00162184"/>
    <w:rsid w:val="00162347"/>
    <w:rsid w:val="00162576"/>
    <w:rsid w:val="00162A2C"/>
    <w:rsid w:val="00162E6E"/>
    <w:rsid w:val="00162E74"/>
    <w:rsid w:val="00162F4C"/>
    <w:rsid w:val="0016344D"/>
    <w:rsid w:val="00163CAD"/>
    <w:rsid w:val="00163E47"/>
    <w:rsid w:val="00164708"/>
    <w:rsid w:val="0016474C"/>
    <w:rsid w:val="001649DA"/>
    <w:rsid w:val="001649FD"/>
    <w:rsid w:val="00164B46"/>
    <w:rsid w:val="00164BEC"/>
    <w:rsid w:val="00164C1C"/>
    <w:rsid w:val="00164ED0"/>
    <w:rsid w:val="00165074"/>
    <w:rsid w:val="00165100"/>
    <w:rsid w:val="00165388"/>
    <w:rsid w:val="001655C0"/>
    <w:rsid w:val="0016584A"/>
    <w:rsid w:val="0016591E"/>
    <w:rsid w:val="00165AAC"/>
    <w:rsid w:val="00166202"/>
    <w:rsid w:val="00166430"/>
    <w:rsid w:val="00166558"/>
    <w:rsid w:val="00166E9F"/>
    <w:rsid w:val="00167712"/>
    <w:rsid w:val="00167D4E"/>
    <w:rsid w:val="00167DA2"/>
    <w:rsid w:val="00167DC6"/>
    <w:rsid w:val="001706BD"/>
    <w:rsid w:val="00170838"/>
    <w:rsid w:val="00170A96"/>
    <w:rsid w:val="00170C6B"/>
    <w:rsid w:val="001711BB"/>
    <w:rsid w:val="001722B2"/>
    <w:rsid w:val="00172C66"/>
    <w:rsid w:val="00172D84"/>
    <w:rsid w:val="00172F93"/>
    <w:rsid w:val="001732AD"/>
    <w:rsid w:val="00173A42"/>
    <w:rsid w:val="00173BDA"/>
    <w:rsid w:val="00174080"/>
    <w:rsid w:val="001740C3"/>
    <w:rsid w:val="0017436D"/>
    <w:rsid w:val="0017452E"/>
    <w:rsid w:val="0017460C"/>
    <w:rsid w:val="00174954"/>
    <w:rsid w:val="00174A49"/>
    <w:rsid w:val="00174E77"/>
    <w:rsid w:val="0017501C"/>
    <w:rsid w:val="00175423"/>
    <w:rsid w:val="0017567E"/>
    <w:rsid w:val="001756D1"/>
    <w:rsid w:val="00175853"/>
    <w:rsid w:val="00175A93"/>
    <w:rsid w:val="00175DEA"/>
    <w:rsid w:val="00176097"/>
    <w:rsid w:val="001764DB"/>
    <w:rsid w:val="001765A9"/>
    <w:rsid w:val="001766FF"/>
    <w:rsid w:val="00176748"/>
    <w:rsid w:val="00176760"/>
    <w:rsid w:val="0017684B"/>
    <w:rsid w:val="00176CCF"/>
    <w:rsid w:val="0017710F"/>
    <w:rsid w:val="00177598"/>
    <w:rsid w:val="00177978"/>
    <w:rsid w:val="00177FC4"/>
    <w:rsid w:val="00180045"/>
    <w:rsid w:val="001800CE"/>
    <w:rsid w:val="00180387"/>
    <w:rsid w:val="0018096E"/>
    <w:rsid w:val="00180BC1"/>
    <w:rsid w:val="00180BF1"/>
    <w:rsid w:val="00181231"/>
    <w:rsid w:val="001817D0"/>
    <w:rsid w:val="00181850"/>
    <w:rsid w:val="0018203F"/>
    <w:rsid w:val="001826DE"/>
    <w:rsid w:val="00182837"/>
    <w:rsid w:val="00182A4B"/>
    <w:rsid w:val="00182F08"/>
    <w:rsid w:val="00183046"/>
    <w:rsid w:val="00183843"/>
    <w:rsid w:val="00183C87"/>
    <w:rsid w:val="00184388"/>
    <w:rsid w:val="00184A0B"/>
    <w:rsid w:val="0018505D"/>
    <w:rsid w:val="00185642"/>
    <w:rsid w:val="001857EA"/>
    <w:rsid w:val="00185842"/>
    <w:rsid w:val="00185941"/>
    <w:rsid w:val="00185EC7"/>
    <w:rsid w:val="001860B1"/>
    <w:rsid w:val="0018643A"/>
    <w:rsid w:val="001865ED"/>
    <w:rsid w:val="00186715"/>
    <w:rsid w:val="00186BC3"/>
    <w:rsid w:val="00186E7E"/>
    <w:rsid w:val="00187073"/>
    <w:rsid w:val="0018738A"/>
    <w:rsid w:val="001878F8"/>
    <w:rsid w:val="00187AA0"/>
    <w:rsid w:val="00187CA0"/>
    <w:rsid w:val="001900FA"/>
    <w:rsid w:val="0019010D"/>
    <w:rsid w:val="001901BE"/>
    <w:rsid w:val="0019035B"/>
    <w:rsid w:val="001904E6"/>
    <w:rsid w:val="0019074F"/>
    <w:rsid w:val="0019097C"/>
    <w:rsid w:val="00190980"/>
    <w:rsid w:val="00190A71"/>
    <w:rsid w:val="00190E86"/>
    <w:rsid w:val="00190EB2"/>
    <w:rsid w:val="001910E6"/>
    <w:rsid w:val="00191ADA"/>
    <w:rsid w:val="00191BA1"/>
    <w:rsid w:val="00191D90"/>
    <w:rsid w:val="00191DD3"/>
    <w:rsid w:val="0019265D"/>
    <w:rsid w:val="00192918"/>
    <w:rsid w:val="00192B08"/>
    <w:rsid w:val="00192C73"/>
    <w:rsid w:val="00192EA4"/>
    <w:rsid w:val="00192F48"/>
    <w:rsid w:val="00193172"/>
    <w:rsid w:val="00193385"/>
    <w:rsid w:val="001935F1"/>
    <w:rsid w:val="00193994"/>
    <w:rsid w:val="00194262"/>
    <w:rsid w:val="00194849"/>
    <w:rsid w:val="001949A2"/>
    <w:rsid w:val="00195238"/>
    <w:rsid w:val="001952B2"/>
    <w:rsid w:val="00195413"/>
    <w:rsid w:val="001955EE"/>
    <w:rsid w:val="0019570E"/>
    <w:rsid w:val="0019595D"/>
    <w:rsid w:val="00195973"/>
    <w:rsid w:val="00195AF5"/>
    <w:rsid w:val="00195CAC"/>
    <w:rsid w:val="001960E8"/>
    <w:rsid w:val="00196422"/>
    <w:rsid w:val="00196C58"/>
    <w:rsid w:val="00196CED"/>
    <w:rsid w:val="00196CF0"/>
    <w:rsid w:val="00196D79"/>
    <w:rsid w:val="00196E5D"/>
    <w:rsid w:val="00196F70"/>
    <w:rsid w:val="001973BA"/>
    <w:rsid w:val="001973D1"/>
    <w:rsid w:val="00197B67"/>
    <w:rsid w:val="00197F49"/>
    <w:rsid w:val="001A039B"/>
    <w:rsid w:val="001A0658"/>
    <w:rsid w:val="001A0710"/>
    <w:rsid w:val="001A07F3"/>
    <w:rsid w:val="001A0AA2"/>
    <w:rsid w:val="001A1180"/>
    <w:rsid w:val="001A16C0"/>
    <w:rsid w:val="001A1BF5"/>
    <w:rsid w:val="001A1DD2"/>
    <w:rsid w:val="001A238C"/>
    <w:rsid w:val="001A2C97"/>
    <w:rsid w:val="001A2FFE"/>
    <w:rsid w:val="001A3428"/>
    <w:rsid w:val="001A3A19"/>
    <w:rsid w:val="001A3A99"/>
    <w:rsid w:val="001A3AA2"/>
    <w:rsid w:val="001A3B86"/>
    <w:rsid w:val="001A3C2A"/>
    <w:rsid w:val="001A3FC7"/>
    <w:rsid w:val="001A5005"/>
    <w:rsid w:val="001A51AA"/>
    <w:rsid w:val="001A5337"/>
    <w:rsid w:val="001A54C4"/>
    <w:rsid w:val="001A591B"/>
    <w:rsid w:val="001A5C2C"/>
    <w:rsid w:val="001A5EFD"/>
    <w:rsid w:val="001A6069"/>
    <w:rsid w:val="001A6483"/>
    <w:rsid w:val="001A665A"/>
    <w:rsid w:val="001A66BB"/>
    <w:rsid w:val="001A6C55"/>
    <w:rsid w:val="001A6F5A"/>
    <w:rsid w:val="001A703B"/>
    <w:rsid w:val="001A7311"/>
    <w:rsid w:val="001A76D3"/>
    <w:rsid w:val="001B0191"/>
    <w:rsid w:val="001B020B"/>
    <w:rsid w:val="001B0477"/>
    <w:rsid w:val="001B04B1"/>
    <w:rsid w:val="001B087B"/>
    <w:rsid w:val="001B1070"/>
    <w:rsid w:val="001B1176"/>
    <w:rsid w:val="001B1205"/>
    <w:rsid w:val="001B120B"/>
    <w:rsid w:val="001B1309"/>
    <w:rsid w:val="001B138D"/>
    <w:rsid w:val="001B18C1"/>
    <w:rsid w:val="001B18DA"/>
    <w:rsid w:val="001B1A87"/>
    <w:rsid w:val="001B1B17"/>
    <w:rsid w:val="001B1EBB"/>
    <w:rsid w:val="001B1FAE"/>
    <w:rsid w:val="001B21C1"/>
    <w:rsid w:val="001B233C"/>
    <w:rsid w:val="001B2593"/>
    <w:rsid w:val="001B2F3D"/>
    <w:rsid w:val="001B31F0"/>
    <w:rsid w:val="001B3347"/>
    <w:rsid w:val="001B339D"/>
    <w:rsid w:val="001B3481"/>
    <w:rsid w:val="001B34F0"/>
    <w:rsid w:val="001B36EC"/>
    <w:rsid w:val="001B3B68"/>
    <w:rsid w:val="001B3BA7"/>
    <w:rsid w:val="001B3EB2"/>
    <w:rsid w:val="001B4091"/>
    <w:rsid w:val="001B41E8"/>
    <w:rsid w:val="001B444C"/>
    <w:rsid w:val="001B46CA"/>
    <w:rsid w:val="001B4994"/>
    <w:rsid w:val="001B4FDB"/>
    <w:rsid w:val="001B50C1"/>
    <w:rsid w:val="001B514A"/>
    <w:rsid w:val="001B52A7"/>
    <w:rsid w:val="001B5811"/>
    <w:rsid w:val="001B59FF"/>
    <w:rsid w:val="001B5E47"/>
    <w:rsid w:val="001B691B"/>
    <w:rsid w:val="001B69DE"/>
    <w:rsid w:val="001B6A64"/>
    <w:rsid w:val="001B6AB3"/>
    <w:rsid w:val="001B6F5E"/>
    <w:rsid w:val="001B73D2"/>
    <w:rsid w:val="001B7467"/>
    <w:rsid w:val="001B7801"/>
    <w:rsid w:val="001B7910"/>
    <w:rsid w:val="001B7A0F"/>
    <w:rsid w:val="001B7C4D"/>
    <w:rsid w:val="001B7DA8"/>
    <w:rsid w:val="001B7E27"/>
    <w:rsid w:val="001C0262"/>
    <w:rsid w:val="001C0494"/>
    <w:rsid w:val="001C0A52"/>
    <w:rsid w:val="001C11BA"/>
    <w:rsid w:val="001C19E0"/>
    <w:rsid w:val="001C1AD7"/>
    <w:rsid w:val="001C20DC"/>
    <w:rsid w:val="001C23AF"/>
    <w:rsid w:val="001C23F2"/>
    <w:rsid w:val="001C2A94"/>
    <w:rsid w:val="001C2AD9"/>
    <w:rsid w:val="001C2BF3"/>
    <w:rsid w:val="001C2C76"/>
    <w:rsid w:val="001C2DF4"/>
    <w:rsid w:val="001C345B"/>
    <w:rsid w:val="001C3460"/>
    <w:rsid w:val="001C38D0"/>
    <w:rsid w:val="001C3A10"/>
    <w:rsid w:val="001C3E0E"/>
    <w:rsid w:val="001C426C"/>
    <w:rsid w:val="001C442D"/>
    <w:rsid w:val="001C4D5E"/>
    <w:rsid w:val="001C5B09"/>
    <w:rsid w:val="001C5B1E"/>
    <w:rsid w:val="001C5CD2"/>
    <w:rsid w:val="001C5E26"/>
    <w:rsid w:val="001C5F75"/>
    <w:rsid w:val="001C61AD"/>
    <w:rsid w:val="001C6830"/>
    <w:rsid w:val="001C796B"/>
    <w:rsid w:val="001C7D37"/>
    <w:rsid w:val="001C7E1C"/>
    <w:rsid w:val="001D0279"/>
    <w:rsid w:val="001D0379"/>
    <w:rsid w:val="001D0473"/>
    <w:rsid w:val="001D05AB"/>
    <w:rsid w:val="001D0665"/>
    <w:rsid w:val="001D0DA8"/>
    <w:rsid w:val="001D0E82"/>
    <w:rsid w:val="001D0F78"/>
    <w:rsid w:val="001D1146"/>
    <w:rsid w:val="001D123D"/>
    <w:rsid w:val="001D12D4"/>
    <w:rsid w:val="001D1396"/>
    <w:rsid w:val="001D14EF"/>
    <w:rsid w:val="001D195B"/>
    <w:rsid w:val="001D1F87"/>
    <w:rsid w:val="001D205B"/>
    <w:rsid w:val="001D24D5"/>
    <w:rsid w:val="001D25B4"/>
    <w:rsid w:val="001D31C1"/>
    <w:rsid w:val="001D3363"/>
    <w:rsid w:val="001D339C"/>
    <w:rsid w:val="001D3B5C"/>
    <w:rsid w:val="001D3D6C"/>
    <w:rsid w:val="001D3F26"/>
    <w:rsid w:val="001D4CCF"/>
    <w:rsid w:val="001D4DE0"/>
    <w:rsid w:val="001D5121"/>
    <w:rsid w:val="001D53AD"/>
    <w:rsid w:val="001D5B3A"/>
    <w:rsid w:val="001D5C18"/>
    <w:rsid w:val="001D5F9C"/>
    <w:rsid w:val="001D63AD"/>
    <w:rsid w:val="001D66DD"/>
    <w:rsid w:val="001D674F"/>
    <w:rsid w:val="001D693D"/>
    <w:rsid w:val="001D6A98"/>
    <w:rsid w:val="001D763F"/>
    <w:rsid w:val="001D78C0"/>
    <w:rsid w:val="001E03CA"/>
    <w:rsid w:val="001E0619"/>
    <w:rsid w:val="001E0824"/>
    <w:rsid w:val="001E0835"/>
    <w:rsid w:val="001E0B02"/>
    <w:rsid w:val="001E0D9D"/>
    <w:rsid w:val="001E11E9"/>
    <w:rsid w:val="001E1384"/>
    <w:rsid w:val="001E1628"/>
    <w:rsid w:val="001E162E"/>
    <w:rsid w:val="001E164E"/>
    <w:rsid w:val="001E1E06"/>
    <w:rsid w:val="001E1FE5"/>
    <w:rsid w:val="001E2038"/>
    <w:rsid w:val="001E20CE"/>
    <w:rsid w:val="001E2340"/>
    <w:rsid w:val="001E251E"/>
    <w:rsid w:val="001E31AA"/>
    <w:rsid w:val="001E31FC"/>
    <w:rsid w:val="001E32D5"/>
    <w:rsid w:val="001E3597"/>
    <w:rsid w:val="001E389A"/>
    <w:rsid w:val="001E3951"/>
    <w:rsid w:val="001E420F"/>
    <w:rsid w:val="001E4DBD"/>
    <w:rsid w:val="001E5555"/>
    <w:rsid w:val="001E57A3"/>
    <w:rsid w:val="001E5802"/>
    <w:rsid w:val="001E5DF4"/>
    <w:rsid w:val="001E612E"/>
    <w:rsid w:val="001E613F"/>
    <w:rsid w:val="001E6332"/>
    <w:rsid w:val="001E6515"/>
    <w:rsid w:val="001E665F"/>
    <w:rsid w:val="001E66ED"/>
    <w:rsid w:val="001E6710"/>
    <w:rsid w:val="001E6742"/>
    <w:rsid w:val="001E67D5"/>
    <w:rsid w:val="001E68F9"/>
    <w:rsid w:val="001E6999"/>
    <w:rsid w:val="001E70E8"/>
    <w:rsid w:val="001E757F"/>
    <w:rsid w:val="001E777F"/>
    <w:rsid w:val="001E795F"/>
    <w:rsid w:val="001E7A6D"/>
    <w:rsid w:val="001E7A73"/>
    <w:rsid w:val="001E7F20"/>
    <w:rsid w:val="001F0135"/>
    <w:rsid w:val="001F038E"/>
    <w:rsid w:val="001F03E1"/>
    <w:rsid w:val="001F041A"/>
    <w:rsid w:val="001F0526"/>
    <w:rsid w:val="001F08C2"/>
    <w:rsid w:val="001F0CF2"/>
    <w:rsid w:val="001F0E2B"/>
    <w:rsid w:val="001F0F72"/>
    <w:rsid w:val="001F119D"/>
    <w:rsid w:val="001F17F3"/>
    <w:rsid w:val="001F1946"/>
    <w:rsid w:val="001F1A99"/>
    <w:rsid w:val="001F1D9A"/>
    <w:rsid w:val="001F222A"/>
    <w:rsid w:val="001F240F"/>
    <w:rsid w:val="001F2472"/>
    <w:rsid w:val="001F265D"/>
    <w:rsid w:val="001F2D6B"/>
    <w:rsid w:val="001F2DD3"/>
    <w:rsid w:val="001F3761"/>
    <w:rsid w:val="001F384E"/>
    <w:rsid w:val="001F3899"/>
    <w:rsid w:val="001F3B9C"/>
    <w:rsid w:val="001F3C68"/>
    <w:rsid w:val="001F4129"/>
    <w:rsid w:val="001F4167"/>
    <w:rsid w:val="001F41DF"/>
    <w:rsid w:val="001F423A"/>
    <w:rsid w:val="001F43BB"/>
    <w:rsid w:val="001F443A"/>
    <w:rsid w:val="001F48E5"/>
    <w:rsid w:val="001F48F8"/>
    <w:rsid w:val="001F4C61"/>
    <w:rsid w:val="001F4E54"/>
    <w:rsid w:val="001F501E"/>
    <w:rsid w:val="001F5203"/>
    <w:rsid w:val="001F521B"/>
    <w:rsid w:val="001F5AB9"/>
    <w:rsid w:val="001F5CBD"/>
    <w:rsid w:val="001F6383"/>
    <w:rsid w:val="001F647C"/>
    <w:rsid w:val="001F66A5"/>
    <w:rsid w:val="001F6905"/>
    <w:rsid w:val="001F69ED"/>
    <w:rsid w:val="001F6CA4"/>
    <w:rsid w:val="001F701E"/>
    <w:rsid w:val="001F7205"/>
    <w:rsid w:val="001F72C3"/>
    <w:rsid w:val="001F7478"/>
    <w:rsid w:val="001F75F0"/>
    <w:rsid w:val="001F7A09"/>
    <w:rsid w:val="001F7B55"/>
    <w:rsid w:val="002001C9"/>
    <w:rsid w:val="002005B3"/>
    <w:rsid w:val="00200F99"/>
    <w:rsid w:val="002014E4"/>
    <w:rsid w:val="002016C4"/>
    <w:rsid w:val="00201A3F"/>
    <w:rsid w:val="00201AFE"/>
    <w:rsid w:val="00201EAB"/>
    <w:rsid w:val="002020DE"/>
    <w:rsid w:val="0020221B"/>
    <w:rsid w:val="0020240C"/>
    <w:rsid w:val="00202700"/>
    <w:rsid w:val="0020283D"/>
    <w:rsid w:val="00202891"/>
    <w:rsid w:val="00202B36"/>
    <w:rsid w:val="00202BC2"/>
    <w:rsid w:val="00203501"/>
    <w:rsid w:val="0020397F"/>
    <w:rsid w:val="002039E1"/>
    <w:rsid w:val="002039F0"/>
    <w:rsid w:val="00203AF4"/>
    <w:rsid w:val="00203DAC"/>
    <w:rsid w:val="00203E9A"/>
    <w:rsid w:val="0020406A"/>
    <w:rsid w:val="00204189"/>
    <w:rsid w:val="00204A87"/>
    <w:rsid w:val="00204FAD"/>
    <w:rsid w:val="00205174"/>
    <w:rsid w:val="002055D5"/>
    <w:rsid w:val="0020563D"/>
    <w:rsid w:val="002057AF"/>
    <w:rsid w:val="00205A58"/>
    <w:rsid w:val="00205DAE"/>
    <w:rsid w:val="002061C5"/>
    <w:rsid w:val="0020667B"/>
    <w:rsid w:val="00207255"/>
    <w:rsid w:val="002075E1"/>
    <w:rsid w:val="002078C7"/>
    <w:rsid w:val="0020794C"/>
    <w:rsid w:val="00207A6A"/>
    <w:rsid w:val="00207ABF"/>
    <w:rsid w:val="002103BE"/>
    <w:rsid w:val="002103E5"/>
    <w:rsid w:val="0021054A"/>
    <w:rsid w:val="0021072D"/>
    <w:rsid w:val="002107F5"/>
    <w:rsid w:val="00211024"/>
    <w:rsid w:val="002115F8"/>
    <w:rsid w:val="00211602"/>
    <w:rsid w:val="0021170C"/>
    <w:rsid w:val="002118B8"/>
    <w:rsid w:val="00211BA3"/>
    <w:rsid w:val="0021231A"/>
    <w:rsid w:val="002126E9"/>
    <w:rsid w:val="0021277D"/>
    <w:rsid w:val="00212A00"/>
    <w:rsid w:val="00212A69"/>
    <w:rsid w:val="00212BBF"/>
    <w:rsid w:val="00212F2B"/>
    <w:rsid w:val="002130B4"/>
    <w:rsid w:val="00213597"/>
    <w:rsid w:val="00213AA5"/>
    <w:rsid w:val="00213BF0"/>
    <w:rsid w:val="00213EEE"/>
    <w:rsid w:val="002140F2"/>
    <w:rsid w:val="00214112"/>
    <w:rsid w:val="002141CD"/>
    <w:rsid w:val="0021431A"/>
    <w:rsid w:val="002143FD"/>
    <w:rsid w:val="0021440B"/>
    <w:rsid w:val="00214598"/>
    <w:rsid w:val="00214926"/>
    <w:rsid w:val="002149C8"/>
    <w:rsid w:val="00214F61"/>
    <w:rsid w:val="002153F3"/>
    <w:rsid w:val="002157D6"/>
    <w:rsid w:val="002158DD"/>
    <w:rsid w:val="00215A51"/>
    <w:rsid w:val="00215E67"/>
    <w:rsid w:val="00216711"/>
    <w:rsid w:val="002168E3"/>
    <w:rsid w:val="0021691D"/>
    <w:rsid w:val="00216C11"/>
    <w:rsid w:val="00216F4D"/>
    <w:rsid w:val="00217008"/>
    <w:rsid w:val="002172AA"/>
    <w:rsid w:val="00217C7F"/>
    <w:rsid w:val="00217CAD"/>
    <w:rsid w:val="00217D70"/>
    <w:rsid w:val="00217DE5"/>
    <w:rsid w:val="00217E84"/>
    <w:rsid w:val="00217F0B"/>
    <w:rsid w:val="00217FA6"/>
    <w:rsid w:val="00217FE7"/>
    <w:rsid w:val="002205A4"/>
    <w:rsid w:val="0022071E"/>
    <w:rsid w:val="00220861"/>
    <w:rsid w:val="00220F86"/>
    <w:rsid w:val="002211C4"/>
    <w:rsid w:val="002213BA"/>
    <w:rsid w:val="002214BE"/>
    <w:rsid w:val="00221ACC"/>
    <w:rsid w:val="00221D14"/>
    <w:rsid w:val="00221DAC"/>
    <w:rsid w:val="002221CB"/>
    <w:rsid w:val="002221DF"/>
    <w:rsid w:val="00222519"/>
    <w:rsid w:val="0022358B"/>
    <w:rsid w:val="002238F8"/>
    <w:rsid w:val="00223EFA"/>
    <w:rsid w:val="00223FA2"/>
    <w:rsid w:val="002243FD"/>
    <w:rsid w:val="002246F2"/>
    <w:rsid w:val="00224A36"/>
    <w:rsid w:val="00224C82"/>
    <w:rsid w:val="00224CF7"/>
    <w:rsid w:val="0022530C"/>
    <w:rsid w:val="002253BB"/>
    <w:rsid w:val="002256B7"/>
    <w:rsid w:val="00225914"/>
    <w:rsid w:val="00225B00"/>
    <w:rsid w:val="00225C94"/>
    <w:rsid w:val="00225CFD"/>
    <w:rsid w:val="00225E60"/>
    <w:rsid w:val="00225F2C"/>
    <w:rsid w:val="002262C8"/>
    <w:rsid w:val="00226890"/>
    <w:rsid w:val="00226B02"/>
    <w:rsid w:val="00226B49"/>
    <w:rsid w:val="002270C4"/>
    <w:rsid w:val="00227406"/>
    <w:rsid w:val="0022743C"/>
    <w:rsid w:val="0022748A"/>
    <w:rsid w:val="00227B83"/>
    <w:rsid w:val="00227CDA"/>
    <w:rsid w:val="00227EC9"/>
    <w:rsid w:val="002302D6"/>
    <w:rsid w:val="00230363"/>
    <w:rsid w:val="0023077C"/>
    <w:rsid w:val="002309F9"/>
    <w:rsid w:val="00230C52"/>
    <w:rsid w:val="00230C5A"/>
    <w:rsid w:val="00230F80"/>
    <w:rsid w:val="0023102C"/>
    <w:rsid w:val="002310FE"/>
    <w:rsid w:val="00231322"/>
    <w:rsid w:val="002313B8"/>
    <w:rsid w:val="002313F5"/>
    <w:rsid w:val="0023164B"/>
    <w:rsid w:val="00231A4F"/>
    <w:rsid w:val="00231B21"/>
    <w:rsid w:val="00231D91"/>
    <w:rsid w:val="00231DC4"/>
    <w:rsid w:val="00231E9F"/>
    <w:rsid w:val="00232461"/>
    <w:rsid w:val="002324B1"/>
    <w:rsid w:val="00232B79"/>
    <w:rsid w:val="00232C3F"/>
    <w:rsid w:val="00232D27"/>
    <w:rsid w:val="00232D95"/>
    <w:rsid w:val="00232F95"/>
    <w:rsid w:val="00233779"/>
    <w:rsid w:val="00233D50"/>
    <w:rsid w:val="0023403D"/>
    <w:rsid w:val="0023431F"/>
    <w:rsid w:val="0023455F"/>
    <w:rsid w:val="00234729"/>
    <w:rsid w:val="0023491E"/>
    <w:rsid w:val="002349A8"/>
    <w:rsid w:val="00234AEB"/>
    <w:rsid w:val="00234CD7"/>
    <w:rsid w:val="00234D5C"/>
    <w:rsid w:val="00234D6A"/>
    <w:rsid w:val="00234E83"/>
    <w:rsid w:val="00234F18"/>
    <w:rsid w:val="0023530D"/>
    <w:rsid w:val="00235872"/>
    <w:rsid w:val="00235C00"/>
    <w:rsid w:val="00235C73"/>
    <w:rsid w:val="002360F2"/>
    <w:rsid w:val="0023653D"/>
    <w:rsid w:val="0023657F"/>
    <w:rsid w:val="002365DA"/>
    <w:rsid w:val="00236A30"/>
    <w:rsid w:val="00236FF5"/>
    <w:rsid w:val="002370D2"/>
    <w:rsid w:val="00237180"/>
    <w:rsid w:val="002374D5"/>
    <w:rsid w:val="00237804"/>
    <w:rsid w:val="00237CC4"/>
    <w:rsid w:val="002403F0"/>
    <w:rsid w:val="002405EF"/>
    <w:rsid w:val="00240745"/>
    <w:rsid w:val="002407FD"/>
    <w:rsid w:val="00240963"/>
    <w:rsid w:val="00240968"/>
    <w:rsid w:val="00240A1B"/>
    <w:rsid w:val="00240E5E"/>
    <w:rsid w:val="00241128"/>
    <w:rsid w:val="00241877"/>
    <w:rsid w:val="00241878"/>
    <w:rsid w:val="00241969"/>
    <w:rsid w:val="00241E93"/>
    <w:rsid w:val="00241F28"/>
    <w:rsid w:val="002420EE"/>
    <w:rsid w:val="002422BC"/>
    <w:rsid w:val="00242907"/>
    <w:rsid w:val="00242D76"/>
    <w:rsid w:val="00242FBA"/>
    <w:rsid w:val="002430DD"/>
    <w:rsid w:val="0024323F"/>
    <w:rsid w:val="0024332D"/>
    <w:rsid w:val="002438CA"/>
    <w:rsid w:val="00243AF0"/>
    <w:rsid w:val="00243FED"/>
    <w:rsid w:val="00244275"/>
    <w:rsid w:val="0024431B"/>
    <w:rsid w:val="002443F1"/>
    <w:rsid w:val="002444F2"/>
    <w:rsid w:val="002444F4"/>
    <w:rsid w:val="002448BE"/>
    <w:rsid w:val="002448EF"/>
    <w:rsid w:val="00244E58"/>
    <w:rsid w:val="002453C9"/>
    <w:rsid w:val="002456C6"/>
    <w:rsid w:val="00245717"/>
    <w:rsid w:val="002458DD"/>
    <w:rsid w:val="00245907"/>
    <w:rsid w:val="00245AC8"/>
    <w:rsid w:val="00245EC2"/>
    <w:rsid w:val="0024602D"/>
    <w:rsid w:val="0024643E"/>
    <w:rsid w:val="00246F8B"/>
    <w:rsid w:val="00247125"/>
    <w:rsid w:val="0024734F"/>
    <w:rsid w:val="002473B8"/>
    <w:rsid w:val="002473DF"/>
    <w:rsid w:val="002474CF"/>
    <w:rsid w:val="002475EC"/>
    <w:rsid w:val="00247659"/>
    <w:rsid w:val="00247720"/>
    <w:rsid w:val="00247C13"/>
    <w:rsid w:val="00247E0D"/>
    <w:rsid w:val="002502F9"/>
    <w:rsid w:val="0025073F"/>
    <w:rsid w:val="00251628"/>
    <w:rsid w:val="00251EE0"/>
    <w:rsid w:val="00251F02"/>
    <w:rsid w:val="00251FD5"/>
    <w:rsid w:val="00252164"/>
    <w:rsid w:val="00252237"/>
    <w:rsid w:val="002524B3"/>
    <w:rsid w:val="002524CF"/>
    <w:rsid w:val="0025257C"/>
    <w:rsid w:val="002527A6"/>
    <w:rsid w:val="00252B13"/>
    <w:rsid w:val="00252EA7"/>
    <w:rsid w:val="00252F1E"/>
    <w:rsid w:val="00253011"/>
    <w:rsid w:val="00253093"/>
    <w:rsid w:val="0025354E"/>
    <w:rsid w:val="00253727"/>
    <w:rsid w:val="00253B20"/>
    <w:rsid w:val="00253CAD"/>
    <w:rsid w:val="00253D0A"/>
    <w:rsid w:val="0025429C"/>
    <w:rsid w:val="002543C9"/>
    <w:rsid w:val="0025441C"/>
    <w:rsid w:val="002544FB"/>
    <w:rsid w:val="0025450D"/>
    <w:rsid w:val="00254828"/>
    <w:rsid w:val="00254847"/>
    <w:rsid w:val="0025494E"/>
    <w:rsid w:val="00254B22"/>
    <w:rsid w:val="00254DE3"/>
    <w:rsid w:val="002553F8"/>
    <w:rsid w:val="00255F84"/>
    <w:rsid w:val="00256253"/>
    <w:rsid w:val="002563BA"/>
    <w:rsid w:val="002565B7"/>
    <w:rsid w:val="002565D1"/>
    <w:rsid w:val="00256814"/>
    <w:rsid w:val="002568C9"/>
    <w:rsid w:val="00256A7B"/>
    <w:rsid w:val="00256C4F"/>
    <w:rsid w:val="00256D90"/>
    <w:rsid w:val="00256E34"/>
    <w:rsid w:val="00256F77"/>
    <w:rsid w:val="00256FAE"/>
    <w:rsid w:val="00256FE8"/>
    <w:rsid w:val="00257737"/>
    <w:rsid w:val="00257B64"/>
    <w:rsid w:val="00257B9E"/>
    <w:rsid w:val="00257BAC"/>
    <w:rsid w:val="00257C29"/>
    <w:rsid w:val="00257C5D"/>
    <w:rsid w:val="002601AB"/>
    <w:rsid w:val="002603B5"/>
    <w:rsid w:val="0026044F"/>
    <w:rsid w:val="0026046B"/>
    <w:rsid w:val="00260512"/>
    <w:rsid w:val="00260686"/>
    <w:rsid w:val="00260AA0"/>
    <w:rsid w:val="00260AA6"/>
    <w:rsid w:val="002611F0"/>
    <w:rsid w:val="00261838"/>
    <w:rsid w:val="00261B05"/>
    <w:rsid w:val="00261D74"/>
    <w:rsid w:val="00261DB0"/>
    <w:rsid w:val="00262391"/>
    <w:rsid w:val="002627A6"/>
    <w:rsid w:val="00262E81"/>
    <w:rsid w:val="00263309"/>
    <w:rsid w:val="00263448"/>
    <w:rsid w:val="00263655"/>
    <w:rsid w:val="002636D4"/>
    <w:rsid w:val="0026387E"/>
    <w:rsid w:val="002640E1"/>
    <w:rsid w:val="002647A9"/>
    <w:rsid w:val="00264D9E"/>
    <w:rsid w:val="00264FD0"/>
    <w:rsid w:val="0026500F"/>
    <w:rsid w:val="002651A6"/>
    <w:rsid w:val="00265454"/>
    <w:rsid w:val="0026548D"/>
    <w:rsid w:val="00265982"/>
    <w:rsid w:val="00265DCA"/>
    <w:rsid w:val="00265DFF"/>
    <w:rsid w:val="0026609C"/>
    <w:rsid w:val="002664CF"/>
    <w:rsid w:val="00266B76"/>
    <w:rsid w:val="002673EC"/>
    <w:rsid w:val="00267892"/>
    <w:rsid w:val="00267921"/>
    <w:rsid w:val="002679CE"/>
    <w:rsid w:val="002706FD"/>
    <w:rsid w:val="00270A59"/>
    <w:rsid w:val="00270C4F"/>
    <w:rsid w:val="00270E1C"/>
    <w:rsid w:val="0027112F"/>
    <w:rsid w:val="00271280"/>
    <w:rsid w:val="00271523"/>
    <w:rsid w:val="00271583"/>
    <w:rsid w:val="00271652"/>
    <w:rsid w:val="00271708"/>
    <w:rsid w:val="00271AD7"/>
    <w:rsid w:val="00271C0C"/>
    <w:rsid w:val="00271F7B"/>
    <w:rsid w:val="002720F5"/>
    <w:rsid w:val="0027246F"/>
    <w:rsid w:val="002724F9"/>
    <w:rsid w:val="0027254D"/>
    <w:rsid w:val="002726B1"/>
    <w:rsid w:val="002727A0"/>
    <w:rsid w:val="0027322E"/>
    <w:rsid w:val="00273358"/>
    <w:rsid w:val="0027370B"/>
    <w:rsid w:val="00273B4D"/>
    <w:rsid w:val="00273BCC"/>
    <w:rsid w:val="00273D43"/>
    <w:rsid w:val="00273DB4"/>
    <w:rsid w:val="00273EAB"/>
    <w:rsid w:val="002743BC"/>
    <w:rsid w:val="0027453D"/>
    <w:rsid w:val="002747BF"/>
    <w:rsid w:val="0027488B"/>
    <w:rsid w:val="002749A5"/>
    <w:rsid w:val="00274DAF"/>
    <w:rsid w:val="002754D6"/>
    <w:rsid w:val="00275765"/>
    <w:rsid w:val="00275896"/>
    <w:rsid w:val="002759A2"/>
    <w:rsid w:val="00275BAF"/>
    <w:rsid w:val="00275F8D"/>
    <w:rsid w:val="0027625F"/>
    <w:rsid w:val="002764EA"/>
    <w:rsid w:val="00276969"/>
    <w:rsid w:val="002769B7"/>
    <w:rsid w:val="00276A39"/>
    <w:rsid w:val="00277326"/>
    <w:rsid w:val="00277434"/>
    <w:rsid w:val="00277487"/>
    <w:rsid w:val="002776F1"/>
    <w:rsid w:val="0027773C"/>
    <w:rsid w:val="0027775C"/>
    <w:rsid w:val="002777FC"/>
    <w:rsid w:val="00277AFF"/>
    <w:rsid w:val="00277D84"/>
    <w:rsid w:val="00277F24"/>
    <w:rsid w:val="002805A6"/>
    <w:rsid w:val="0028068B"/>
    <w:rsid w:val="002806CF"/>
    <w:rsid w:val="00280BDD"/>
    <w:rsid w:val="00280D90"/>
    <w:rsid w:val="00281377"/>
    <w:rsid w:val="002813AE"/>
    <w:rsid w:val="00281D06"/>
    <w:rsid w:val="00281F7B"/>
    <w:rsid w:val="002820E4"/>
    <w:rsid w:val="00282320"/>
    <w:rsid w:val="0028244F"/>
    <w:rsid w:val="002827E1"/>
    <w:rsid w:val="00282BBE"/>
    <w:rsid w:val="002830EC"/>
    <w:rsid w:val="0028362B"/>
    <w:rsid w:val="002839F7"/>
    <w:rsid w:val="00283A03"/>
    <w:rsid w:val="00283AA1"/>
    <w:rsid w:val="00283AB5"/>
    <w:rsid w:val="00283E24"/>
    <w:rsid w:val="0028428B"/>
    <w:rsid w:val="00284415"/>
    <w:rsid w:val="00284437"/>
    <w:rsid w:val="002847DE"/>
    <w:rsid w:val="00284A7A"/>
    <w:rsid w:val="00284F07"/>
    <w:rsid w:val="0028509B"/>
    <w:rsid w:val="002851AF"/>
    <w:rsid w:val="00285347"/>
    <w:rsid w:val="002853A5"/>
    <w:rsid w:val="0028569B"/>
    <w:rsid w:val="00285790"/>
    <w:rsid w:val="00285DBA"/>
    <w:rsid w:val="00285DFF"/>
    <w:rsid w:val="00286492"/>
    <w:rsid w:val="0028667C"/>
    <w:rsid w:val="00286C88"/>
    <w:rsid w:val="00286F92"/>
    <w:rsid w:val="00287292"/>
    <w:rsid w:val="002874AC"/>
    <w:rsid w:val="00287CFD"/>
    <w:rsid w:val="00290215"/>
    <w:rsid w:val="002904B1"/>
    <w:rsid w:val="0029067A"/>
    <w:rsid w:val="00290711"/>
    <w:rsid w:val="00290BB1"/>
    <w:rsid w:val="00290E4D"/>
    <w:rsid w:val="002910CE"/>
    <w:rsid w:val="0029118C"/>
    <w:rsid w:val="0029181A"/>
    <w:rsid w:val="00291AD0"/>
    <w:rsid w:val="00291B1B"/>
    <w:rsid w:val="00291E06"/>
    <w:rsid w:val="00291EF5"/>
    <w:rsid w:val="00292143"/>
    <w:rsid w:val="002922BB"/>
    <w:rsid w:val="002928F1"/>
    <w:rsid w:val="00292C8C"/>
    <w:rsid w:val="00292D24"/>
    <w:rsid w:val="002930E1"/>
    <w:rsid w:val="0029329D"/>
    <w:rsid w:val="0029364E"/>
    <w:rsid w:val="00293E66"/>
    <w:rsid w:val="00293EEF"/>
    <w:rsid w:val="00293FDF"/>
    <w:rsid w:val="00294050"/>
    <w:rsid w:val="00294288"/>
    <w:rsid w:val="002944B2"/>
    <w:rsid w:val="002948D0"/>
    <w:rsid w:val="00294A78"/>
    <w:rsid w:val="00294EB9"/>
    <w:rsid w:val="00295002"/>
    <w:rsid w:val="00295862"/>
    <w:rsid w:val="00295A1B"/>
    <w:rsid w:val="00295ACE"/>
    <w:rsid w:val="00295B29"/>
    <w:rsid w:val="00295B36"/>
    <w:rsid w:val="00295BB0"/>
    <w:rsid w:val="00295F9A"/>
    <w:rsid w:val="00296510"/>
    <w:rsid w:val="002967AB"/>
    <w:rsid w:val="002968CE"/>
    <w:rsid w:val="00296967"/>
    <w:rsid w:val="00296BE6"/>
    <w:rsid w:val="00296DDA"/>
    <w:rsid w:val="00296FEC"/>
    <w:rsid w:val="0029709F"/>
    <w:rsid w:val="002972A1"/>
    <w:rsid w:val="002974E0"/>
    <w:rsid w:val="002979FC"/>
    <w:rsid w:val="00297A86"/>
    <w:rsid w:val="00297BA7"/>
    <w:rsid w:val="00297F76"/>
    <w:rsid w:val="002A0000"/>
    <w:rsid w:val="002A07F5"/>
    <w:rsid w:val="002A082B"/>
    <w:rsid w:val="002A08F6"/>
    <w:rsid w:val="002A0DA7"/>
    <w:rsid w:val="002A1117"/>
    <w:rsid w:val="002A11F7"/>
    <w:rsid w:val="002A126B"/>
    <w:rsid w:val="002A18E3"/>
    <w:rsid w:val="002A1978"/>
    <w:rsid w:val="002A1CF3"/>
    <w:rsid w:val="002A1DF8"/>
    <w:rsid w:val="002A215A"/>
    <w:rsid w:val="002A26A3"/>
    <w:rsid w:val="002A2802"/>
    <w:rsid w:val="002A2A8A"/>
    <w:rsid w:val="002A2C46"/>
    <w:rsid w:val="002A2C9B"/>
    <w:rsid w:val="002A3015"/>
    <w:rsid w:val="002A3219"/>
    <w:rsid w:val="002A3841"/>
    <w:rsid w:val="002A3F35"/>
    <w:rsid w:val="002A40DF"/>
    <w:rsid w:val="002A4287"/>
    <w:rsid w:val="002A4785"/>
    <w:rsid w:val="002A4802"/>
    <w:rsid w:val="002A48D2"/>
    <w:rsid w:val="002A4A7A"/>
    <w:rsid w:val="002A4AD0"/>
    <w:rsid w:val="002A5102"/>
    <w:rsid w:val="002A53F2"/>
    <w:rsid w:val="002A572B"/>
    <w:rsid w:val="002A5A04"/>
    <w:rsid w:val="002A5AD3"/>
    <w:rsid w:val="002A5D9A"/>
    <w:rsid w:val="002A630B"/>
    <w:rsid w:val="002A6551"/>
    <w:rsid w:val="002A697E"/>
    <w:rsid w:val="002A6B96"/>
    <w:rsid w:val="002A6D5F"/>
    <w:rsid w:val="002A73B9"/>
    <w:rsid w:val="002A76DF"/>
    <w:rsid w:val="002A76E2"/>
    <w:rsid w:val="002A7767"/>
    <w:rsid w:val="002A7800"/>
    <w:rsid w:val="002A7BCC"/>
    <w:rsid w:val="002A7D4C"/>
    <w:rsid w:val="002A7E2F"/>
    <w:rsid w:val="002B01D8"/>
    <w:rsid w:val="002B0403"/>
    <w:rsid w:val="002B046D"/>
    <w:rsid w:val="002B090E"/>
    <w:rsid w:val="002B09DD"/>
    <w:rsid w:val="002B0F34"/>
    <w:rsid w:val="002B0F6D"/>
    <w:rsid w:val="002B0FD8"/>
    <w:rsid w:val="002B19CF"/>
    <w:rsid w:val="002B20C0"/>
    <w:rsid w:val="002B2215"/>
    <w:rsid w:val="002B25A6"/>
    <w:rsid w:val="002B27AC"/>
    <w:rsid w:val="002B2B98"/>
    <w:rsid w:val="002B2D79"/>
    <w:rsid w:val="002B330D"/>
    <w:rsid w:val="002B33B2"/>
    <w:rsid w:val="002B3421"/>
    <w:rsid w:val="002B3740"/>
    <w:rsid w:val="002B3CE6"/>
    <w:rsid w:val="002B3CF4"/>
    <w:rsid w:val="002B41C2"/>
    <w:rsid w:val="002B4926"/>
    <w:rsid w:val="002B55AD"/>
    <w:rsid w:val="002B5B3B"/>
    <w:rsid w:val="002B5B71"/>
    <w:rsid w:val="002B5BD0"/>
    <w:rsid w:val="002B5C9F"/>
    <w:rsid w:val="002B5CA6"/>
    <w:rsid w:val="002B5D29"/>
    <w:rsid w:val="002B5D6F"/>
    <w:rsid w:val="002B60B3"/>
    <w:rsid w:val="002B62AF"/>
    <w:rsid w:val="002B6488"/>
    <w:rsid w:val="002B66C9"/>
    <w:rsid w:val="002B6995"/>
    <w:rsid w:val="002B6C83"/>
    <w:rsid w:val="002B7B54"/>
    <w:rsid w:val="002C0618"/>
    <w:rsid w:val="002C069F"/>
    <w:rsid w:val="002C06B8"/>
    <w:rsid w:val="002C0905"/>
    <w:rsid w:val="002C0D17"/>
    <w:rsid w:val="002C0F18"/>
    <w:rsid w:val="002C0F8F"/>
    <w:rsid w:val="002C0FB0"/>
    <w:rsid w:val="002C16B2"/>
    <w:rsid w:val="002C173E"/>
    <w:rsid w:val="002C1BE4"/>
    <w:rsid w:val="002C1FC2"/>
    <w:rsid w:val="002C20EE"/>
    <w:rsid w:val="002C24E6"/>
    <w:rsid w:val="002C2A91"/>
    <w:rsid w:val="002C2B6E"/>
    <w:rsid w:val="002C2D4F"/>
    <w:rsid w:val="002C3186"/>
    <w:rsid w:val="002C31D2"/>
    <w:rsid w:val="002C32CD"/>
    <w:rsid w:val="002C3A1A"/>
    <w:rsid w:val="002C3E0D"/>
    <w:rsid w:val="002C3F3A"/>
    <w:rsid w:val="002C4558"/>
    <w:rsid w:val="002C4E7C"/>
    <w:rsid w:val="002C5030"/>
    <w:rsid w:val="002C56E8"/>
    <w:rsid w:val="002C5E02"/>
    <w:rsid w:val="002C5F6D"/>
    <w:rsid w:val="002C61C0"/>
    <w:rsid w:val="002C6B73"/>
    <w:rsid w:val="002C6C8F"/>
    <w:rsid w:val="002C6EDD"/>
    <w:rsid w:val="002C6FBD"/>
    <w:rsid w:val="002C70FE"/>
    <w:rsid w:val="002C7113"/>
    <w:rsid w:val="002C715C"/>
    <w:rsid w:val="002C7374"/>
    <w:rsid w:val="002C7411"/>
    <w:rsid w:val="002C7AF5"/>
    <w:rsid w:val="002C7B72"/>
    <w:rsid w:val="002C7BC3"/>
    <w:rsid w:val="002D07E8"/>
    <w:rsid w:val="002D094C"/>
    <w:rsid w:val="002D0A39"/>
    <w:rsid w:val="002D0BBF"/>
    <w:rsid w:val="002D0E83"/>
    <w:rsid w:val="002D0F6C"/>
    <w:rsid w:val="002D1010"/>
    <w:rsid w:val="002D10F0"/>
    <w:rsid w:val="002D1376"/>
    <w:rsid w:val="002D1421"/>
    <w:rsid w:val="002D18B0"/>
    <w:rsid w:val="002D18D4"/>
    <w:rsid w:val="002D19BC"/>
    <w:rsid w:val="002D1B0E"/>
    <w:rsid w:val="002D1D22"/>
    <w:rsid w:val="002D2543"/>
    <w:rsid w:val="002D2813"/>
    <w:rsid w:val="002D2925"/>
    <w:rsid w:val="002D2B88"/>
    <w:rsid w:val="002D33EA"/>
    <w:rsid w:val="002D3BF8"/>
    <w:rsid w:val="002D3C1D"/>
    <w:rsid w:val="002D3E06"/>
    <w:rsid w:val="002D464F"/>
    <w:rsid w:val="002D4743"/>
    <w:rsid w:val="002D4994"/>
    <w:rsid w:val="002D4CF0"/>
    <w:rsid w:val="002D51AF"/>
    <w:rsid w:val="002D5E4B"/>
    <w:rsid w:val="002D5E95"/>
    <w:rsid w:val="002D60A2"/>
    <w:rsid w:val="002D61C0"/>
    <w:rsid w:val="002D61E9"/>
    <w:rsid w:val="002D63A0"/>
    <w:rsid w:val="002D6FBA"/>
    <w:rsid w:val="002D6FF3"/>
    <w:rsid w:val="002D75A8"/>
    <w:rsid w:val="002D76BB"/>
    <w:rsid w:val="002D7EF7"/>
    <w:rsid w:val="002D7FD2"/>
    <w:rsid w:val="002E0211"/>
    <w:rsid w:val="002E0263"/>
    <w:rsid w:val="002E08D3"/>
    <w:rsid w:val="002E09DE"/>
    <w:rsid w:val="002E0A15"/>
    <w:rsid w:val="002E0A9D"/>
    <w:rsid w:val="002E112A"/>
    <w:rsid w:val="002E1758"/>
    <w:rsid w:val="002E1765"/>
    <w:rsid w:val="002E2369"/>
    <w:rsid w:val="002E25F0"/>
    <w:rsid w:val="002E261A"/>
    <w:rsid w:val="002E2642"/>
    <w:rsid w:val="002E2977"/>
    <w:rsid w:val="002E3074"/>
    <w:rsid w:val="002E39D4"/>
    <w:rsid w:val="002E3D9F"/>
    <w:rsid w:val="002E3DE0"/>
    <w:rsid w:val="002E415A"/>
    <w:rsid w:val="002E4AD7"/>
    <w:rsid w:val="002E4DD0"/>
    <w:rsid w:val="002E513D"/>
    <w:rsid w:val="002E5496"/>
    <w:rsid w:val="002E57EC"/>
    <w:rsid w:val="002E5A9F"/>
    <w:rsid w:val="002E616A"/>
    <w:rsid w:val="002E62B6"/>
    <w:rsid w:val="002E631F"/>
    <w:rsid w:val="002E63A8"/>
    <w:rsid w:val="002E68F6"/>
    <w:rsid w:val="002E7344"/>
    <w:rsid w:val="002E7435"/>
    <w:rsid w:val="002E77AC"/>
    <w:rsid w:val="002E77EC"/>
    <w:rsid w:val="002E79CB"/>
    <w:rsid w:val="002E7F43"/>
    <w:rsid w:val="002F05ED"/>
    <w:rsid w:val="002F0E90"/>
    <w:rsid w:val="002F163C"/>
    <w:rsid w:val="002F168E"/>
    <w:rsid w:val="002F1DF6"/>
    <w:rsid w:val="002F209E"/>
    <w:rsid w:val="002F2280"/>
    <w:rsid w:val="002F254D"/>
    <w:rsid w:val="002F2B2B"/>
    <w:rsid w:val="002F2F45"/>
    <w:rsid w:val="002F2F50"/>
    <w:rsid w:val="002F2FF6"/>
    <w:rsid w:val="002F386A"/>
    <w:rsid w:val="002F3B42"/>
    <w:rsid w:val="002F3D8A"/>
    <w:rsid w:val="002F3DCE"/>
    <w:rsid w:val="002F4110"/>
    <w:rsid w:val="002F42A4"/>
    <w:rsid w:val="002F4327"/>
    <w:rsid w:val="002F435D"/>
    <w:rsid w:val="002F4515"/>
    <w:rsid w:val="002F46EF"/>
    <w:rsid w:val="002F4A96"/>
    <w:rsid w:val="002F4D29"/>
    <w:rsid w:val="002F4F47"/>
    <w:rsid w:val="002F5260"/>
    <w:rsid w:val="002F53E0"/>
    <w:rsid w:val="002F5722"/>
    <w:rsid w:val="002F598E"/>
    <w:rsid w:val="002F5AC7"/>
    <w:rsid w:val="002F5B84"/>
    <w:rsid w:val="002F62FA"/>
    <w:rsid w:val="002F6AD3"/>
    <w:rsid w:val="002F6BD1"/>
    <w:rsid w:val="002F6CF6"/>
    <w:rsid w:val="002F6D4B"/>
    <w:rsid w:val="002F6F6D"/>
    <w:rsid w:val="002F782E"/>
    <w:rsid w:val="002F7FD9"/>
    <w:rsid w:val="0030030C"/>
    <w:rsid w:val="003005DB"/>
    <w:rsid w:val="00300673"/>
    <w:rsid w:val="0030094B"/>
    <w:rsid w:val="00300A22"/>
    <w:rsid w:val="00300B41"/>
    <w:rsid w:val="00300D8F"/>
    <w:rsid w:val="00300EC3"/>
    <w:rsid w:val="00301167"/>
    <w:rsid w:val="0030125B"/>
    <w:rsid w:val="0030177A"/>
    <w:rsid w:val="00301947"/>
    <w:rsid w:val="00301D25"/>
    <w:rsid w:val="00301E03"/>
    <w:rsid w:val="00301F88"/>
    <w:rsid w:val="00302101"/>
    <w:rsid w:val="00302108"/>
    <w:rsid w:val="0030219C"/>
    <w:rsid w:val="003025DB"/>
    <w:rsid w:val="003027AA"/>
    <w:rsid w:val="00303163"/>
    <w:rsid w:val="003035E8"/>
    <w:rsid w:val="003038AB"/>
    <w:rsid w:val="00303BCD"/>
    <w:rsid w:val="003049FF"/>
    <w:rsid w:val="00304DB0"/>
    <w:rsid w:val="00304E31"/>
    <w:rsid w:val="00305251"/>
    <w:rsid w:val="00305A83"/>
    <w:rsid w:val="00305AC5"/>
    <w:rsid w:val="00305BD2"/>
    <w:rsid w:val="00305E83"/>
    <w:rsid w:val="003061D8"/>
    <w:rsid w:val="003061ED"/>
    <w:rsid w:val="003064B5"/>
    <w:rsid w:val="0030660E"/>
    <w:rsid w:val="0030685D"/>
    <w:rsid w:val="00306E4F"/>
    <w:rsid w:val="00307015"/>
    <w:rsid w:val="003070D1"/>
    <w:rsid w:val="00307714"/>
    <w:rsid w:val="003077C6"/>
    <w:rsid w:val="003079CA"/>
    <w:rsid w:val="00307AB9"/>
    <w:rsid w:val="00307E34"/>
    <w:rsid w:val="00307E95"/>
    <w:rsid w:val="00307F12"/>
    <w:rsid w:val="0031045D"/>
    <w:rsid w:val="00310915"/>
    <w:rsid w:val="00310D1D"/>
    <w:rsid w:val="00310E1A"/>
    <w:rsid w:val="0031114E"/>
    <w:rsid w:val="003114B7"/>
    <w:rsid w:val="003115A8"/>
    <w:rsid w:val="00311795"/>
    <w:rsid w:val="003117E7"/>
    <w:rsid w:val="003118A5"/>
    <w:rsid w:val="00311949"/>
    <w:rsid w:val="00311D57"/>
    <w:rsid w:val="00311E5C"/>
    <w:rsid w:val="0031201A"/>
    <w:rsid w:val="00312024"/>
    <w:rsid w:val="00312176"/>
    <w:rsid w:val="003122BB"/>
    <w:rsid w:val="00312DED"/>
    <w:rsid w:val="00312E40"/>
    <w:rsid w:val="0031317A"/>
    <w:rsid w:val="003133F3"/>
    <w:rsid w:val="003135C7"/>
    <w:rsid w:val="00313983"/>
    <w:rsid w:val="00313997"/>
    <w:rsid w:val="00313A09"/>
    <w:rsid w:val="00313B56"/>
    <w:rsid w:val="00313E34"/>
    <w:rsid w:val="00313E8A"/>
    <w:rsid w:val="00313EF2"/>
    <w:rsid w:val="0031413F"/>
    <w:rsid w:val="00314505"/>
    <w:rsid w:val="003146D4"/>
    <w:rsid w:val="003150D9"/>
    <w:rsid w:val="003154A8"/>
    <w:rsid w:val="00315B32"/>
    <w:rsid w:val="00315BC1"/>
    <w:rsid w:val="00315BEC"/>
    <w:rsid w:val="00315CB1"/>
    <w:rsid w:val="00315DF4"/>
    <w:rsid w:val="00315EBB"/>
    <w:rsid w:val="00316007"/>
    <w:rsid w:val="003160A3"/>
    <w:rsid w:val="003162C6"/>
    <w:rsid w:val="003164B8"/>
    <w:rsid w:val="003164C1"/>
    <w:rsid w:val="003164DA"/>
    <w:rsid w:val="003165C0"/>
    <w:rsid w:val="00316704"/>
    <w:rsid w:val="00316914"/>
    <w:rsid w:val="00316A43"/>
    <w:rsid w:val="00316B26"/>
    <w:rsid w:val="00316BF2"/>
    <w:rsid w:val="00317054"/>
    <w:rsid w:val="003173E0"/>
    <w:rsid w:val="00317439"/>
    <w:rsid w:val="00317549"/>
    <w:rsid w:val="003177AF"/>
    <w:rsid w:val="003177D0"/>
    <w:rsid w:val="00317972"/>
    <w:rsid w:val="00317BD2"/>
    <w:rsid w:val="00317C31"/>
    <w:rsid w:val="00320077"/>
    <w:rsid w:val="00320247"/>
    <w:rsid w:val="003207B8"/>
    <w:rsid w:val="00320881"/>
    <w:rsid w:val="00320A5D"/>
    <w:rsid w:val="00320A92"/>
    <w:rsid w:val="00321001"/>
    <w:rsid w:val="003212FC"/>
    <w:rsid w:val="003212FE"/>
    <w:rsid w:val="00321319"/>
    <w:rsid w:val="0032147F"/>
    <w:rsid w:val="003218D6"/>
    <w:rsid w:val="00321E05"/>
    <w:rsid w:val="0032209A"/>
    <w:rsid w:val="00322562"/>
    <w:rsid w:val="003225AE"/>
    <w:rsid w:val="003226F4"/>
    <w:rsid w:val="003228AC"/>
    <w:rsid w:val="003228F6"/>
    <w:rsid w:val="00322B6F"/>
    <w:rsid w:val="00322BAE"/>
    <w:rsid w:val="00322CD2"/>
    <w:rsid w:val="00322D49"/>
    <w:rsid w:val="00322EAC"/>
    <w:rsid w:val="003230FB"/>
    <w:rsid w:val="00323294"/>
    <w:rsid w:val="0032349D"/>
    <w:rsid w:val="0032362C"/>
    <w:rsid w:val="00323B6D"/>
    <w:rsid w:val="003240FE"/>
    <w:rsid w:val="0032420D"/>
    <w:rsid w:val="003246F9"/>
    <w:rsid w:val="00324ACC"/>
    <w:rsid w:val="00324F30"/>
    <w:rsid w:val="0032551B"/>
    <w:rsid w:val="003259A3"/>
    <w:rsid w:val="00325C99"/>
    <w:rsid w:val="00325E30"/>
    <w:rsid w:val="00326386"/>
    <w:rsid w:val="003264E9"/>
    <w:rsid w:val="00326825"/>
    <w:rsid w:val="00326896"/>
    <w:rsid w:val="003268DE"/>
    <w:rsid w:val="0032699A"/>
    <w:rsid w:val="00326CF1"/>
    <w:rsid w:val="00326D1D"/>
    <w:rsid w:val="00326FBA"/>
    <w:rsid w:val="0032733B"/>
    <w:rsid w:val="0032747B"/>
    <w:rsid w:val="00327589"/>
    <w:rsid w:val="00327660"/>
    <w:rsid w:val="003276EF"/>
    <w:rsid w:val="0032799C"/>
    <w:rsid w:val="00327A99"/>
    <w:rsid w:val="00330055"/>
    <w:rsid w:val="0033027D"/>
    <w:rsid w:val="00330749"/>
    <w:rsid w:val="00330987"/>
    <w:rsid w:val="00330BE2"/>
    <w:rsid w:val="00330E5E"/>
    <w:rsid w:val="00330F43"/>
    <w:rsid w:val="00330FE3"/>
    <w:rsid w:val="003310F3"/>
    <w:rsid w:val="003311DA"/>
    <w:rsid w:val="00331258"/>
    <w:rsid w:val="0033156E"/>
    <w:rsid w:val="003315DA"/>
    <w:rsid w:val="00331611"/>
    <w:rsid w:val="00331B19"/>
    <w:rsid w:val="00331DA1"/>
    <w:rsid w:val="00332402"/>
    <w:rsid w:val="00332645"/>
    <w:rsid w:val="003327C5"/>
    <w:rsid w:val="003334C1"/>
    <w:rsid w:val="003335ED"/>
    <w:rsid w:val="00333D72"/>
    <w:rsid w:val="00333DAE"/>
    <w:rsid w:val="00333E54"/>
    <w:rsid w:val="00333EF1"/>
    <w:rsid w:val="00333EF8"/>
    <w:rsid w:val="0033449B"/>
    <w:rsid w:val="003345BB"/>
    <w:rsid w:val="00334859"/>
    <w:rsid w:val="00334A0F"/>
    <w:rsid w:val="00334A4E"/>
    <w:rsid w:val="00334BD3"/>
    <w:rsid w:val="00334D51"/>
    <w:rsid w:val="003353FC"/>
    <w:rsid w:val="00335CDC"/>
    <w:rsid w:val="00335DB3"/>
    <w:rsid w:val="0033600D"/>
    <w:rsid w:val="00336047"/>
    <w:rsid w:val="0033622D"/>
    <w:rsid w:val="00336A06"/>
    <w:rsid w:val="00336A17"/>
    <w:rsid w:val="00336AFD"/>
    <w:rsid w:val="00336E9D"/>
    <w:rsid w:val="00336F82"/>
    <w:rsid w:val="00337068"/>
    <w:rsid w:val="00337476"/>
    <w:rsid w:val="00337586"/>
    <w:rsid w:val="00337590"/>
    <w:rsid w:val="003375DD"/>
    <w:rsid w:val="003377A8"/>
    <w:rsid w:val="0033786E"/>
    <w:rsid w:val="003379EB"/>
    <w:rsid w:val="00337C07"/>
    <w:rsid w:val="00337C80"/>
    <w:rsid w:val="00337CCD"/>
    <w:rsid w:val="0034092B"/>
    <w:rsid w:val="00340B14"/>
    <w:rsid w:val="00340D10"/>
    <w:rsid w:val="00340E71"/>
    <w:rsid w:val="003415BE"/>
    <w:rsid w:val="003415CD"/>
    <w:rsid w:val="003416AC"/>
    <w:rsid w:val="003416BD"/>
    <w:rsid w:val="00341ACC"/>
    <w:rsid w:val="00341B14"/>
    <w:rsid w:val="003420C2"/>
    <w:rsid w:val="003423F0"/>
    <w:rsid w:val="003426CF"/>
    <w:rsid w:val="003427D4"/>
    <w:rsid w:val="00342898"/>
    <w:rsid w:val="00342B9C"/>
    <w:rsid w:val="00342D22"/>
    <w:rsid w:val="00342FCC"/>
    <w:rsid w:val="00343061"/>
    <w:rsid w:val="0034318C"/>
    <w:rsid w:val="00343193"/>
    <w:rsid w:val="0034347B"/>
    <w:rsid w:val="003435E8"/>
    <w:rsid w:val="00343756"/>
    <w:rsid w:val="00343A0D"/>
    <w:rsid w:val="00343F79"/>
    <w:rsid w:val="00344028"/>
    <w:rsid w:val="00344136"/>
    <w:rsid w:val="00344371"/>
    <w:rsid w:val="003445B1"/>
    <w:rsid w:val="003448DD"/>
    <w:rsid w:val="003449CE"/>
    <w:rsid w:val="00344D7E"/>
    <w:rsid w:val="00345149"/>
    <w:rsid w:val="003451CD"/>
    <w:rsid w:val="00345983"/>
    <w:rsid w:val="00345EC3"/>
    <w:rsid w:val="00345FDC"/>
    <w:rsid w:val="003463EF"/>
    <w:rsid w:val="0034650E"/>
    <w:rsid w:val="0034650F"/>
    <w:rsid w:val="003465F7"/>
    <w:rsid w:val="0034676F"/>
    <w:rsid w:val="00347689"/>
    <w:rsid w:val="00347774"/>
    <w:rsid w:val="0034797C"/>
    <w:rsid w:val="00347C6F"/>
    <w:rsid w:val="00347EC8"/>
    <w:rsid w:val="00347F27"/>
    <w:rsid w:val="00347FCA"/>
    <w:rsid w:val="00350599"/>
    <w:rsid w:val="003505DD"/>
    <w:rsid w:val="00350747"/>
    <w:rsid w:val="0035086B"/>
    <w:rsid w:val="00350A5B"/>
    <w:rsid w:val="00350E5A"/>
    <w:rsid w:val="0035151B"/>
    <w:rsid w:val="003515A6"/>
    <w:rsid w:val="00351B3E"/>
    <w:rsid w:val="00351C1D"/>
    <w:rsid w:val="00351DE1"/>
    <w:rsid w:val="003522DA"/>
    <w:rsid w:val="003524AD"/>
    <w:rsid w:val="00352672"/>
    <w:rsid w:val="0035279F"/>
    <w:rsid w:val="00352E3E"/>
    <w:rsid w:val="003532FE"/>
    <w:rsid w:val="003537B2"/>
    <w:rsid w:val="00353970"/>
    <w:rsid w:val="00353DA7"/>
    <w:rsid w:val="00353DAB"/>
    <w:rsid w:val="00354651"/>
    <w:rsid w:val="00354890"/>
    <w:rsid w:val="00354995"/>
    <w:rsid w:val="00354A44"/>
    <w:rsid w:val="00354BB5"/>
    <w:rsid w:val="00355239"/>
    <w:rsid w:val="003553CD"/>
    <w:rsid w:val="003554A9"/>
    <w:rsid w:val="003554BB"/>
    <w:rsid w:val="0035598E"/>
    <w:rsid w:val="00355DC6"/>
    <w:rsid w:val="00355EBB"/>
    <w:rsid w:val="0035618A"/>
    <w:rsid w:val="0035652E"/>
    <w:rsid w:val="003569BB"/>
    <w:rsid w:val="00356A3C"/>
    <w:rsid w:val="00356AA3"/>
    <w:rsid w:val="00356ACF"/>
    <w:rsid w:val="00356BD7"/>
    <w:rsid w:val="00356E81"/>
    <w:rsid w:val="00356EA3"/>
    <w:rsid w:val="00357779"/>
    <w:rsid w:val="00357B5B"/>
    <w:rsid w:val="00357C05"/>
    <w:rsid w:val="00357E8F"/>
    <w:rsid w:val="00360302"/>
    <w:rsid w:val="0036045E"/>
    <w:rsid w:val="003609FC"/>
    <w:rsid w:val="00360DA0"/>
    <w:rsid w:val="00360EF1"/>
    <w:rsid w:val="00361063"/>
    <w:rsid w:val="003613DA"/>
    <w:rsid w:val="00361474"/>
    <w:rsid w:val="0036167E"/>
    <w:rsid w:val="00361B69"/>
    <w:rsid w:val="00361BB9"/>
    <w:rsid w:val="0036213D"/>
    <w:rsid w:val="003625A8"/>
    <w:rsid w:val="00362738"/>
    <w:rsid w:val="00362F1C"/>
    <w:rsid w:val="00363088"/>
    <w:rsid w:val="00363193"/>
    <w:rsid w:val="003631DD"/>
    <w:rsid w:val="00363A54"/>
    <w:rsid w:val="00363C9F"/>
    <w:rsid w:val="00364029"/>
    <w:rsid w:val="0036410A"/>
    <w:rsid w:val="00364596"/>
    <w:rsid w:val="003645F9"/>
    <w:rsid w:val="003650D9"/>
    <w:rsid w:val="00365120"/>
    <w:rsid w:val="003651E1"/>
    <w:rsid w:val="003654B4"/>
    <w:rsid w:val="00365983"/>
    <w:rsid w:val="00365B27"/>
    <w:rsid w:val="00365CF2"/>
    <w:rsid w:val="0036615A"/>
    <w:rsid w:val="00366432"/>
    <w:rsid w:val="00366570"/>
    <w:rsid w:val="0036663A"/>
    <w:rsid w:val="0036674F"/>
    <w:rsid w:val="003670EC"/>
    <w:rsid w:val="003671C6"/>
    <w:rsid w:val="003673E6"/>
    <w:rsid w:val="00367BE5"/>
    <w:rsid w:val="0037042C"/>
    <w:rsid w:val="003704BA"/>
    <w:rsid w:val="00370702"/>
    <w:rsid w:val="00370B04"/>
    <w:rsid w:val="00370F8A"/>
    <w:rsid w:val="00371998"/>
    <w:rsid w:val="00371B68"/>
    <w:rsid w:val="00371BC3"/>
    <w:rsid w:val="00371D5B"/>
    <w:rsid w:val="00371EB3"/>
    <w:rsid w:val="003721E4"/>
    <w:rsid w:val="00372425"/>
    <w:rsid w:val="0037255C"/>
    <w:rsid w:val="00372616"/>
    <w:rsid w:val="003726F4"/>
    <w:rsid w:val="00372726"/>
    <w:rsid w:val="00372D9F"/>
    <w:rsid w:val="00372DC5"/>
    <w:rsid w:val="00372EA3"/>
    <w:rsid w:val="0037330F"/>
    <w:rsid w:val="003735B4"/>
    <w:rsid w:val="003736EC"/>
    <w:rsid w:val="00373951"/>
    <w:rsid w:val="00373BEC"/>
    <w:rsid w:val="00373C3A"/>
    <w:rsid w:val="00373E95"/>
    <w:rsid w:val="00374650"/>
    <w:rsid w:val="003746EC"/>
    <w:rsid w:val="00374893"/>
    <w:rsid w:val="003748B1"/>
    <w:rsid w:val="0037558B"/>
    <w:rsid w:val="0037568F"/>
    <w:rsid w:val="00375727"/>
    <w:rsid w:val="00375E41"/>
    <w:rsid w:val="00375F83"/>
    <w:rsid w:val="00376089"/>
    <w:rsid w:val="003760C9"/>
    <w:rsid w:val="00376C38"/>
    <w:rsid w:val="00376FF7"/>
    <w:rsid w:val="003772B4"/>
    <w:rsid w:val="003775B6"/>
    <w:rsid w:val="00377876"/>
    <w:rsid w:val="00377978"/>
    <w:rsid w:val="0038071E"/>
    <w:rsid w:val="00380733"/>
    <w:rsid w:val="00380770"/>
    <w:rsid w:val="00380868"/>
    <w:rsid w:val="00380FEA"/>
    <w:rsid w:val="00381342"/>
    <w:rsid w:val="00381499"/>
    <w:rsid w:val="003814E5"/>
    <w:rsid w:val="00381D26"/>
    <w:rsid w:val="0038269B"/>
    <w:rsid w:val="00382A7B"/>
    <w:rsid w:val="00382D2C"/>
    <w:rsid w:val="003835E7"/>
    <w:rsid w:val="00383877"/>
    <w:rsid w:val="0038398E"/>
    <w:rsid w:val="00383BA8"/>
    <w:rsid w:val="00383DA8"/>
    <w:rsid w:val="00383DE5"/>
    <w:rsid w:val="003841E2"/>
    <w:rsid w:val="003842AE"/>
    <w:rsid w:val="00384610"/>
    <w:rsid w:val="00384E31"/>
    <w:rsid w:val="00384F7A"/>
    <w:rsid w:val="003851EA"/>
    <w:rsid w:val="003853B7"/>
    <w:rsid w:val="003853F6"/>
    <w:rsid w:val="003854FD"/>
    <w:rsid w:val="00385751"/>
    <w:rsid w:val="00385888"/>
    <w:rsid w:val="003859CE"/>
    <w:rsid w:val="00385A25"/>
    <w:rsid w:val="00385BEB"/>
    <w:rsid w:val="003860FF"/>
    <w:rsid w:val="003863BA"/>
    <w:rsid w:val="00386657"/>
    <w:rsid w:val="00386A52"/>
    <w:rsid w:val="00386B19"/>
    <w:rsid w:val="00386C99"/>
    <w:rsid w:val="00386D0D"/>
    <w:rsid w:val="003872B9"/>
    <w:rsid w:val="0038741F"/>
    <w:rsid w:val="003875D4"/>
    <w:rsid w:val="003877BB"/>
    <w:rsid w:val="00387D86"/>
    <w:rsid w:val="003904D8"/>
    <w:rsid w:val="00390555"/>
    <w:rsid w:val="00390EA0"/>
    <w:rsid w:val="00391130"/>
    <w:rsid w:val="0039185F"/>
    <w:rsid w:val="0039188E"/>
    <w:rsid w:val="00391F38"/>
    <w:rsid w:val="003921D2"/>
    <w:rsid w:val="003924F9"/>
    <w:rsid w:val="003925F3"/>
    <w:rsid w:val="003928C8"/>
    <w:rsid w:val="00392CF6"/>
    <w:rsid w:val="00393322"/>
    <w:rsid w:val="00393426"/>
    <w:rsid w:val="00393493"/>
    <w:rsid w:val="003936C3"/>
    <w:rsid w:val="00393C0C"/>
    <w:rsid w:val="00393C0F"/>
    <w:rsid w:val="003940F9"/>
    <w:rsid w:val="003941F9"/>
    <w:rsid w:val="003943CD"/>
    <w:rsid w:val="00394491"/>
    <w:rsid w:val="00394550"/>
    <w:rsid w:val="003946A0"/>
    <w:rsid w:val="003946D4"/>
    <w:rsid w:val="00394B1A"/>
    <w:rsid w:val="00394D80"/>
    <w:rsid w:val="00394F04"/>
    <w:rsid w:val="00394F5D"/>
    <w:rsid w:val="003955C3"/>
    <w:rsid w:val="003956DC"/>
    <w:rsid w:val="00395967"/>
    <w:rsid w:val="00395B53"/>
    <w:rsid w:val="00395BBE"/>
    <w:rsid w:val="00395D23"/>
    <w:rsid w:val="00395DBE"/>
    <w:rsid w:val="00395F97"/>
    <w:rsid w:val="00396189"/>
    <w:rsid w:val="00396530"/>
    <w:rsid w:val="003966DA"/>
    <w:rsid w:val="003969B3"/>
    <w:rsid w:val="00396C1F"/>
    <w:rsid w:val="00396CF7"/>
    <w:rsid w:val="00396E8D"/>
    <w:rsid w:val="00397473"/>
    <w:rsid w:val="0039757A"/>
    <w:rsid w:val="003976DA"/>
    <w:rsid w:val="00397A3E"/>
    <w:rsid w:val="00397AB1"/>
    <w:rsid w:val="00397F90"/>
    <w:rsid w:val="003A04ED"/>
    <w:rsid w:val="003A0905"/>
    <w:rsid w:val="003A0B02"/>
    <w:rsid w:val="003A1522"/>
    <w:rsid w:val="003A1821"/>
    <w:rsid w:val="003A194A"/>
    <w:rsid w:val="003A195E"/>
    <w:rsid w:val="003A1E4F"/>
    <w:rsid w:val="003A1F1C"/>
    <w:rsid w:val="003A2887"/>
    <w:rsid w:val="003A2891"/>
    <w:rsid w:val="003A2B34"/>
    <w:rsid w:val="003A31DE"/>
    <w:rsid w:val="003A3525"/>
    <w:rsid w:val="003A382B"/>
    <w:rsid w:val="003A384E"/>
    <w:rsid w:val="003A3857"/>
    <w:rsid w:val="003A3B6A"/>
    <w:rsid w:val="003A4314"/>
    <w:rsid w:val="003A44F2"/>
    <w:rsid w:val="003A476B"/>
    <w:rsid w:val="003A4919"/>
    <w:rsid w:val="003A4AEE"/>
    <w:rsid w:val="003A5C59"/>
    <w:rsid w:val="003A5E96"/>
    <w:rsid w:val="003A6022"/>
    <w:rsid w:val="003A671C"/>
    <w:rsid w:val="003A6947"/>
    <w:rsid w:val="003A6A72"/>
    <w:rsid w:val="003A6A89"/>
    <w:rsid w:val="003A6AE9"/>
    <w:rsid w:val="003A6CB1"/>
    <w:rsid w:val="003A7531"/>
    <w:rsid w:val="003A76D5"/>
    <w:rsid w:val="003A78AF"/>
    <w:rsid w:val="003A7C16"/>
    <w:rsid w:val="003A7C9A"/>
    <w:rsid w:val="003A7D9F"/>
    <w:rsid w:val="003A7F2D"/>
    <w:rsid w:val="003B0227"/>
    <w:rsid w:val="003B0298"/>
    <w:rsid w:val="003B030C"/>
    <w:rsid w:val="003B034B"/>
    <w:rsid w:val="003B03AF"/>
    <w:rsid w:val="003B03C9"/>
    <w:rsid w:val="003B05CD"/>
    <w:rsid w:val="003B0920"/>
    <w:rsid w:val="003B0FF3"/>
    <w:rsid w:val="003B14B3"/>
    <w:rsid w:val="003B14DF"/>
    <w:rsid w:val="003B1591"/>
    <w:rsid w:val="003B19F0"/>
    <w:rsid w:val="003B2863"/>
    <w:rsid w:val="003B2FCA"/>
    <w:rsid w:val="003B3220"/>
    <w:rsid w:val="003B34E6"/>
    <w:rsid w:val="003B4231"/>
    <w:rsid w:val="003B432F"/>
    <w:rsid w:val="003B470F"/>
    <w:rsid w:val="003B4768"/>
    <w:rsid w:val="003B48B5"/>
    <w:rsid w:val="003B4E0D"/>
    <w:rsid w:val="003B51BF"/>
    <w:rsid w:val="003B5259"/>
    <w:rsid w:val="003B526C"/>
    <w:rsid w:val="003B534E"/>
    <w:rsid w:val="003B5467"/>
    <w:rsid w:val="003B597D"/>
    <w:rsid w:val="003B59AC"/>
    <w:rsid w:val="003B5C28"/>
    <w:rsid w:val="003B5FEB"/>
    <w:rsid w:val="003B6098"/>
    <w:rsid w:val="003B60B7"/>
    <w:rsid w:val="003B64BA"/>
    <w:rsid w:val="003B64BF"/>
    <w:rsid w:val="003B65EB"/>
    <w:rsid w:val="003B671B"/>
    <w:rsid w:val="003B68DF"/>
    <w:rsid w:val="003B6988"/>
    <w:rsid w:val="003B69E9"/>
    <w:rsid w:val="003B6C7C"/>
    <w:rsid w:val="003B6E99"/>
    <w:rsid w:val="003B6EC1"/>
    <w:rsid w:val="003B6F81"/>
    <w:rsid w:val="003B7181"/>
    <w:rsid w:val="003B7205"/>
    <w:rsid w:val="003B7780"/>
    <w:rsid w:val="003B792D"/>
    <w:rsid w:val="003B7964"/>
    <w:rsid w:val="003B7DDF"/>
    <w:rsid w:val="003B7E33"/>
    <w:rsid w:val="003C08DC"/>
    <w:rsid w:val="003C0A4E"/>
    <w:rsid w:val="003C0ECD"/>
    <w:rsid w:val="003C0F3F"/>
    <w:rsid w:val="003C0F44"/>
    <w:rsid w:val="003C0FD8"/>
    <w:rsid w:val="003C131F"/>
    <w:rsid w:val="003C1360"/>
    <w:rsid w:val="003C188A"/>
    <w:rsid w:val="003C1A8E"/>
    <w:rsid w:val="003C1BAB"/>
    <w:rsid w:val="003C1BD9"/>
    <w:rsid w:val="003C1D58"/>
    <w:rsid w:val="003C21F2"/>
    <w:rsid w:val="003C270E"/>
    <w:rsid w:val="003C287D"/>
    <w:rsid w:val="003C288C"/>
    <w:rsid w:val="003C2AB7"/>
    <w:rsid w:val="003C2AB8"/>
    <w:rsid w:val="003C3062"/>
    <w:rsid w:val="003C32FA"/>
    <w:rsid w:val="003C3887"/>
    <w:rsid w:val="003C3B3D"/>
    <w:rsid w:val="003C3E2A"/>
    <w:rsid w:val="003C4341"/>
    <w:rsid w:val="003C4398"/>
    <w:rsid w:val="003C47BC"/>
    <w:rsid w:val="003C4C34"/>
    <w:rsid w:val="003C51F1"/>
    <w:rsid w:val="003C5312"/>
    <w:rsid w:val="003C53AF"/>
    <w:rsid w:val="003C54F2"/>
    <w:rsid w:val="003C5B23"/>
    <w:rsid w:val="003C5B89"/>
    <w:rsid w:val="003C5D0B"/>
    <w:rsid w:val="003C5FCD"/>
    <w:rsid w:val="003C6153"/>
    <w:rsid w:val="003C664A"/>
    <w:rsid w:val="003C675D"/>
    <w:rsid w:val="003C717A"/>
    <w:rsid w:val="003C72A3"/>
    <w:rsid w:val="003C746E"/>
    <w:rsid w:val="003C7524"/>
    <w:rsid w:val="003C7BE0"/>
    <w:rsid w:val="003C7D1E"/>
    <w:rsid w:val="003C7DCD"/>
    <w:rsid w:val="003C7EA3"/>
    <w:rsid w:val="003D0072"/>
    <w:rsid w:val="003D0191"/>
    <w:rsid w:val="003D0461"/>
    <w:rsid w:val="003D110F"/>
    <w:rsid w:val="003D152E"/>
    <w:rsid w:val="003D1800"/>
    <w:rsid w:val="003D1A5A"/>
    <w:rsid w:val="003D1D46"/>
    <w:rsid w:val="003D2025"/>
    <w:rsid w:val="003D20DC"/>
    <w:rsid w:val="003D2216"/>
    <w:rsid w:val="003D2294"/>
    <w:rsid w:val="003D2444"/>
    <w:rsid w:val="003D253B"/>
    <w:rsid w:val="003D269B"/>
    <w:rsid w:val="003D2702"/>
    <w:rsid w:val="003D2926"/>
    <w:rsid w:val="003D2C83"/>
    <w:rsid w:val="003D2CF6"/>
    <w:rsid w:val="003D2F85"/>
    <w:rsid w:val="003D3028"/>
    <w:rsid w:val="003D31CA"/>
    <w:rsid w:val="003D3F3A"/>
    <w:rsid w:val="003D41A3"/>
    <w:rsid w:val="003D42A4"/>
    <w:rsid w:val="003D43A6"/>
    <w:rsid w:val="003D443F"/>
    <w:rsid w:val="003D4661"/>
    <w:rsid w:val="003D4989"/>
    <w:rsid w:val="003D4CA6"/>
    <w:rsid w:val="003D4EE9"/>
    <w:rsid w:val="003D57B0"/>
    <w:rsid w:val="003D584A"/>
    <w:rsid w:val="003D5965"/>
    <w:rsid w:val="003D5DCF"/>
    <w:rsid w:val="003D5E1C"/>
    <w:rsid w:val="003D6447"/>
    <w:rsid w:val="003D6461"/>
    <w:rsid w:val="003D6578"/>
    <w:rsid w:val="003D669C"/>
    <w:rsid w:val="003D69FE"/>
    <w:rsid w:val="003D6C83"/>
    <w:rsid w:val="003D798B"/>
    <w:rsid w:val="003D7D0B"/>
    <w:rsid w:val="003E01C2"/>
    <w:rsid w:val="003E0498"/>
    <w:rsid w:val="003E04B9"/>
    <w:rsid w:val="003E066C"/>
    <w:rsid w:val="003E06F3"/>
    <w:rsid w:val="003E09EB"/>
    <w:rsid w:val="003E0D29"/>
    <w:rsid w:val="003E0E2B"/>
    <w:rsid w:val="003E0FDE"/>
    <w:rsid w:val="003E114A"/>
    <w:rsid w:val="003E1602"/>
    <w:rsid w:val="003E1AFD"/>
    <w:rsid w:val="003E1BEE"/>
    <w:rsid w:val="003E2083"/>
    <w:rsid w:val="003E20B8"/>
    <w:rsid w:val="003E25D4"/>
    <w:rsid w:val="003E2B57"/>
    <w:rsid w:val="003E2C4A"/>
    <w:rsid w:val="003E2F4D"/>
    <w:rsid w:val="003E301E"/>
    <w:rsid w:val="003E31DC"/>
    <w:rsid w:val="003E3730"/>
    <w:rsid w:val="003E3B1D"/>
    <w:rsid w:val="003E470A"/>
    <w:rsid w:val="003E490B"/>
    <w:rsid w:val="003E4AD7"/>
    <w:rsid w:val="003E4B94"/>
    <w:rsid w:val="003E4C14"/>
    <w:rsid w:val="003E4CD5"/>
    <w:rsid w:val="003E523C"/>
    <w:rsid w:val="003E5254"/>
    <w:rsid w:val="003E538C"/>
    <w:rsid w:val="003E5861"/>
    <w:rsid w:val="003E58B5"/>
    <w:rsid w:val="003E6103"/>
    <w:rsid w:val="003E659D"/>
    <w:rsid w:val="003E6BEB"/>
    <w:rsid w:val="003E6E33"/>
    <w:rsid w:val="003E7433"/>
    <w:rsid w:val="003E7479"/>
    <w:rsid w:val="003E7761"/>
    <w:rsid w:val="003E7835"/>
    <w:rsid w:val="003E7CD9"/>
    <w:rsid w:val="003E7DD3"/>
    <w:rsid w:val="003E7F3B"/>
    <w:rsid w:val="003F01B5"/>
    <w:rsid w:val="003F051E"/>
    <w:rsid w:val="003F0BDD"/>
    <w:rsid w:val="003F17AB"/>
    <w:rsid w:val="003F17BE"/>
    <w:rsid w:val="003F1A9E"/>
    <w:rsid w:val="003F1BC1"/>
    <w:rsid w:val="003F1CD1"/>
    <w:rsid w:val="003F1D67"/>
    <w:rsid w:val="003F27E6"/>
    <w:rsid w:val="003F28FD"/>
    <w:rsid w:val="003F2915"/>
    <w:rsid w:val="003F3042"/>
    <w:rsid w:val="003F34D5"/>
    <w:rsid w:val="003F3A6B"/>
    <w:rsid w:val="003F3A84"/>
    <w:rsid w:val="003F3C88"/>
    <w:rsid w:val="003F3C8E"/>
    <w:rsid w:val="003F3E74"/>
    <w:rsid w:val="003F43FE"/>
    <w:rsid w:val="003F4598"/>
    <w:rsid w:val="003F4855"/>
    <w:rsid w:val="003F4AA6"/>
    <w:rsid w:val="003F4AD0"/>
    <w:rsid w:val="003F4B79"/>
    <w:rsid w:val="003F4CC2"/>
    <w:rsid w:val="003F4E83"/>
    <w:rsid w:val="003F5183"/>
    <w:rsid w:val="003F5431"/>
    <w:rsid w:val="003F543F"/>
    <w:rsid w:val="003F5632"/>
    <w:rsid w:val="003F5B9A"/>
    <w:rsid w:val="003F5E0C"/>
    <w:rsid w:val="003F6A63"/>
    <w:rsid w:val="003F6AE9"/>
    <w:rsid w:val="003F6C49"/>
    <w:rsid w:val="003F6CC0"/>
    <w:rsid w:val="003F6D25"/>
    <w:rsid w:val="003F7466"/>
    <w:rsid w:val="003F760D"/>
    <w:rsid w:val="003F762F"/>
    <w:rsid w:val="003F7818"/>
    <w:rsid w:val="003F7B66"/>
    <w:rsid w:val="003F7DF4"/>
    <w:rsid w:val="0040026C"/>
    <w:rsid w:val="004004A3"/>
    <w:rsid w:val="00400ADD"/>
    <w:rsid w:val="00400FBA"/>
    <w:rsid w:val="004011D2"/>
    <w:rsid w:val="00401351"/>
    <w:rsid w:val="00401453"/>
    <w:rsid w:val="0040147D"/>
    <w:rsid w:val="00401505"/>
    <w:rsid w:val="00401694"/>
    <w:rsid w:val="00401728"/>
    <w:rsid w:val="004017FD"/>
    <w:rsid w:val="00401B15"/>
    <w:rsid w:val="00401B67"/>
    <w:rsid w:val="004027D6"/>
    <w:rsid w:val="00403022"/>
    <w:rsid w:val="00403109"/>
    <w:rsid w:val="004034BA"/>
    <w:rsid w:val="00403AF6"/>
    <w:rsid w:val="004042EA"/>
    <w:rsid w:val="0040469C"/>
    <w:rsid w:val="00404B8C"/>
    <w:rsid w:val="00404B9D"/>
    <w:rsid w:val="00404DF5"/>
    <w:rsid w:val="004056B0"/>
    <w:rsid w:val="0040583B"/>
    <w:rsid w:val="00405B1D"/>
    <w:rsid w:val="00405FDD"/>
    <w:rsid w:val="00406486"/>
    <w:rsid w:val="0040678D"/>
    <w:rsid w:val="00406921"/>
    <w:rsid w:val="00406BAA"/>
    <w:rsid w:val="00406CFC"/>
    <w:rsid w:val="00406F71"/>
    <w:rsid w:val="004070DF"/>
    <w:rsid w:val="00407211"/>
    <w:rsid w:val="00407323"/>
    <w:rsid w:val="00407675"/>
    <w:rsid w:val="00407C06"/>
    <w:rsid w:val="00407CEA"/>
    <w:rsid w:val="00407D8F"/>
    <w:rsid w:val="00407E47"/>
    <w:rsid w:val="00410115"/>
    <w:rsid w:val="004104B3"/>
    <w:rsid w:val="004105DE"/>
    <w:rsid w:val="00410B5A"/>
    <w:rsid w:val="00410C9D"/>
    <w:rsid w:val="004115CA"/>
    <w:rsid w:val="00411707"/>
    <w:rsid w:val="0041173A"/>
    <w:rsid w:val="00411964"/>
    <w:rsid w:val="00411D1B"/>
    <w:rsid w:val="00411E54"/>
    <w:rsid w:val="00411FB0"/>
    <w:rsid w:val="00412155"/>
    <w:rsid w:val="00412160"/>
    <w:rsid w:val="004123FB"/>
    <w:rsid w:val="0041240A"/>
    <w:rsid w:val="00412BE8"/>
    <w:rsid w:val="00412C08"/>
    <w:rsid w:val="00412DEF"/>
    <w:rsid w:val="00413057"/>
    <w:rsid w:val="00413376"/>
    <w:rsid w:val="004134D2"/>
    <w:rsid w:val="004135B9"/>
    <w:rsid w:val="00413A53"/>
    <w:rsid w:val="00413BAF"/>
    <w:rsid w:val="00413C34"/>
    <w:rsid w:val="004140B4"/>
    <w:rsid w:val="004140ED"/>
    <w:rsid w:val="0041421E"/>
    <w:rsid w:val="0041429A"/>
    <w:rsid w:val="00414361"/>
    <w:rsid w:val="00414381"/>
    <w:rsid w:val="004146A5"/>
    <w:rsid w:val="00414C79"/>
    <w:rsid w:val="00414F42"/>
    <w:rsid w:val="00414F99"/>
    <w:rsid w:val="0041526F"/>
    <w:rsid w:val="00415284"/>
    <w:rsid w:val="0041532E"/>
    <w:rsid w:val="00415530"/>
    <w:rsid w:val="00415603"/>
    <w:rsid w:val="004157E6"/>
    <w:rsid w:val="00415906"/>
    <w:rsid w:val="00415A45"/>
    <w:rsid w:val="00415AB4"/>
    <w:rsid w:val="00415C6B"/>
    <w:rsid w:val="00415C8D"/>
    <w:rsid w:val="00416387"/>
    <w:rsid w:val="004165E7"/>
    <w:rsid w:val="00416B40"/>
    <w:rsid w:val="00416E93"/>
    <w:rsid w:val="00417321"/>
    <w:rsid w:val="00420421"/>
    <w:rsid w:val="004206A6"/>
    <w:rsid w:val="0042074A"/>
    <w:rsid w:val="00420991"/>
    <w:rsid w:val="00420A17"/>
    <w:rsid w:val="00420A8B"/>
    <w:rsid w:val="00420CEA"/>
    <w:rsid w:val="00420D0B"/>
    <w:rsid w:val="00421354"/>
    <w:rsid w:val="0042154B"/>
    <w:rsid w:val="00421A54"/>
    <w:rsid w:val="00422291"/>
    <w:rsid w:val="0042277F"/>
    <w:rsid w:val="00422833"/>
    <w:rsid w:val="004229C1"/>
    <w:rsid w:val="00422EA5"/>
    <w:rsid w:val="00422F5E"/>
    <w:rsid w:val="00423293"/>
    <w:rsid w:val="004233E7"/>
    <w:rsid w:val="004239F4"/>
    <w:rsid w:val="00423AF6"/>
    <w:rsid w:val="0042428D"/>
    <w:rsid w:val="00424664"/>
    <w:rsid w:val="00424D7E"/>
    <w:rsid w:val="00424E84"/>
    <w:rsid w:val="00424F4B"/>
    <w:rsid w:val="004250D4"/>
    <w:rsid w:val="004253C4"/>
    <w:rsid w:val="0042568D"/>
    <w:rsid w:val="00425A1C"/>
    <w:rsid w:val="00425DF1"/>
    <w:rsid w:val="00426553"/>
    <w:rsid w:val="00426AC9"/>
    <w:rsid w:val="00426BD1"/>
    <w:rsid w:val="00426D76"/>
    <w:rsid w:val="00426E3A"/>
    <w:rsid w:val="00426FCD"/>
    <w:rsid w:val="0042796C"/>
    <w:rsid w:val="00427DF0"/>
    <w:rsid w:val="0043013D"/>
    <w:rsid w:val="0043051F"/>
    <w:rsid w:val="00430857"/>
    <w:rsid w:val="00430966"/>
    <w:rsid w:val="00430D2D"/>
    <w:rsid w:val="00430EAC"/>
    <w:rsid w:val="00431114"/>
    <w:rsid w:val="00431521"/>
    <w:rsid w:val="004315C6"/>
    <w:rsid w:val="00431C6D"/>
    <w:rsid w:val="004322FC"/>
    <w:rsid w:val="0043288A"/>
    <w:rsid w:val="00432997"/>
    <w:rsid w:val="00432C81"/>
    <w:rsid w:val="00432D17"/>
    <w:rsid w:val="0043302D"/>
    <w:rsid w:val="004330F3"/>
    <w:rsid w:val="004331BE"/>
    <w:rsid w:val="004333C8"/>
    <w:rsid w:val="0043368F"/>
    <w:rsid w:val="00433924"/>
    <w:rsid w:val="00433A46"/>
    <w:rsid w:val="00433AF1"/>
    <w:rsid w:val="0043425D"/>
    <w:rsid w:val="00434440"/>
    <w:rsid w:val="004345DB"/>
    <w:rsid w:val="00434866"/>
    <w:rsid w:val="004348CE"/>
    <w:rsid w:val="00435590"/>
    <w:rsid w:val="004364DC"/>
    <w:rsid w:val="0043660E"/>
    <w:rsid w:val="0043661A"/>
    <w:rsid w:val="00436937"/>
    <w:rsid w:val="00436980"/>
    <w:rsid w:val="00436FB2"/>
    <w:rsid w:val="00437665"/>
    <w:rsid w:val="00437921"/>
    <w:rsid w:val="00437C93"/>
    <w:rsid w:val="00437D02"/>
    <w:rsid w:val="00437D37"/>
    <w:rsid w:val="00437E27"/>
    <w:rsid w:val="00437EA6"/>
    <w:rsid w:val="00440518"/>
    <w:rsid w:val="0044096C"/>
    <w:rsid w:val="00440A4B"/>
    <w:rsid w:val="00440E60"/>
    <w:rsid w:val="00440F20"/>
    <w:rsid w:val="00441B4B"/>
    <w:rsid w:val="00441FB4"/>
    <w:rsid w:val="00442186"/>
    <w:rsid w:val="00442385"/>
    <w:rsid w:val="004428C3"/>
    <w:rsid w:val="00442E37"/>
    <w:rsid w:val="0044310F"/>
    <w:rsid w:val="004434E9"/>
    <w:rsid w:val="0044371B"/>
    <w:rsid w:val="004439C7"/>
    <w:rsid w:val="00443C77"/>
    <w:rsid w:val="00443D59"/>
    <w:rsid w:val="0044409C"/>
    <w:rsid w:val="00444342"/>
    <w:rsid w:val="0044486D"/>
    <w:rsid w:val="00444980"/>
    <w:rsid w:val="00444FCA"/>
    <w:rsid w:val="00445549"/>
    <w:rsid w:val="00446012"/>
    <w:rsid w:val="004462E2"/>
    <w:rsid w:val="0044680D"/>
    <w:rsid w:val="004469CC"/>
    <w:rsid w:val="00446C1B"/>
    <w:rsid w:val="00446EA4"/>
    <w:rsid w:val="004472C8"/>
    <w:rsid w:val="00447373"/>
    <w:rsid w:val="00450061"/>
    <w:rsid w:val="00450381"/>
    <w:rsid w:val="00450752"/>
    <w:rsid w:val="00450A23"/>
    <w:rsid w:val="00450AD6"/>
    <w:rsid w:val="00450B6B"/>
    <w:rsid w:val="00450DA3"/>
    <w:rsid w:val="00451090"/>
    <w:rsid w:val="004511A2"/>
    <w:rsid w:val="004511D4"/>
    <w:rsid w:val="004515B1"/>
    <w:rsid w:val="004515CB"/>
    <w:rsid w:val="004517AA"/>
    <w:rsid w:val="00451832"/>
    <w:rsid w:val="00451D8A"/>
    <w:rsid w:val="00451D98"/>
    <w:rsid w:val="00452024"/>
    <w:rsid w:val="004528A7"/>
    <w:rsid w:val="00452991"/>
    <w:rsid w:val="00453253"/>
    <w:rsid w:val="00453532"/>
    <w:rsid w:val="00453C40"/>
    <w:rsid w:val="00453F92"/>
    <w:rsid w:val="004541DD"/>
    <w:rsid w:val="004543C3"/>
    <w:rsid w:val="004543E9"/>
    <w:rsid w:val="0045459E"/>
    <w:rsid w:val="0045469D"/>
    <w:rsid w:val="00454923"/>
    <w:rsid w:val="00454B33"/>
    <w:rsid w:val="00454C54"/>
    <w:rsid w:val="00454D6F"/>
    <w:rsid w:val="00454DA1"/>
    <w:rsid w:val="00454F17"/>
    <w:rsid w:val="00454FA8"/>
    <w:rsid w:val="0045515D"/>
    <w:rsid w:val="00455327"/>
    <w:rsid w:val="004555F9"/>
    <w:rsid w:val="00455CD0"/>
    <w:rsid w:val="00456072"/>
    <w:rsid w:val="004562C2"/>
    <w:rsid w:val="0045630E"/>
    <w:rsid w:val="00456E07"/>
    <w:rsid w:val="004570FC"/>
    <w:rsid w:val="0045755E"/>
    <w:rsid w:val="0045792A"/>
    <w:rsid w:val="00457EEE"/>
    <w:rsid w:val="00460061"/>
    <w:rsid w:val="0046012A"/>
    <w:rsid w:val="004601E1"/>
    <w:rsid w:val="004602C5"/>
    <w:rsid w:val="004602F0"/>
    <w:rsid w:val="00460366"/>
    <w:rsid w:val="004603BB"/>
    <w:rsid w:val="00460981"/>
    <w:rsid w:val="00460A60"/>
    <w:rsid w:val="004610BC"/>
    <w:rsid w:val="00461379"/>
    <w:rsid w:val="00461434"/>
    <w:rsid w:val="00461561"/>
    <w:rsid w:val="004616A9"/>
    <w:rsid w:val="004626FD"/>
    <w:rsid w:val="00462743"/>
    <w:rsid w:val="00462B2F"/>
    <w:rsid w:val="00462B87"/>
    <w:rsid w:val="00462D07"/>
    <w:rsid w:val="00462D41"/>
    <w:rsid w:val="00463308"/>
    <w:rsid w:val="004633B0"/>
    <w:rsid w:val="0046361F"/>
    <w:rsid w:val="0046367E"/>
    <w:rsid w:val="00463F20"/>
    <w:rsid w:val="00463F43"/>
    <w:rsid w:val="00464422"/>
    <w:rsid w:val="00464449"/>
    <w:rsid w:val="00464737"/>
    <w:rsid w:val="00464EEE"/>
    <w:rsid w:val="004659E0"/>
    <w:rsid w:val="00465DC7"/>
    <w:rsid w:val="00466399"/>
    <w:rsid w:val="00466491"/>
    <w:rsid w:val="00466621"/>
    <w:rsid w:val="00466799"/>
    <w:rsid w:val="004668EB"/>
    <w:rsid w:val="0046692B"/>
    <w:rsid w:val="00466BD0"/>
    <w:rsid w:val="00466D8F"/>
    <w:rsid w:val="00466F82"/>
    <w:rsid w:val="0046706A"/>
    <w:rsid w:val="0046708B"/>
    <w:rsid w:val="004673FE"/>
    <w:rsid w:val="00467928"/>
    <w:rsid w:val="00467F44"/>
    <w:rsid w:val="00470092"/>
    <w:rsid w:val="00470125"/>
    <w:rsid w:val="00470441"/>
    <w:rsid w:val="004704C4"/>
    <w:rsid w:val="00470EB1"/>
    <w:rsid w:val="00471167"/>
    <w:rsid w:val="004723F5"/>
    <w:rsid w:val="00472552"/>
    <w:rsid w:val="00472822"/>
    <w:rsid w:val="004728D4"/>
    <w:rsid w:val="00472A0A"/>
    <w:rsid w:val="00472B06"/>
    <w:rsid w:val="00472DD1"/>
    <w:rsid w:val="00472E4E"/>
    <w:rsid w:val="00473070"/>
    <w:rsid w:val="00473154"/>
    <w:rsid w:val="0047324B"/>
    <w:rsid w:val="00473311"/>
    <w:rsid w:val="004734C0"/>
    <w:rsid w:val="0047351B"/>
    <w:rsid w:val="00473DC4"/>
    <w:rsid w:val="004741DA"/>
    <w:rsid w:val="0047435A"/>
    <w:rsid w:val="00474505"/>
    <w:rsid w:val="0047483D"/>
    <w:rsid w:val="004754AA"/>
    <w:rsid w:val="004754BA"/>
    <w:rsid w:val="004756C4"/>
    <w:rsid w:val="0047572C"/>
    <w:rsid w:val="0047597B"/>
    <w:rsid w:val="00475B83"/>
    <w:rsid w:val="00475C0E"/>
    <w:rsid w:val="00475E3F"/>
    <w:rsid w:val="00475E6A"/>
    <w:rsid w:val="00475F3B"/>
    <w:rsid w:val="00476072"/>
    <w:rsid w:val="004761D7"/>
    <w:rsid w:val="004762C3"/>
    <w:rsid w:val="004764F5"/>
    <w:rsid w:val="004768DE"/>
    <w:rsid w:val="00476ABA"/>
    <w:rsid w:val="00476F5B"/>
    <w:rsid w:val="004778DA"/>
    <w:rsid w:val="004778FF"/>
    <w:rsid w:val="004804F8"/>
    <w:rsid w:val="0048082C"/>
    <w:rsid w:val="004808AF"/>
    <w:rsid w:val="00481290"/>
    <w:rsid w:val="00482906"/>
    <w:rsid w:val="00482B4D"/>
    <w:rsid w:val="00482BB8"/>
    <w:rsid w:val="00482F46"/>
    <w:rsid w:val="00483219"/>
    <w:rsid w:val="00483E15"/>
    <w:rsid w:val="004848C5"/>
    <w:rsid w:val="00484C8E"/>
    <w:rsid w:val="00484E0B"/>
    <w:rsid w:val="00484FE4"/>
    <w:rsid w:val="00484FF2"/>
    <w:rsid w:val="0048528D"/>
    <w:rsid w:val="00485441"/>
    <w:rsid w:val="004856F8"/>
    <w:rsid w:val="004860D1"/>
    <w:rsid w:val="004862DC"/>
    <w:rsid w:val="0048697B"/>
    <w:rsid w:val="00486AAE"/>
    <w:rsid w:val="00486AC9"/>
    <w:rsid w:val="004870E1"/>
    <w:rsid w:val="0048744A"/>
    <w:rsid w:val="004875B7"/>
    <w:rsid w:val="00487847"/>
    <w:rsid w:val="00487B10"/>
    <w:rsid w:val="00487B67"/>
    <w:rsid w:val="0049046C"/>
    <w:rsid w:val="00490584"/>
    <w:rsid w:val="004906F7"/>
    <w:rsid w:val="00490733"/>
    <w:rsid w:val="0049083D"/>
    <w:rsid w:val="00490843"/>
    <w:rsid w:val="00490B4C"/>
    <w:rsid w:val="00490F39"/>
    <w:rsid w:val="00491662"/>
    <w:rsid w:val="00492282"/>
    <w:rsid w:val="004922D7"/>
    <w:rsid w:val="004923C0"/>
    <w:rsid w:val="0049267E"/>
    <w:rsid w:val="004928A1"/>
    <w:rsid w:val="00492CF9"/>
    <w:rsid w:val="00492D9C"/>
    <w:rsid w:val="00493132"/>
    <w:rsid w:val="004931B9"/>
    <w:rsid w:val="00493840"/>
    <w:rsid w:val="00493EA4"/>
    <w:rsid w:val="004940E2"/>
    <w:rsid w:val="004949ED"/>
    <w:rsid w:val="00494AB5"/>
    <w:rsid w:val="00494B14"/>
    <w:rsid w:val="00494C4A"/>
    <w:rsid w:val="00495093"/>
    <w:rsid w:val="004953B3"/>
    <w:rsid w:val="004957B7"/>
    <w:rsid w:val="004958F3"/>
    <w:rsid w:val="004959CC"/>
    <w:rsid w:val="00495BC8"/>
    <w:rsid w:val="00495F89"/>
    <w:rsid w:val="004962E0"/>
    <w:rsid w:val="004964D2"/>
    <w:rsid w:val="004964FF"/>
    <w:rsid w:val="0049691D"/>
    <w:rsid w:val="00496CBF"/>
    <w:rsid w:val="00496CE3"/>
    <w:rsid w:val="00496E3B"/>
    <w:rsid w:val="00496F1D"/>
    <w:rsid w:val="004972E2"/>
    <w:rsid w:val="00497452"/>
    <w:rsid w:val="00497756"/>
    <w:rsid w:val="00497BA4"/>
    <w:rsid w:val="00497C91"/>
    <w:rsid w:val="00497F53"/>
    <w:rsid w:val="004A041F"/>
    <w:rsid w:val="004A0523"/>
    <w:rsid w:val="004A0637"/>
    <w:rsid w:val="004A06AC"/>
    <w:rsid w:val="004A0933"/>
    <w:rsid w:val="004A0C3C"/>
    <w:rsid w:val="004A0CB7"/>
    <w:rsid w:val="004A10A6"/>
    <w:rsid w:val="004A10C5"/>
    <w:rsid w:val="004A10ED"/>
    <w:rsid w:val="004A131A"/>
    <w:rsid w:val="004A18D3"/>
    <w:rsid w:val="004A1B41"/>
    <w:rsid w:val="004A1BD8"/>
    <w:rsid w:val="004A1E63"/>
    <w:rsid w:val="004A20D1"/>
    <w:rsid w:val="004A21D3"/>
    <w:rsid w:val="004A234C"/>
    <w:rsid w:val="004A249A"/>
    <w:rsid w:val="004A27F1"/>
    <w:rsid w:val="004A2EF3"/>
    <w:rsid w:val="004A38ED"/>
    <w:rsid w:val="004A3948"/>
    <w:rsid w:val="004A3DAF"/>
    <w:rsid w:val="004A3E13"/>
    <w:rsid w:val="004A41F4"/>
    <w:rsid w:val="004A428B"/>
    <w:rsid w:val="004A450F"/>
    <w:rsid w:val="004A4603"/>
    <w:rsid w:val="004A52CD"/>
    <w:rsid w:val="004A549E"/>
    <w:rsid w:val="004A5616"/>
    <w:rsid w:val="004A58DF"/>
    <w:rsid w:val="004A5911"/>
    <w:rsid w:val="004A5A29"/>
    <w:rsid w:val="004A5E27"/>
    <w:rsid w:val="004A5F06"/>
    <w:rsid w:val="004A5FEE"/>
    <w:rsid w:val="004A6091"/>
    <w:rsid w:val="004A68A4"/>
    <w:rsid w:val="004A7096"/>
    <w:rsid w:val="004A71DA"/>
    <w:rsid w:val="004A73DE"/>
    <w:rsid w:val="004A74B1"/>
    <w:rsid w:val="004A74C4"/>
    <w:rsid w:val="004A76AD"/>
    <w:rsid w:val="004A7830"/>
    <w:rsid w:val="004A792E"/>
    <w:rsid w:val="004A7BE9"/>
    <w:rsid w:val="004A7E07"/>
    <w:rsid w:val="004B07D2"/>
    <w:rsid w:val="004B0F7F"/>
    <w:rsid w:val="004B0F92"/>
    <w:rsid w:val="004B12F9"/>
    <w:rsid w:val="004B154F"/>
    <w:rsid w:val="004B1BD3"/>
    <w:rsid w:val="004B1CA2"/>
    <w:rsid w:val="004B2602"/>
    <w:rsid w:val="004B26A1"/>
    <w:rsid w:val="004B2AA9"/>
    <w:rsid w:val="004B2B69"/>
    <w:rsid w:val="004B2EF4"/>
    <w:rsid w:val="004B3701"/>
    <w:rsid w:val="004B3ACC"/>
    <w:rsid w:val="004B45BF"/>
    <w:rsid w:val="004B46C0"/>
    <w:rsid w:val="004B4D0F"/>
    <w:rsid w:val="004B51B8"/>
    <w:rsid w:val="004B54B0"/>
    <w:rsid w:val="004B5843"/>
    <w:rsid w:val="004B5ADB"/>
    <w:rsid w:val="004B5F45"/>
    <w:rsid w:val="004B5F98"/>
    <w:rsid w:val="004B6C86"/>
    <w:rsid w:val="004B700B"/>
    <w:rsid w:val="004B7467"/>
    <w:rsid w:val="004B7666"/>
    <w:rsid w:val="004B7763"/>
    <w:rsid w:val="004C05EF"/>
    <w:rsid w:val="004C0D4C"/>
    <w:rsid w:val="004C1015"/>
    <w:rsid w:val="004C119D"/>
    <w:rsid w:val="004C1289"/>
    <w:rsid w:val="004C1292"/>
    <w:rsid w:val="004C12F0"/>
    <w:rsid w:val="004C17AB"/>
    <w:rsid w:val="004C17BC"/>
    <w:rsid w:val="004C17CF"/>
    <w:rsid w:val="004C22C0"/>
    <w:rsid w:val="004C237E"/>
    <w:rsid w:val="004C24D1"/>
    <w:rsid w:val="004C2737"/>
    <w:rsid w:val="004C2945"/>
    <w:rsid w:val="004C2B16"/>
    <w:rsid w:val="004C321E"/>
    <w:rsid w:val="004C3246"/>
    <w:rsid w:val="004C37A7"/>
    <w:rsid w:val="004C3A18"/>
    <w:rsid w:val="004C3A3B"/>
    <w:rsid w:val="004C3EA9"/>
    <w:rsid w:val="004C47B6"/>
    <w:rsid w:val="004C49D6"/>
    <w:rsid w:val="004C4AF1"/>
    <w:rsid w:val="004C4B09"/>
    <w:rsid w:val="004C4EEC"/>
    <w:rsid w:val="004C4FC2"/>
    <w:rsid w:val="004C51AB"/>
    <w:rsid w:val="004C52B4"/>
    <w:rsid w:val="004C52D0"/>
    <w:rsid w:val="004C53EC"/>
    <w:rsid w:val="004C56F7"/>
    <w:rsid w:val="004C5BF8"/>
    <w:rsid w:val="004C5F76"/>
    <w:rsid w:val="004C6492"/>
    <w:rsid w:val="004C67B4"/>
    <w:rsid w:val="004C6C0C"/>
    <w:rsid w:val="004C7064"/>
    <w:rsid w:val="004C7199"/>
    <w:rsid w:val="004C7B0E"/>
    <w:rsid w:val="004C7BF5"/>
    <w:rsid w:val="004D0074"/>
    <w:rsid w:val="004D0553"/>
    <w:rsid w:val="004D07D0"/>
    <w:rsid w:val="004D090B"/>
    <w:rsid w:val="004D0A73"/>
    <w:rsid w:val="004D0E95"/>
    <w:rsid w:val="004D1095"/>
    <w:rsid w:val="004D1344"/>
    <w:rsid w:val="004D17D9"/>
    <w:rsid w:val="004D1901"/>
    <w:rsid w:val="004D1973"/>
    <w:rsid w:val="004D1DB2"/>
    <w:rsid w:val="004D1EF7"/>
    <w:rsid w:val="004D2240"/>
    <w:rsid w:val="004D237D"/>
    <w:rsid w:val="004D2690"/>
    <w:rsid w:val="004D2C59"/>
    <w:rsid w:val="004D2E35"/>
    <w:rsid w:val="004D361E"/>
    <w:rsid w:val="004D374A"/>
    <w:rsid w:val="004D3942"/>
    <w:rsid w:val="004D3A09"/>
    <w:rsid w:val="004D3AE0"/>
    <w:rsid w:val="004D3AFF"/>
    <w:rsid w:val="004D4010"/>
    <w:rsid w:val="004D4214"/>
    <w:rsid w:val="004D444B"/>
    <w:rsid w:val="004D4461"/>
    <w:rsid w:val="004D44C3"/>
    <w:rsid w:val="004D4748"/>
    <w:rsid w:val="004D4810"/>
    <w:rsid w:val="004D5506"/>
    <w:rsid w:val="004D5719"/>
    <w:rsid w:val="004D5CEA"/>
    <w:rsid w:val="004D5E6A"/>
    <w:rsid w:val="004D5EBA"/>
    <w:rsid w:val="004D6010"/>
    <w:rsid w:val="004D63A1"/>
    <w:rsid w:val="004D6768"/>
    <w:rsid w:val="004D6BF5"/>
    <w:rsid w:val="004D6E01"/>
    <w:rsid w:val="004D717D"/>
    <w:rsid w:val="004D7E69"/>
    <w:rsid w:val="004E03C1"/>
    <w:rsid w:val="004E08C3"/>
    <w:rsid w:val="004E0955"/>
    <w:rsid w:val="004E0AAC"/>
    <w:rsid w:val="004E0BC3"/>
    <w:rsid w:val="004E0E7C"/>
    <w:rsid w:val="004E1245"/>
    <w:rsid w:val="004E12E1"/>
    <w:rsid w:val="004E1713"/>
    <w:rsid w:val="004E1CE7"/>
    <w:rsid w:val="004E1F2B"/>
    <w:rsid w:val="004E21D3"/>
    <w:rsid w:val="004E272C"/>
    <w:rsid w:val="004E2A46"/>
    <w:rsid w:val="004E2C93"/>
    <w:rsid w:val="004E3227"/>
    <w:rsid w:val="004E344A"/>
    <w:rsid w:val="004E3EB4"/>
    <w:rsid w:val="004E41BE"/>
    <w:rsid w:val="004E4570"/>
    <w:rsid w:val="004E461E"/>
    <w:rsid w:val="004E4995"/>
    <w:rsid w:val="004E4BAF"/>
    <w:rsid w:val="004E4C0D"/>
    <w:rsid w:val="004E4DBF"/>
    <w:rsid w:val="004E4FC1"/>
    <w:rsid w:val="004E500F"/>
    <w:rsid w:val="004E5513"/>
    <w:rsid w:val="004E5876"/>
    <w:rsid w:val="004E5A3B"/>
    <w:rsid w:val="004E5DC3"/>
    <w:rsid w:val="004E60E7"/>
    <w:rsid w:val="004E60F4"/>
    <w:rsid w:val="004E64FD"/>
    <w:rsid w:val="004E68EC"/>
    <w:rsid w:val="004E6F64"/>
    <w:rsid w:val="004E71D1"/>
    <w:rsid w:val="004E770F"/>
    <w:rsid w:val="004E7957"/>
    <w:rsid w:val="004E7ABC"/>
    <w:rsid w:val="004F029B"/>
    <w:rsid w:val="004F0582"/>
    <w:rsid w:val="004F061F"/>
    <w:rsid w:val="004F08CF"/>
    <w:rsid w:val="004F0979"/>
    <w:rsid w:val="004F0C6F"/>
    <w:rsid w:val="004F0CEB"/>
    <w:rsid w:val="004F1247"/>
    <w:rsid w:val="004F19F0"/>
    <w:rsid w:val="004F1A36"/>
    <w:rsid w:val="004F1CE6"/>
    <w:rsid w:val="004F1E7D"/>
    <w:rsid w:val="004F286E"/>
    <w:rsid w:val="004F2C79"/>
    <w:rsid w:val="004F33D7"/>
    <w:rsid w:val="004F3545"/>
    <w:rsid w:val="004F3889"/>
    <w:rsid w:val="004F3AF6"/>
    <w:rsid w:val="004F4267"/>
    <w:rsid w:val="004F4631"/>
    <w:rsid w:val="004F485B"/>
    <w:rsid w:val="004F4930"/>
    <w:rsid w:val="004F4D84"/>
    <w:rsid w:val="004F523F"/>
    <w:rsid w:val="004F5294"/>
    <w:rsid w:val="004F52E1"/>
    <w:rsid w:val="004F545A"/>
    <w:rsid w:val="004F57A7"/>
    <w:rsid w:val="004F59DD"/>
    <w:rsid w:val="004F5BD8"/>
    <w:rsid w:val="004F600F"/>
    <w:rsid w:val="004F63B1"/>
    <w:rsid w:val="004F68BF"/>
    <w:rsid w:val="004F69B6"/>
    <w:rsid w:val="004F6ABD"/>
    <w:rsid w:val="004F6CB2"/>
    <w:rsid w:val="004F6CE3"/>
    <w:rsid w:val="004F73CD"/>
    <w:rsid w:val="004F7639"/>
    <w:rsid w:val="004F7946"/>
    <w:rsid w:val="004F7AE5"/>
    <w:rsid w:val="004F7EAB"/>
    <w:rsid w:val="00500102"/>
    <w:rsid w:val="0050062F"/>
    <w:rsid w:val="00500696"/>
    <w:rsid w:val="005007A8"/>
    <w:rsid w:val="00500A62"/>
    <w:rsid w:val="00500A7B"/>
    <w:rsid w:val="00500DBA"/>
    <w:rsid w:val="00501894"/>
    <w:rsid w:val="00501C63"/>
    <w:rsid w:val="00501D9E"/>
    <w:rsid w:val="00501EB7"/>
    <w:rsid w:val="005021E2"/>
    <w:rsid w:val="00502242"/>
    <w:rsid w:val="005022F2"/>
    <w:rsid w:val="005023CA"/>
    <w:rsid w:val="00502514"/>
    <w:rsid w:val="00502A04"/>
    <w:rsid w:val="00502A82"/>
    <w:rsid w:val="00502E34"/>
    <w:rsid w:val="00502F5F"/>
    <w:rsid w:val="00503155"/>
    <w:rsid w:val="00503458"/>
    <w:rsid w:val="005034DA"/>
    <w:rsid w:val="005037F3"/>
    <w:rsid w:val="005039B7"/>
    <w:rsid w:val="00503C1F"/>
    <w:rsid w:val="00504229"/>
    <w:rsid w:val="00504303"/>
    <w:rsid w:val="0050456C"/>
    <w:rsid w:val="00504621"/>
    <w:rsid w:val="0050462B"/>
    <w:rsid w:val="0050478F"/>
    <w:rsid w:val="00504A25"/>
    <w:rsid w:val="00504AF0"/>
    <w:rsid w:val="00504EF5"/>
    <w:rsid w:val="005052B6"/>
    <w:rsid w:val="0050567F"/>
    <w:rsid w:val="005056BB"/>
    <w:rsid w:val="005057BD"/>
    <w:rsid w:val="0050594A"/>
    <w:rsid w:val="005059CC"/>
    <w:rsid w:val="00505A27"/>
    <w:rsid w:val="00505A4F"/>
    <w:rsid w:val="00506291"/>
    <w:rsid w:val="00506383"/>
    <w:rsid w:val="00506789"/>
    <w:rsid w:val="00506B08"/>
    <w:rsid w:val="00506B38"/>
    <w:rsid w:val="00506D61"/>
    <w:rsid w:val="00506F64"/>
    <w:rsid w:val="005071E3"/>
    <w:rsid w:val="00507251"/>
    <w:rsid w:val="0050738E"/>
    <w:rsid w:val="005076E6"/>
    <w:rsid w:val="00507899"/>
    <w:rsid w:val="00507962"/>
    <w:rsid w:val="0051029A"/>
    <w:rsid w:val="00510447"/>
    <w:rsid w:val="005108EA"/>
    <w:rsid w:val="005110C9"/>
    <w:rsid w:val="005112FE"/>
    <w:rsid w:val="005115C9"/>
    <w:rsid w:val="00511788"/>
    <w:rsid w:val="00511DB7"/>
    <w:rsid w:val="005120A1"/>
    <w:rsid w:val="0051223D"/>
    <w:rsid w:val="005125D5"/>
    <w:rsid w:val="00512832"/>
    <w:rsid w:val="0051284B"/>
    <w:rsid w:val="00512AEA"/>
    <w:rsid w:val="00512B19"/>
    <w:rsid w:val="00513912"/>
    <w:rsid w:val="00513A15"/>
    <w:rsid w:val="0051439D"/>
    <w:rsid w:val="0051449F"/>
    <w:rsid w:val="0051454D"/>
    <w:rsid w:val="00514BAC"/>
    <w:rsid w:val="00515357"/>
    <w:rsid w:val="00515660"/>
    <w:rsid w:val="00516ADA"/>
    <w:rsid w:val="00516B3F"/>
    <w:rsid w:val="00516DCD"/>
    <w:rsid w:val="0051725A"/>
    <w:rsid w:val="00517763"/>
    <w:rsid w:val="005177B6"/>
    <w:rsid w:val="00517D76"/>
    <w:rsid w:val="00517E30"/>
    <w:rsid w:val="00517EAD"/>
    <w:rsid w:val="005200AC"/>
    <w:rsid w:val="00520C78"/>
    <w:rsid w:val="00520D49"/>
    <w:rsid w:val="00521038"/>
    <w:rsid w:val="0052113A"/>
    <w:rsid w:val="00521549"/>
    <w:rsid w:val="0052179F"/>
    <w:rsid w:val="005217AE"/>
    <w:rsid w:val="00521C7C"/>
    <w:rsid w:val="00521E94"/>
    <w:rsid w:val="00521FCF"/>
    <w:rsid w:val="0052243B"/>
    <w:rsid w:val="00522941"/>
    <w:rsid w:val="005229F4"/>
    <w:rsid w:val="00522BB9"/>
    <w:rsid w:val="00522D11"/>
    <w:rsid w:val="0052303B"/>
    <w:rsid w:val="0052308E"/>
    <w:rsid w:val="005231C5"/>
    <w:rsid w:val="00523383"/>
    <w:rsid w:val="0052340D"/>
    <w:rsid w:val="005234C4"/>
    <w:rsid w:val="00523660"/>
    <w:rsid w:val="005236CD"/>
    <w:rsid w:val="0052384D"/>
    <w:rsid w:val="00523D45"/>
    <w:rsid w:val="00524218"/>
    <w:rsid w:val="00524375"/>
    <w:rsid w:val="00524495"/>
    <w:rsid w:val="005244AE"/>
    <w:rsid w:val="0052462B"/>
    <w:rsid w:val="0052485F"/>
    <w:rsid w:val="00524CA8"/>
    <w:rsid w:val="00524F0E"/>
    <w:rsid w:val="005250D8"/>
    <w:rsid w:val="0052514B"/>
    <w:rsid w:val="005251D8"/>
    <w:rsid w:val="005252D8"/>
    <w:rsid w:val="00525793"/>
    <w:rsid w:val="005257E9"/>
    <w:rsid w:val="00525895"/>
    <w:rsid w:val="00525AE8"/>
    <w:rsid w:val="00525AF2"/>
    <w:rsid w:val="00525B36"/>
    <w:rsid w:val="00525D1A"/>
    <w:rsid w:val="0052600D"/>
    <w:rsid w:val="0052602E"/>
    <w:rsid w:val="00526741"/>
    <w:rsid w:val="00526B20"/>
    <w:rsid w:val="00526C36"/>
    <w:rsid w:val="00526CE4"/>
    <w:rsid w:val="00527572"/>
    <w:rsid w:val="005276FF"/>
    <w:rsid w:val="00527753"/>
    <w:rsid w:val="0052783E"/>
    <w:rsid w:val="00527842"/>
    <w:rsid w:val="00527AF8"/>
    <w:rsid w:val="00527DE3"/>
    <w:rsid w:val="0053002C"/>
    <w:rsid w:val="0053021B"/>
    <w:rsid w:val="0053095F"/>
    <w:rsid w:val="00530C05"/>
    <w:rsid w:val="00530EFE"/>
    <w:rsid w:val="005310B5"/>
    <w:rsid w:val="005319DD"/>
    <w:rsid w:val="00532192"/>
    <w:rsid w:val="00532A7D"/>
    <w:rsid w:val="00532FE3"/>
    <w:rsid w:val="005333E8"/>
    <w:rsid w:val="0053359F"/>
    <w:rsid w:val="00533A9B"/>
    <w:rsid w:val="00533E01"/>
    <w:rsid w:val="00533F9A"/>
    <w:rsid w:val="00534103"/>
    <w:rsid w:val="005341EB"/>
    <w:rsid w:val="005342C7"/>
    <w:rsid w:val="005342F2"/>
    <w:rsid w:val="005342F7"/>
    <w:rsid w:val="0053465C"/>
    <w:rsid w:val="005346F1"/>
    <w:rsid w:val="00534A26"/>
    <w:rsid w:val="00534B51"/>
    <w:rsid w:val="00534DF9"/>
    <w:rsid w:val="00535036"/>
    <w:rsid w:val="005350CB"/>
    <w:rsid w:val="00535113"/>
    <w:rsid w:val="00535224"/>
    <w:rsid w:val="00535280"/>
    <w:rsid w:val="0053561E"/>
    <w:rsid w:val="00535620"/>
    <w:rsid w:val="00535740"/>
    <w:rsid w:val="00535B9C"/>
    <w:rsid w:val="00535D2E"/>
    <w:rsid w:val="00536139"/>
    <w:rsid w:val="00536330"/>
    <w:rsid w:val="0053669C"/>
    <w:rsid w:val="00536BAF"/>
    <w:rsid w:val="0053700F"/>
    <w:rsid w:val="00537986"/>
    <w:rsid w:val="00537AC4"/>
    <w:rsid w:val="00537BBA"/>
    <w:rsid w:val="00540784"/>
    <w:rsid w:val="005411A1"/>
    <w:rsid w:val="00541419"/>
    <w:rsid w:val="00541C93"/>
    <w:rsid w:val="00541CCB"/>
    <w:rsid w:val="00541D8A"/>
    <w:rsid w:val="00541DE5"/>
    <w:rsid w:val="00542037"/>
    <w:rsid w:val="0054212E"/>
    <w:rsid w:val="005422CF"/>
    <w:rsid w:val="0054240B"/>
    <w:rsid w:val="005425A7"/>
    <w:rsid w:val="00542794"/>
    <w:rsid w:val="00542B70"/>
    <w:rsid w:val="00542BB2"/>
    <w:rsid w:val="00542C88"/>
    <w:rsid w:val="00542CB0"/>
    <w:rsid w:val="00543207"/>
    <w:rsid w:val="005433F5"/>
    <w:rsid w:val="00543760"/>
    <w:rsid w:val="00544019"/>
    <w:rsid w:val="005442A3"/>
    <w:rsid w:val="00544558"/>
    <w:rsid w:val="005448A8"/>
    <w:rsid w:val="00544F44"/>
    <w:rsid w:val="00545082"/>
    <w:rsid w:val="005450B8"/>
    <w:rsid w:val="005451D0"/>
    <w:rsid w:val="0054584C"/>
    <w:rsid w:val="00545AD1"/>
    <w:rsid w:val="00545C5E"/>
    <w:rsid w:val="00545D41"/>
    <w:rsid w:val="00545F75"/>
    <w:rsid w:val="00546504"/>
    <w:rsid w:val="005467BE"/>
    <w:rsid w:val="00546864"/>
    <w:rsid w:val="00546EF1"/>
    <w:rsid w:val="00546F8A"/>
    <w:rsid w:val="00547183"/>
    <w:rsid w:val="00547351"/>
    <w:rsid w:val="005475A8"/>
    <w:rsid w:val="00547D38"/>
    <w:rsid w:val="00547ECC"/>
    <w:rsid w:val="00547FC9"/>
    <w:rsid w:val="0055014C"/>
    <w:rsid w:val="00550276"/>
    <w:rsid w:val="005502AC"/>
    <w:rsid w:val="005502E0"/>
    <w:rsid w:val="00550656"/>
    <w:rsid w:val="00550E44"/>
    <w:rsid w:val="00550F9A"/>
    <w:rsid w:val="0055115A"/>
    <w:rsid w:val="0055135A"/>
    <w:rsid w:val="00551613"/>
    <w:rsid w:val="00551A13"/>
    <w:rsid w:val="00551A3C"/>
    <w:rsid w:val="00551A4C"/>
    <w:rsid w:val="00551E25"/>
    <w:rsid w:val="0055256B"/>
    <w:rsid w:val="0055270C"/>
    <w:rsid w:val="00552903"/>
    <w:rsid w:val="00552BEB"/>
    <w:rsid w:val="00552F2D"/>
    <w:rsid w:val="00553215"/>
    <w:rsid w:val="00553495"/>
    <w:rsid w:val="00553563"/>
    <w:rsid w:val="0055464C"/>
    <w:rsid w:val="00554A95"/>
    <w:rsid w:val="00554AA0"/>
    <w:rsid w:val="00554C60"/>
    <w:rsid w:val="00554CC0"/>
    <w:rsid w:val="00554EED"/>
    <w:rsid w:val="00555023"/>
    <w:rsid w:val="00555768"/>
    <w:rsid w:val="00555C5B"/>
    <w:rsid w:val="00555CCB"/>
    <w:rsid w:val="00555CFE"/>
    <w:rsid w:val="00555E37"/>
    <w:rsid w:val="00556182"/>
    <w:rsid w:val="005563B8"/>
    <w:rsid w:val="005563C0"/>
    <w:rsid w:val="00556A7A"/>
    <w:rsid w:val="005574B4"/>
    <w:rsid w:val="00557890"/>
    <w:rsid w:val="00557CD9"/>
    <w:rsid w:val="00557F27"/>
    <w:rsid w:val="00557F38"/>
    <w:rsid w:val="00560051"/>
    <w:rsid w:val="0056015E"/>
    <w:rsid w:val="00560324"/>
    <w:rsid w:val="00560500"/>
    <w:rsid w:val="005606AB"/>
    <w:rsid w:val="00560886"/>
    <w:rsid w:val="005608E3"/>
    <w:rsid w:val="00560979"/>
    <w:rsid w:val="00560FC2"/>
    <w:rsid w:val="0056140A"/>
    <w:rsid w:val="005616B9"/>
    <w:rsid w:val="00561ABC"/>
    <w:rsid w:val="00561BC0"/>
    <w:rsid w:val="0056286B"/>
    <w:rsid w:val="00562B45"/>
    <w:rsid w:val="0056313D"/>
    <w:rsid w:val="00563622"/>
    <w:rsid w:val="0056370F"/>
    <w:rsid w:val="0056382F"/>
    <w:rsid w:val="005638FE"/>
    <w:rsid w:val="0056422D"/>
    <w:rsid w:val="00564485"/>
    <w:rsid w:val="005647F7"/>
    <w:rsid w:val="005650F0"/>
    <w:rsid w:val="0056540C"/>
    <w:rsid w:val="0056544D"/>
    <w:rsid w:val="005656FC"/>
    <w:rsid w:val="00565708"/>
    <w:rsid w:val="00565805"/>
    <w:rsid w:val="00565899"/>
    <w:rsid w:val="00565B61"/>
    <w:rsid w:val="005663A0"/>
    <w:rsid w:val="00566884"/>
    <w:rsid w:val="00566E47"/>
    <w:rsid w:val="00566F69"/>
    <w:rsid w:val="00567039"/>
    <w:rsid w:val="00567248"/>
    <w:rsid w:val="00567E90"/>
    <w:rsid w:val="00567EB8"/>
    <w:rsid w:val="00567F16"/>
    <w:rsid w:val="005703A9"/>
    <w:rsid w:val="00570D57"/>
    <w:rsid w:val="00570D6F"/>
    <w:rsid w:val="005711A4"/>
    <w:rsid w:val="005712F8"/>
    <w:rsid w:val="005719A2"/>
    <w:rsid w:val="00571ACA"/>
    <w:rsid w:val="00572022"/>
    <w:rsid w:val="005724AA"/>
    <w:rsid w:val="0057250F"/>
    <w:rsid w:val="005726F8"/>
    <w:rsid w:val="005727EB"/>
    <w:rsid w:val="0057298B"/>
    <w:rsid w:val="00572B39"/>
    <w:rsid w:val="00572FD4"/>
    <w:rsid w:val="005738B2"/>
    <w:rsid w:val="005738FE"/>
    <w:rsid w:val="005739B1"/>
    <w:rsid w:val="00573AC6"/>
    <w:rsid w:val="0057412D"/>
    <w:rsid w:val="00574157"/>
    <w:rsid w:val="0057425D"/>
    <w:rsid w:val="0057470B"/>
    <w:rsid w:val="00574DD9"/>
    <w:rsid w:val="00574F46"/>
    <w:rsid w:val="005753A5"/>
    <w:rsid w:val="005754E0"/>
    <w:rsid w:val="00575511"/>
    <w:rsid w:val="00575530"/>
    <w:rsid w:val="00575552"/>
    <w:rsid w:val="00575664"/>
    <w:rsid w:val="00575B78"/>
    <w:rsid w:val="00575C6A"/>
    <w:rsid w:val="005762AB"/>
    <w:rsid w:val="0057657F"/>
    <w:rsid w:val="0057678D"/>
    <w:rsid w:val="00576DF7"/>
    <w:rsid w:val="005773AD"/>
    <w:rsid w:val="00577A73"/>
    <w:rsid w:val="00577B5C"/>
    <w:rsid w:val="00577C0F"/>
    <w:rsid w:val="00577C17"/>
    <w:rsid w:val="005800FB"/>
    <w:rsid w:val="005801A5"/>
    <w:rsid w:val="005803E1"/>
    <w:rsid w:val="005805E9"/>
    <w:rsid w:val="00581153"/>
    <w:rsid w:val="00581251"/>
    <w:rsid w:val="0058152F"/>
    <w:rsid w:val="00581F6F"/>
    <w:rsid w:val="00582016"/>
    <w:rsid w:val="005824CC"/>
    <w:rsid w:val="005825BF"/>
    <w:rsid w:val="005826AA"/>
    <w:rsid w:val="00582BF2"/>
    <w:rsid w:val="0058313D"/>
    <w:rsid w:val="005831F3"/>
    <w:rsid w:val="00583252"/>
    <w:rsid w:val="005833EA"/>
    <w:rsid w:val="005835DC"/>
    <w:rsid w:val="00583706"/>
    <w:rsid w:val="00583808"/>
    <w:rsid w:val="00583882"/>
    <w:rsid w:val="00583955"/>
    <w:rsid w:val="00583D90"/>
    <w:rsid w:val="00583E2B"/>
    <w:rsid w:val="005841D2"/>
    <w:rsid w:val="005841ED"/>
    <w:rsid w:val="00584561"/>
    <w:rsid w:val="0058472B"/>
    <w:rsid w:val="00584B86"/>
    <w:rsid w:val="00584DAD"/>
    <w:rsid w:val="0058527B"/>
    <w:rsid w:val="005854D0"/>
    <w:rsid w:val="005855C7"/>
    <w:rsid w:val="00585F8D"/>
    <w:rsid w:val="0058612D"/>
    <w:rsid w:val="0058621E"/>
    <w:rsid w:val="00586222"/>
    <w:rsid w:val="0058631C"/>
    <w:rsid w:val="00586407"/>
    <w:rsid w:val="005869E9"/>
    <w:rsid w:val="00586ABD"/>
    <w:rsid w:val="00586C83"/>
    <w:rsid w:val="00586F9F"/>
    <w:rsid w:val="0058731E"/>
    <w:rsid w:val="005876CB"/>
    <w:rsid w:val="0058782D"/>
    <w:rsid w:val="00587AC0"/>
    <w:rsid w:val="00587C33"/>
    <w:rsid w:val="00587D78"/>
    <w:rsid w:val="005904E3"/>
    <w:rsid w:val="00590CD0"/>
    <w:rsid w:val="00590FE7"/>
    <w:rsid w:val="00591221"/>
    <w:rsid w:val="00591417"/>
    <w:rsid w:val="005914D7"/>
    <w:rsid w:val="005917BC"/>
    <w:rsid w:val="005919DD"/>
    <w:rsid w:val="00591ADA"/>
    <w:rsid w:val="005928FA"/>
    <w:rsid w:val="00592F38"/>
    <w:rsid w:val="00593166"/>
    <w:rsid w:val="005934B2"/>
    <w:rsid w:val="00593B5F"/>
    <w:rsid w:val="00593E91"/>
    <w:rsid w:val="00593FBD"/>
    <w:rsid w:val="00594BF6"/>
    <w:rsid w:val="00594D03"/>
    <w:rsid w:val="0059505E"/>
    <w:rsid w:val="0059520F"/>
    <w:rsid w:val="00595329"/>
    <w:rsid w:val="00595667"/>
    <w:rsid w:val="005957E3"/>
    <w:rsid w:val="00595A0F"/>
    <w:rsid w:val="00595D86"/>
    <w:rsid w:val="00595FFF"/>
    <w:rsid w:val="0059603A"/>
    <w:rsid w:val="00596328"/>
    <w:rsid w:val="00596778"/>
    <w:rsid w:val="00596DD2"/>
    <w:rsid w:val="00596DF8"/>
    <w:rsid w:val="00597073"/>
    <w:rsid w:val="005973E0"/>
    <w:rsid w:val="00597591"/>
    <w:rsid w:val="005975DD"/>
    <w:rsid w:val="0059780F"/>
    <w:rsid w:val="00597B32"/>
    <w:rsid w:val="00597E5A"/>
    <w:rsid w:val="005A04CB"/>
    <w:rsid w:val="005A0AC1"/>
    <w:rsid w:val="005A0EDE"/>
    <w:rsid w:val="005A1185"/>
    <w:rsid w:val="005A1387"/>
    <w:rsid w:val="005A19AF"/>
    <w:rsid w:val="005A1B69"/>
    <w:rsid w:val="005A1E37"/>
    <w:rsid w:val="005A1FC3"/>
    <w:rsid w:val="005A2176"/>
    <w:rsid w:val="005A287C"/>
    <w:rsid w:val="005A2D23"/>
    <w:rsid w:val="005A3111"/>
    <w:rsid w:val="005A3244"/>
    <w:rsid w:val="005A3262"/>
    <w:rsid w:val="005A34CF"/>
    <w:rsid w:val="005A3A57"/>
    <w:rsid w:val="005A3AF1"/>
    <w:rsid w:val="005A3BB0"/>
    <w:rsid w:val="005A406D"/>
    <w:rsid w:val="005A41B1"/>
    <w:rsid w:val="005A4533"/>
    <w:rsid w:val="005A4A15"/>
    <w:rsid w:val="005A4B26"/>
    <w:rsid w:val="005A4E2F"/>
    <w:rsid w:val="005A567A"/>
    <w:rsid w:val="005A597E"/>
    <w:rsid w:val="005A5D9A"/>
    <w:rsid w:val="005A5DE1"/>
    <w:rsid w:val="005A6055"/>
    <w:rsid w:val="005A60CE"/>
    <w:rsid w:val="005A6249"/>
    <w:rsid w:val="005A64BC"/>
    <w:rsid w:val="005A6C6E"/>
    <w:rsid w:val="005A70CD"/>
    <w:rsid w:val="005A70E1"/>
    <w:rsid w:val="005A70EF"/>
    <w:rsid w:val="005A72FF"/>
    <w:rsid w:val="005A7349"/>
    <w:rsid w:val="005A74A8"/>
    <w:rsid w:val="005A753C"/>
    <w:rsid w:val="005A76D2"/>
    <w:rsid w:val="005A7897"/>
    <w:rsid w:val="005A7915"/>
    <w:rsid w:val="005A79B5"/>
    <w:rsid w:val="005A79CE"/>
    <w:rsid w:val="005A7B23"/>
    <w:rsid w:val="005A7CF7"/>
    <w:rsid w:val="005A7FC2"/>
    <w:rsid w:val="005B0312"/>
    <w:rsid w:val="005B0CE3"/>
    <w:rsid w:val="005B0E1F"/>
    <w:rsid w:val="005B0FF4"/>
    <w:rsid w:val="005B1222"/>
    <w:rsid w:val="005B1367"/>
    <w:rsid w:val="005B1EF9"/>
    <w:rsid w:val="005B2278"/>
    <w:rsid w:val="005B228A"/>
    <w:rsid w:val="005B2AC7"/>
    <w:rsid w:val="005B2B69"/>
    <w:rsid w:val="005B2C84"/>
    <w:rsid w:val="005B2D46"/>
    <w:rsid w:val="005B30F7"/>
    <w:rsid w:val="005B3A45"/>
    <w:rsid w:val="005B4478"/>
    <w:rsid w:val="005B447E"/>
    <w:rsid w:val="005B4BD1"/>
    <w:rsid w:val="005B4EDD"/>
    <w:rsid w:val="005B510A"/>
    <w:rsid w:val="005B5308"/>
    <w:rsid w:val="005B5B0E"/>
    <w:rsid w:val="005B5F38"/>
    <w:rsid w:val="005B6139"/>
    <w:rsid w:val="005B6249"/>
    <w:rsid w:val="005B6431"/>
    <w:rsid w:val="005B659B"/>
    <w:rsid w:val="005B65D4"/>
    <w:rsid w:val="005B6665"/>
    <w:rsid w:val="005B6C1A"/>
    <w:rsid w:val="005B6D49"/>
    <w:rsid w:val="005B6F4D"/>
    <w:rsid w:val="005B7611"/>
    <w:rsid w:val="005B7BBB"/>
    <w:rsid w:val="005B7BD2"/>
    <w:rsid w:val="005B7C8B"/>
    <w:rsid w:val="005C002B"/>
    <w:rsid w:val="005C03B3"/>
    <w:rsid w:val="005C0620"/>
    <w:rsid w:val="005C07D7"/>
    <w:rsid w:val="005C0A1E"/>
    <w:rsid w:val="005C0E71"/>
    <w:rsid w:val="005C1212"/>
    <w:rsid w:val="005C1518"/>
    <w:rsid w:val="005C161E"/>
    <w:rsid w:val="005C1731"/>
    <w:rsid w:val="005C1B24"/>
    <w:rsid w:val="005C1BB5"/>
    <w:rsid w:val="005C2243"/>
    <w:rsid w:val="005C2281"/>
    <w:rsid w:val="005C24C4"/>
    <w:rsid w:val="005C277E"/>
    <w:rsid w:val="005C27F8"/>
    <w:rsid w:val="005C2992"/>
    <w:rsid w:val="005C2BDE"/>
    <w:rsid w:val="005C32C0"/>
    <w:rsid w:val="005C370E"/>
    <w:rsid w:val="005C3A3E"/>
    <w:rsid w:val="005C3A57"/>
    <w:rsid w:val="005C3ACF"/>
    <w:rsid w:val="005C3CE8"/>
    <w:rsid w:val="005C3DA2"/>
    <w:rsid w:val="005C3F89"/>
    <w:rsid w:val="005C41E7"/>
    <w:rsid w:val="005C41F4"/>
    <w:rsid w:val="005C4384"/>
    <w:rsid w:val="005C46A7"/>
    <w:rsid w:val="005C5150"/>
    <w:rsid w:val="005C5174"/>
    <w:rsid w:val="005C51AA"/>
    <w:rsid w:val="005C5AB7"/>
    <w:rsid w:val="005C61D0"/>
    <w:rsid w:val="005C6489"/>
    <w:rsid w:val="005C66A5"/>
    <w:rsid w:val="005C6AE9"/>
    <w:rsid w:val="005C6E5D"/>
    <w:rsid w:val="005C6FCD"/>
    <w:rsid w:val="005C74DF"/>
    <w:rsid w:val="005C7B79"/>
    <w:rsid w:val="005D00A1"/>
    <w:rsid w:val="005D010D"/>
    <w:rsid w:val="005D0162"/>
    <w:rsid w:val="005D0642"/>
    <w:rsid w:val="005D08AE"/>
    <w:rsid w:val="005D0A9B"/>
    <w:rsid w:val="005D0B36"/>
    <w:rsid w:val="005D1996"/>
    <w:rsid w:val="005D1BBB"/>
    <w:rsid w:val="005D1CA6"/>
    <w:rsid w:val="005D1D4D"/>
    <w:rsid w:val="005D209F"/>
    <w:rsid w:val="005D21DE"/>
    <w:rsid w:val="005D2278"/>
    <w:rsid w:val="005D28B2"/>
    <w:rsid w:val="005D2DFF"/>
    <w:rsid w:val="005D2EA4"/>
    <w:rsid w:val="005D30DD"/>
    <w:rsid w:val="005D32BB"/>
    <w:rsid w:val="005D3787"/>
    <w:rsid w:val="005D38B6"/>
    <w:rsid w:val="005D3D9E"/>
    <w:rsid w:val="005D3E8F"/>
    <w:rsid w:val="005D4862"/>
    <w:rsid w:val="005D4A38"/>
    <w:rsid w:val="005D4A62"/>
    <w:rsid w:val="005D4B85"/>
    <w:rsid w:val="005D5077"/>
    <w:rsid w:val="005D5374"/>
    <w:rsid w:val="005D56AF"/>
    <w:rsid w:val="005D56D0"/>
    <w:rsid w:val="005D5C98"/>
    <w:rsid w:val="005D5CA8"/>
    <w:rsid w:val="005D5E91"/>
    <w:rsid w:val="005D601F"/>
    <w:rsid w:val="005D61F6"/>
    <w:rsid w:val="005D6578"/>
    <w:rsid w:val="005D66CB"/>
    <w:rsid w:val="005D68CA"/>
    <w:rsid w:val="005D6E0C"/>
    <w:rsid w:val="005D737B"/>
    <w:rsid w:val="005D7487"/>
    <w:rsid w:val="005D74F1"/>
    <w:rsid w:val="005D7571"/>
    <w:rsid w:val="005D76B9"/>
    <w:rsid w:val="005D7940"/>
    <w:rsid w:val="005D7AB7"/>
    <w:rsid w:val="005D7B8D"/>
    <w:rsid w:val="005E0BB5"/>
    <w:rsid w:val="005E0BDB"/>
    <w:rsid w:val="005E0C9E"/>
    <w:rsid w:val="005E0F82"/>
    <w:rsid w:val="005E0FF6"/>
    <w:rsid w:val="005E10FF"/>
    <w:rsid w:val="005E1100"/>
    <w:rsid w:val="005E1156"/>
    <w:rsid w:val="005E130D"/>
    <w:rsid w:val="005E136F"/>
    <w:rsid w:val="005E140B"/>
    <w:rsid w:val="005E1731"/>
    <w:rsid w:val="005E1809"/>
    <w:rsid w:val="005E2150"/>
    <w:rsid w:val="005E2351"/>
    <w:rsid w:val="005E23A4"/>
    <w:rsid w:val="005E23F7"/>
    <w:rsid w:val="005E2912"/>
    <w:rsid w:val="005E2AF8"/>
    <w:rsid w:val="005E2EEC"/>
    <w:rsid w:val="005E366E"/>
    <w:rsid w:val="005E36A1"/>
    <w:rsid w:val="005E36EB"/>
    <w:rsid w:val="005E3B46"/>
    <w:rsid w:val="005E3BCA"/>
    <w:rsid w:val="005E4221"/>
    <w:rsid w:val="005E43FC"/>
    <w:rsid w:val="005E44D0"/>
    <w:rsid w:val="005E44E1"/>
    <w:rsid w:val="005E4884"/>
    <w:rsid w:val="005E4974"/>
    <w:rsid w:val="005E498C"/>
    <w:rsid w:val="005E4A43"/>
    <w:rsid w:val="005E4FA0"/>
    <w:rsid w:val="005E521F"/>
    <w:rsid w:val="005E5303"/>
    <w:rsid w:val="005E54EE"/>
    <w:rsid w:val="005E5C65"/>
    <w:rsid w:val="005E5CD6"/>
    <w:rsid w:val="005E5D2A"/>
    <w:rsid w:val="005E5EE2"/>
    <w:rsid w:val="005E6968"/>
    <w:rsid w:val="005E6CA6"/>
    <w:rsid w:val="005E6FE7"/>
    <w:rsid w:val="005E72E0"/>
    <w:rsid w:val="005E73F5"/>
    <w:rsid w:val="005E74E1"/>
    <w:rsid w:val="005E754A"/>
    <w:rsid w:val="005E7868"/>
    <w:rsid w:val="005E7979"/>
    <w:rsid w:val="005E7A24"/>
    <w:rsid w:val="005E7D63"/>
    <w:rsid w:val="005E7E27"/>
    <w:rsid w:val="005F01FE"/>
    <w:rsid w:val="005F020C"/>
    <w:rsid w:val="005F0383"/>
    <w:rsid w:val="005F043A"/>
    <w:rsid w:val="005F067D"/>
    <w:rsid w:val="005F0799"/>
    <w:rsid w:val="005F09F7"/>
    <w:rsid w:val="005F0DF6"/>
    <w:rsid w:val="005F1104"/>
    <w:rsid w:val="005F11AB"/>
    <w:rsid w:val="005F15AE"/>
    <w:rsid w:val="005F1616"/>
    <w:rsid w:val="005F1736"/>
    <w:rsid w:val="005F1910"/>
    <w:rsid w:val="005F1D59"/>
    <w:rsid w:val="005F1F05"/>
    <w:rsid w:val="005F1F36"/>
    <w:rsid w:val="005F1F37"/>
    <w:rsid w:val="005F1F68"/>
    <w:rsid w:val="005F1FBB"/>
    <w:rsid w:val="005F20E0"/>
    <w:rsid w:val="005F2304"/>
    <w:rsid w:val="005F231B"/>
    <w:rsid w:val="005F2401"/>
    <w:rsid w:val="005F265B"/>
    <w:rsid w:val="005F2D31"/>
    <w:rsid w:val="005F3400"/>
    <w:rsid w:val="005F3652"/>
    <w:rsid w:val="005F36D2"/>
    <w:rsid w:val="005F3A56"/>
    <w:rsid w:val="005F3AF3"/>
    <w:rsid w:val="005F3B18"/>
    <w:rsid w:val="005F3EDA"/>
    <w:rsid w:val="005F42C8"/>
    <w:rsid w:val="005F4530"/>
    <w:rsid w:val="005F4710"/>
    <w:rsid w:val="005F4E56"/>
    <w:rsid w:val="005F4E74"/>
    <w:rsid w:val="005F51D4"/>
    <w:rsid w:val="005F522E"/>
    <w:rsid w:val="005F52C7"/>
    <w:rsid w:val="005F5372"/>
    <w:rsid w:val="005F5A01"/>
    <w:rsid w:val="005F5AF5"/>
    <w:rsid w:val="005F5B45"/>
    <w:rsid w:val="005F5D0F"/>
    <w:rsid w:val="005F5F0C"/>
    <w:rsid w:val="005F636A"/>
    <w:rsid w:val="005F6373"/>
    <w:rsid w:val="005F668D"/>
    <w:rsid w:val="005F6A71"/>
    <w:rsid w:val="005F6B32"/>
    <w:rsid w:val="005F7933"/>
    <w:rsid w:val="005F799B"/>
    <w:rsid w:val="005F7B16"/>
    <w:rsid w:val="005F7BFF"/>
    <w:rsid w:val="005F7D09"/>
    <w:rsid w:val="00600087"/>
    <w:rsid w:val="00600229"/>
    <w:rsid w:val="006009CD"/>
    <w:rsid w:val="00600B04"/>
    <w:rsid w:val="00600C4A"/>
    <w:rsid w:val="00600D7C"/>
    <w:rsid w:val="00600FBF"/>
    <w:rsid w:val="00601145"/>
    <w:rsid w:val="006011D7"/>
    <w:rsid w:val="006012AE"/>
    <w:rsid w:val="00601344"/>
    <w:rsid w:val="00601919"/>
    <w:rsid w:val="00601D1D"/>
    <w:rsid w:val="00601D7B"/>
    <w:rsid w:val="006025E3"/>
    <w:rsid w:val="00602A95"/>
    <w:rsid w:val="00602B39"/>
    <w:rsid w:val="0060349E"/>
    <w:rsid w:val="0060372C"/>
    <w:rsid w:val="00603A0F"/>
    <w:rsid w:val="00603D7E"/>
    <w:rsid w:val="00603EB0"/>
    <w:rsid w:val="00603EE7"/>
    <w:rsid w:val="00603EEB"/>
    <w:rsid w:val="00603FF8"/>
    <w:rsid w:val="00604228"/>
    <w:rsid w:val="0060479B"/>
    <w:rsid w:val="00604ADB"/>
    <w:rsid w:val="00604B04"/>
    <w:rsid w:val="00605000"/>
    <w:rsid w:val="006051FC"/>
    <w:rsid w:val="00605425"/>
    <w:rsid w:val="006055A1"/>
    <w:rsid w:val="006059DB"/>
    <w:rsid w:val="00605BBB"/>
    <w:rsid w:val="00605BE4"/>
    <w:rsid w:val="00606831"/>
    <w:rsid w:val="00606AD5"/>
    <w:rsid w:val="00606DE1"/>
    <w:rsid w:val="00606F8E"/>
    <w:rsid w:val="00607380"/>
    <w:rsid w:val="00607CB7"/>
    <w:rsid w:val="006102DC"/>
    <w:rsid w:val="006109D7"/>
    <w:rsid w:val="00610EAA"/>
    <w:rsid w:val="006112AC"/>
    <w:rsid w:val="00611538"/>
    <w:rsid w:val="006115C3"/>
    <w:rsid w:val="00611684"/>
    <w:rsid w:val="006118C2"/>
    <w:rsid w:val="00611FAA"/>
    <w:rsid w:val="00612141"/>
    <w:rsid w:val="006127E5"/>
    <w:rsid w:val="0061287E"/>
    <w:rsid w:val="0061288D"/>
    <w:rsid w:val="00612EF5"/>
    <w:rsid w:val="00613661"/>
    <w:rsid w:val="00613796"/>
    <w:rsid w:val="00614064"/>
    <w:rsid w:val="00614085"/>
    <w:rsid w:val="0061439A"/>
    <w:rsid w:val="00614668"/>
    <w:rsid w:val="006146FA"/>
    <w:rsid w:val="006149B6"/>
    <w:rsid w:val="00614BA3"/>
    <w:rsid w:val="00614FC5"/>
    <w:rsid w:val="006150F3"/>
    <w:rsid w:val="00615175"/>
    <w:rsid w:val="006151B0"/>
    <w:rsid w:val="006151D6"/>
    <w:rsid w:val="00615533"/>
    <w:rsid w:val="00615658"/>
    <w:rsid w:val="006156E2"/>
    <w:rsid w:val="006157C2"/>
    <w:rsid w:val="006157C3"/>
    <w:rsid w:val="0061580D"/>
    <w:rsid w:val="00615820"/>
    <w:rsid w:val="00615A16"/>
    <w:rsid w:val="00615B12"/>
    <w:rsid w:val="00615E8A"/>
    <w:rsid w:val="00615EAD"/>
    <w:rsid w:val="00616092"/>
    <w:rsid w:val="0061619A"/>
    <w:rsid w:val="006161B7"/>
    <w:rsid w:val="00616ED5"/>
    <w:rsid w:val="006173D6"/>
    <w:rsid w:val="0061741D"/>
    <w:rsid w:val="006175A1"/>
    <w:rsid w:val="00617908"/>
    <w:rsid w:val="00617B03"/>
    <w:rsid w:val="00617B7C"/>
    <w:rsid w:val="00617CA4"/>
    <w:rsid w:val="00617D44"/>
    <w:rsid w:val="006200EF"/>
    <w:rsid w:val="00620606"/>
    <w:rsid w:val="0062062C"/>
    <w:rsid w:val="006207DF"/>
    <w:rsid w:val="00620917"/>
    <w:rsid w:val="00620A47"/>
    <w:rsid w:val="00620AB0"/>
    <w:rsid w:val="00620B6F"/>
    <w:rsid w:val="00620C3A"/>
    <w:rsid w:val="006212B6"/>
    <w:rsid w:val="00621565"/>
    <w:rsid w:val="006217C2"/>
    <w:rsid w:val="0062240C"/>
    <w:rsid w:val="00622851"/>
    <w:rsid w:val="0062289D"/>
    <w:rsid w:val="00622C0C"/>
    <w:rsid w:val="0062363E"/>
    <w:rsid w:val="00623900"/>
    <w:rsid w:val="00623A86"/>
    <w:rsid w:val="00623CF5"/>
    <w:rsid w:val="0062415D"/>
    <w:rsid w:val="00624D0B"/>
    <w:rsid w:val="00624D5F"/>
    <w:rsid w:val="006250CC"/>
    <w:rsid w:val="00625327"/>
    <w:rsid w:val="00625722"/>
    <w:rsid w:val="006257FE"/>
    <w:rsid w:val="00625DBE"/>
    <w:rsid w:val="00626463"/>
    <w:rsid w:val="006267CF"/>
    <w:rsid w:val="0062734F"/>
    <w:rsid w:val="00627A93"/>
    <w:rsid w:val="00627B4D"/>
    <w:rsid w:val="00630180"/>
    <w:rsid w:val="0063023D"/>
    <w:rsid w:val="006302C5"/>
    <w:rsid w:val="006305F3"/>
    <w:rsid w:val="006307DA"/>
    <w:rsid w:val="0063097F"/>
    <w:rsid w:val="00630C6C"/>
    <w:rsid w:val="00630CB0"/>
    <w:rsid w:val="00630DA6"/>
    <w:rsid w:val="00630DEA"/>
    <w:rsid w:val="0063169E"/>
    <w:rsid w:val="00631867"/>
    <w:rsid w:val="006319BB"/>
    <w:rsid w:val="00631B81"/>
    <w:rsid w:val="00631C9A"/>
    <w:rsid w:val="00632576"/>
    <w:rsid w:val="0063263B"/>
    <w:rsid w:val="006326D5"/>
    <w:rsid w:val="0063295E"/>
    <w:rsid w:val="00632B53"/>
    <w:rsid w:val="00632C72"/>
    <w:rsid w:val="00632D7B"/>
    <w:rsid w:val="00632EFF"/>
    <w:rsid w:val="006333D8"/>
    <w:rsid w:val="00633889"/>
    <w:rsid w:val="00633F0F"/>
    <w:rsid w:val="00634088"/>
    <w:rsid w:val="00634294"/>
    <w:rsid w:val="006343F2"/>
    <w:rsid w:val="00634697"/>
    <w:rsid w:val="006348A3"/>
    <w:rsid w:val="00634BA2"/>
    <w:rsid w:val="00634E02"/>
    <w:rsid w:val="0063530C"/>
    <w:rsid w:val="006362A3"/>
    <w:rsid w:val="0063642D"/>
    <w:rsid w:val="006367C5"/>
    <w:rsid w:val="00636CA2"/>
    <w:rsid w:val="00636EB6"/>
    <w:rsid w:val="00636EE9"/>
    <w:rsid w:val="00637132"/>
    <w:rsid w:val="00637490"/>
    <w:rsid w:val="00637493"/>
    <w:rsid w:val="006377C1"/>
    <w:rsid w:val="006378BB"/>
    <w:rsid w:val="00637A60"/>
    <w:rsid w:val="00637EC4"/>
    <w:rsid w:val="00640322"/>
    <w:rsid w:val="006404D2"/>
    <w:rsid w:val="006406B3"/>
    <w:rsid w:val="006408CD"/>
    <w:rsid w:val="00640B93"/>
    <w:rsid w:val="00640C1A"/>
    <w:rsid w:val="00641191"/>
    <w:rsid w:val="0064144C"/>
    <w:rsid w:val="00641639"/>
    <w:rsid w:val="0064175E"/>
    <w:rsid w:val="006417F8"/>
    <w:rsid w:val="0064186C"/>
    <w:rsid w:val="00641BF4"/>
    <w:rsid w:val="00641D5F"/>
    <w:rsid w:val="00641EFA"/>
    <w:rsid w:val="006421A1"/>
    <w:rsid w:val="006422BF"/>
    <w:rsid w:val="0064291A"/>
    <w:rsid w:val="00642BC7"/>
    <w:rsid w:val="006431EC"/>
    <w:rsid w:val="006436B9"/>
    <w:rsid w:val="00643740"/>
    <w:rsid w:val="0064386A"/>
    <w:rsid w:val="00644313"/>
    <w:rsid w:val="00644810"/>
    <w:rsid w:val="00644C67"/>
    <w:rsid w:val="00645EAA"/>
    <w:rsid w:val="00646E0A"/>
    <w:rsid w:val="0064721A"/>
    <w:rsid w:val="0064722C"/>
    <w:rsid w:val="00647537"/>
    <w:rsid w:val="006475EB"/>
    <w:rsid w:val="0064774E"/>
    <w:rsid w:val="0064780E"/>
    <w:rsid w:val="0064787A"/>
    <w:rsid w:val="00647BF6"/>
    <w:rsid w:val="00647C9E"/>
    <w:rsid w:val="00650242"/>
    <w:rsid w:val="006508EE"/>
    <w:rsid w:val="00650A30"/>
    <w:rsid w:val="00650BE5"/>
    <w:rsid w:val="00650C04"/>
    <w:rsid w:val="00650ECF"/>
    <w:rsid w:val="0065117A"/>
    <w:rsid w:val="006512B5"/>
    <w:rsid w:val="006514C8"/>
    <w:rsid w:val="006515DC"/>
    <w:rsid w:val="00651C83"/>
    <w:rsid w:val="00651C99"/>
    <w:rsid w:val="00651CA4"/>
    <w:rsid w:val="00651FA6"/>
    <w:rsid w:val="00652220"/>
    <w:rsid w:val="00652777"/>
    <w:rsid w:val="00652972"/>
    <w:rsid w:val="00652FFC"/>
    <w:rsid w:val="006530BD"/>
    <w:rsid w:val="006530F9"/>
    <w:rsid w:val="0065327F"/>
    <w:rsid w:val="006533F2"/>
    <w:rsid w:val="00653400"/>
    <w:rsid w:val="00653A31"/>
    <w:rsid w:val="00653BF9"/>
    <w:rsid w:val="00653E33"/>
    <w:rsid w:val="00653F9A"/>
    <w:rsid w:val="006540F9"/>
    <w:rsid w:val="006544F4"/>
    <w:rsid w:val="006547E0"/>
    <w:rsid w:val="00654DC7"/>
    <w:rsid w:val="00654EE4"/>
    <w:rsid w:val="00654F9C"/>
    <w:rsid w:val="00655C7E"/>
    <w:rsid w:val="0065618E"/>
    <w:rsid w:val="00656C00"/>
    <w:rsid w:val="00656F11"/>
    <w:rsid w:val="00657097"/>
    <w:rsid w:val="0065720A"/>
    <w:rsid w:val="00657386"/>
    <w:rsid w:val="0065749A"/>
    <w:rsid w:val="006575BC"/>
    <w:rsid w:val="00657984"/>
    <w:rsid w:val="00657CE8"/>
    <w:rsid w:val="00657E71"/>
    <w:rsid w:val="00660091"/>
    <w:rsid w:val="00660217"/>
    <w:rsid w:val="00660508"/>
    <w:rsid w:val="00660636"/>
    <w:rsid w:val="006607C3"/>
    <w:rsid w:val="00660961"/>
    <w:rsid w:val="00660B7F"/>
    <w:rsid w:val="00660CC3"/>
    <w:rsid w:val="0066115F"/>
    <w:rsid w:val="006614A2"/>
    <w:rsid w:val="0066157A"/>
    <w:rsid w:val="0066190A"/>
    <w:rsid w:val="00661A89"/>
    <w:rsid w:val="00661B4B"/>
    <w:rsid w:val="00661BBA"/>
    <w:rsid w:val="00661BEF"/>
    <w:rsid w:val="00662079"/>
    <w:rsid w:val="00662425"/>
    <w:rsid w:val="006624A2"/>
    <w:rsid w:val="006625C1"/>
    <w:rsid w:val="0066264A"/>
    <w:rsid w:val="006626DE"/>
    <w:rsid w:val="00662C3E"/>
    <w:rsid w:val="00662DFF"/>
    <w:rsid w:val="00662F3C"/>
    <w:rsid w:val="00662FB3"/>
    <w:rsid w:val="006631F8"/>
    <w:rsid w:val="0066326E"/>
    <w:rsid w:val="0066328C"/>
    <w:rsid w:val="006632E8"/>
    <w:rsid w:val="00663C07"/>
    <w:rsid w:val="00663C24"/>
    <w:rsid w:val="0066407B"/>
    <w:rsid w:val="006640A6"/>
    <w:rsid w:val="00664641"/>
    <w:rsid w:val="00665116"/>
    <w:rsid w:val="006652B8"/>
    <w:rsid w:val="00665A3D"/>
    <w:rsid w:val="00665C5A"/>
    <w:rsid w:val="006662A4"/>
    <w:rsid w:val="006662C3"/>
    <w:rsid w:val="006663BE"/>
    <w:rsid w:val="0066662C"/>
    <w:rsid w:val="0066668D"/>
    <w:rsid w:val="006667D8"/>
    <w:rsid w:val="00666A2F"/>
    <w:rsid w:val="00666DC4"/>
    <w:rsid w:val="00666DD5"/>
    <w:rsid w:val="0066738C"/>
    <w:rsid w:val="00667443"/>
    <w:rsid w:val="00667490"/>
    <w:rsid w:val="00667692"/>
    <w:rsid w:val="00667793"/>
    <w:rsid w:val="00667A98"/>
    <w:rsid w:val="00667AA8"/>
    <w:rsid w:val="00667C83"/>
    <w:rsid w:val="00667FE0"/>
    <w:rsid w:val="00670134"/>
    <w:rsid w:val="00670891"/>
    <w:rsid w:val="00670999"/>
    <w:rsid w:val="00670C2D"/>
    <w:rsid w:val="00670F2F"/>
    <w:rsid w:val="0067142B"/>
    <w:rsid w:val="00671658"/>
    <w:rsid w:val="006716F5"/>
    <w:rsid w:val="00671799"/>
    <w:rsid w:val="006717B5"/>
    <w:rsid w:val="006719C1"/>
    <w:rsid w:val="00672255"/>
    <w:rsid w:val="006722ED"/>
    <w:rsid w:val="0067251D"/>
    <w:rsid w:val="0067262B"/>
    <w:rsid w:val="00672701"/>
    <w:rsid w:val="006729A8"/>
    <w:rsid w:val="006729EE"/>
    <w:rsid w:val="006737B8"/>
    <w:rsid w:val="00673951"/>
    <w:rsid w:val="00673AA9"/>
    <w:rsid w:val="00673F06"/>
    <w:rsid w:val="006740C2"/>
    <w:rsid w:val="006741E3"/>
    <w:rsid w:val="006745E3"/>
    <w:rsid w:val="0067492B"/>
    <w:rsid w:val="00674BD0"/>
    <w:rsid w:val="006750F4"/>
    <w:rsid w:val="00675572"/>
    <w:rsid w:val="00675874"/>
    <w:rsid w:val="0067592E"/>
    <w:rsid w:val="00675CCF"/>
    <w:rsid w:val="00675DAB"/>
    <w:rsid w:val="00675F65"/>
    <w:rsid w:val="00676149"/>
    <w:rsid w:val="0067615D"/>
    <w:rsid w:val="006765BA"/>
    <w:rsid w:val="00676835"/>
    <w:rsid w:val="006768CF"/>
    <w:rsid w:val="006769DC"/>
    <w:rsid w:val="00676E42"/>
    <w:rsid w:val="00677279"/>
    <w:rsid w:val="00677834"/>
    <w:rsid w:val="00677E93"/>
    <w:rsid w:val="006800E1"/>
    <w:rsid w:val="00680100"/>
    <w:rsid w:val="00680116"/>
    <w:rsid w:val="0068013F"/>
    <w:rsid w:val="006802BC"/>
    <w:rsid w:val="00680528"/>
    <w:rsid w:val="0068061A"/>
    <w:rsid w:val="00680982"/>
    <w:rsid w:val="00680ADE"/>
    <w:rsid w:val="00680D4C"/>
    <w:rsid w:val="00680E83"/>
    <w:rsid w:val="0068112F"/>
    <w:rsid w:val="006815FB"/>
    <w:rsid w:val="0068224F"/>
    <w:rsid w:val="00682393"/>
    <w:rsid w:val="006826C0"/>
    <w:rsid w:val="00682BCD"/>
    <w:rsid w:val="00682C9F"/>
    <w:rsid w:val="00683079"/>
    <w:rsid w:val="0068320E"/>
    <w:rsid w:val="00683577"/>
    <w:rsid w:val="00683959"/>
    <w:rsid w:val="00683A2E"/>
    <w:rsid w:val="00683A89"/>
    <w:rsid w:val="00683AEA"/>
    <w:rsid w:val="00683D2D"/>
    <w:rsid w:val="00684873"/>
    <w:rsid w:val="00684A5E"/>
    <w:rsid w:val="006851D8"/>
    <w:rsid w:val="00685536"/>
    <w:rsid w:val="00685B47"/>
    <w:rsid w:val="00685C06"/>
    <w:rsid w:val="00685C8E"/>
    <w:rsid w:val="00685E03"/>
    <w:rsid w:val="006862D4"/>
    <w:rsid w:val="00686367"/>
    <w:rsid w:val="006864BE"/>
    <w:rsid w:val="00686B4D"/>
    <w:rsid w:val="00686E29"/>
    <w:rsid w:val="0068737C"/>
    <w:rsid w:val="00687528"/>
    <w:rsid w:val="0068756F"/>
    <w:rsid w:val="00687BFE"/>
    <w:rsid w:val="006902D5"/>
    <w:rsid w:val="0069039E"/>
    <w:rsid w:val="0069112D"/>
    <w:rsid w:val="00691274"/>
    <w:rsid w:val="0069134D"/>
    <w:rsid w:val="006916B2"/>
    <w:rsid w:val="00691BE1"/>
    <w:rsid w:val="00691EA6"/>
    <w:rsid w:val="006920D6"/>
    <w:rsid w:val="00692909"/>
    <w:rsid w:val="00692AC5"/>
    <w:rsid w:val="00692EDD"/>
    <w:rsid w:val="0069315E"/>
    <w:rsid w:val="0069319D"/>
    <w:rsid w:val="006935A1"/>
    <w:rsid w:val="00693983"/>
    <w:rsid w:val="00693CCB"/>
    <w:rsid w:val="00693EFE"/>
    <w:rsid w:val="0069403D"/>
    <w:rsid w:val="006941BF"/>
    <w:rsid w:val="0069489E"/>
    <w:rsid w:val="006949B2"/>
    <w:rsid w:val="00694E88"/>
    <w:rsid w:val="00694E9E"/>
    <w:rsid w:val="00694FE9"/>
    <w:rsid w:val="00695259"/>
    <w:rsid w:val="00695399"/>
    <w:rsid w:val="006953CA"/>
    <w:rsid w:val="00695DB3"/>
    <w:rsid w:val="00695E4B"/>
    <w:rsid w:val="00695EA3"/>
    <w:rsid w:val="0069612C"/>
    <w:rsid w:val="006964BF"/>
    <w:rsid w:val="006966A1"/>
    <w:rsid w:val="006968B4"/>
    <w:rsid w:val="006969FB"/>
    <w:rsid w:val="00696B45"/>
    <w:rsid w:val="00696EF7"/>
    <w:rsid w:val="00697061"/>
    <w:rsid w:val="00697075"/>
    <w:rsid w:val="00697347"/>
    <w:rsid w:val="006973AD"/>
    <w:rsid w:val="006976BE"/>
    <w:rsid w:val="0069787F"/>
    <w:rsid w:val="00697D22"/>
    <w:rsid w:val="006A00A1"/>
    <w:rsid w:val="006A00B0"/>
    <w:rsid w:val="006A06BC"/>
    <w:rsid w:val="006A083D"/>
    <w:rsid w:val="006A097D"/>
    <w:rsid w:val="006A0B9A"/>
    <w:rsid w:val="006A1084"/>
    <w:rsid w:val="006A2249"/>
    <w:rsid w:val="006A22D0"/>
    <w:rsid w:val="006A262F"/>
    <w:rsid w:val="006A263D"/>
    <w:rsid w:val="006A2C93"/>
    <w:rsid w:val="006A3046"/>
    <w:rsid w:val="006A33B6"/>
    <w:rsid w:val="006A3413"/>
    <w:rsid w:val="006A3891"/>
    <w:rsid w:val="006A389D"/>
    <w:rsid w:val="006A3943"/>
    <w:rsid w:val="006A3BDC"/>
    <w:rsid w:val="006A3BF7"/>
    <w:rsid w:val="006A3C84"/>
    <w:rsid w:val="006A3DA4"/>
    <w:rsid w:val="006A4014"/>
    <w:rsid w:val="006A4235"/>
    <w:rsid w:val="006A45FE"/>
    <w:rsid w:val="006A496D"/>
    <w:rsid w:val="006A4AE2"/>
    <w:rsid w:val="006A4DC5"/>
    <w:rsid w:val="006A5166"/>
    <w:rsid w:val="006A51B2"/>
    <w:rsid w:val="006A5331"/>
    <w:rsid w:val="006A5845"/>
    <w:rsid w:val="006A58F8"/>
    <w:rsid w:val="006A59EA"/>
    <w:rsid w:val="006A6207"/>
    <w:rsid w:val="006A63AE"/>
    <w:rsid w:val="006A6764"/>
    <w:rsid w:val="006A678C"/>
    <w:rsid w:val="006A6877"/>
    <w:rsid w:val="006A6953"/>
    <w:rsid w:val="006A6C31"/>
    <w:rsid w:val="006A6CB1"/>
    <w:rsid w:val="006A7008"/>
    <w:rsid w:val="006A71AD"/>
    <w:rsid w:val="006A722A"/>
    <w:rsid w:val="006A744B"/>
    <w:rsid w:val="006A74ED"/>
    <w:rsid w:val="006B03B3"/>
    <w:rsid w:val="006B0546"/>
    <w:rsid w:val="006B068B"/>
    <w:rsid w:val="006B0986"/>
    <w:rsid w:val="006B0A59"/>
    <w:rsid w:val="006B0D01"/>
    <w:rsid w:val="006B1933"/>
    <w:rsid w:val="006B2361"/>
    <w:rsid w:val="006B23E0"/>
    <w:rsid w:val="006B2BE9"/>
    <w:rsid w:val="006B2D3F"/>
    <w:rsid w:val="006B2F6B"/>
    <w:rsid w:val="006B3013"/>
    <w:rsid w:val="006B325B"/>
    <w:rsid w:val="006B32DC"/>
    <w:rsid w:val="006B3AA9"/>
    <w:rsid w:val="006B3F5D"/>
    <w:rsid w:val="006B42A1"/>
    <w:rsid w:val="006B451E"/>
    <w:rsid w:val="006B453F"/>
    <w:rsid w:val="006B477E"/>
    <w:rsid w:val="006B4EE6"/>
    <w:rsid w:val="006B52B7"/>
    <w:rsid w:val="006B5387"/>
    <w:rsid w:val="006B540A"/>
    <w:rsid w:val="006B581E"/>
    <w:rsid w:val="006B5EC0"/>
    <w:rsid w:val="006B5F8D"/>
    <w:rsid w:val="006B6053"/>
    <w:rsid w:val="006B621E"/>
    <w:rsid w:val="006B661B"/>
    <w:rsid w:val="006B6801"/>
    <w:rsid w:val="006B6F54"/>
    <w:rsid w:val="006B718E"/>
    <w:rsid w:val="006B78F2"/>
    <w:rsid w:val="006B7B84"/>
    <w:rsid w:val="006B7C08"/>
    <w:rsid w:val="006B7E08"/>
    <w:rsid w:val="006C013E"/>
    <w:rsid w:val="006C0A88"/>
    <w:rsid w:val="006C0BE2"/>
    <w:rsid w:val="006C1013"/>
    <w:rsid w:val="006C1619"/>
    <w:rsid w:val="006C165D"/>
    <w:rsid w:val="006C1F78"/>
    <w:rsid w:val="006C201F"/>
    <w:rsid w:val="006C2250"/>
    <w:rsid w:val="006C259A"/>
    <w:rsid w:val="006C25F1"/>
    <w:rsid w:val="006C2C93"/>
    <w:rsid w:val="006C2CC4"/>
    <w:rsid w:val="006C2E1E"/>
    <w:rsid w:val="006C2F32"/>
    <w:rsid w:val="006C3031"/>
    <w:rsid w:val="006C31E1"/>
    <w:rsid w:val="006C34F9"/>
    <w:rsid w:val="006C3742"/>
    <w:rsid w:val="006C37A1"/>
    <w:rsid w:val="006C38F6"/>
    <w:rsid w:val="006C3F24"/>
    <w:rsid w:val="006C44D2"/>
    <w:rsid w:val="006C4616"/>
    <w:rsid w:val="006C4840"/>
    <w:rsid w:val="006C4AB4"/>
    <w:rsid w:val="006C4C47"/>
    <w:rsid w:val="006C4E06"/>
    <w:rsid w:val="006C4F31"/>
    <w:rsid w:val="006C4F43"/>
    <w:rsid w:val="006C501F"/>
    <w:rsid w:val="006C5057"/>
    <w:rsid w:val="006C508A"/>
    <w:rsid w:val="006C52FC"/>
    <w:rsid w:val="006C5354"/>
    <w:rsid w:val="006C551D"/>
    <w:rsid w:val="006C5738"/>
    <w:rsid w:val="006C5868"/>
    <w:rsid w:val="006C5D14"/>
    <w:rsid w:val="006C5FB5"/>
    <w:rsid w:val="006C60E5"/>
    <w:rsid w:val="006C669F"/>
    <w:rsid w:val="006C69D3"/>
    <w:rsid w:val="006C7180"/>
    <w:rsid w:val="006C7ABB"/>
    <w:rsid w:val="006C7F30"/>
    <w:rsid w:val="006D04E9"/>
    <w:rsid w:val="006D0D36"/>
    <w:rsid w:val="006D0E2A"/>
    <w:rsid w:val="006D0F7C"/>
    <w:rsid w:val="006D190D"/>
    <w:rsid w:val="006D1A8F"/>
    <w:rsid w:val="006D1ECF"/>
    <w:rsid w:val="006D233F"/>
    <w:rsid w:val="006D235C"/>
    <w:rsid w:val="006D2C7C"/>
    <w:rsid w:val="006D31C8"/>
    <w:rsid w:val="006D32AF"/>
    <w:rsid w:val="006D3546"/>
    <w:rsid w:val="006D3E55"/>
    <w:rsid w:val="006D3F87"/>
    <w:rsid w:val="006D3FBD"/>
    <w:rsid w:val="006D46F4"/>
    <w:rsid w:val="006D489D"/>
    <w:rsid w:val="006D4B4C"/>
    <w:rsid w:val="006D4C7D"/>
    <w:rsid w:val="006D4CFE"/>
    <w:rsid w:val="006D4D7D"/>
    <w:rsid w:val="006D4EBA"/>
    <w:rsid w:val="006D538C"/>
    <w:rsid w:val="006D54B0"/>
    <w:rsid w:val="006D5509"/>
    <w:rsid w:val="006D575D"/>
    <w:rsid w:val="006D5C47"/>
    <w:rsid w:val="006D5C7F"/>
    <w:rsid w:val="006D5DDA"/>
    <w:rsid w:val="006D5E6F"/>
    <w:rsid w:val="006D6081"/>
    <w:rsid w:val="006D61CE"/>
    <w:rsid w:val="006D66CE"/>
    <w:rsid w:val="006D6A67"/>
    <w:rsid w:val="006D71FB"/>
    <w:rsid w:val="006D742D"/>
    <w:rsid w:val="006D7851"/>
    <w:rsid w:val="006D7870"/>
    <w:rsid w:val="006D7921"/>
    <w:rsid w:val="006D7BFA"/>
    <w:rsid w:val="006D7E42"/>
    <w:rsid w:val="006D7EB3"/>
    <w:rsid w:val="006E019A"/>
    <w:rsid w:val="006E048C"/>
    <w:rsid w:val="006E059F"/>
    <w:rsid w:val="006E0A60"/>
    <w:rsid w:val="006E0C6F"/>
    <w:rsid w:val="006E0CD7"/>
    <w:rsid w:val="006E0D2C"/>
    <w:rsid w:val="006E0EE8"/>
    <w:rsid w:val="006E11B3"/>
    <w:rsid w:val="006E13EF"/>
    <w:rsid w:val="006E1D9C"/>
    <w:rsid w:val="006E1E4C"/>
    <w:rsid w:val="006E1F3F"/>
    <w:rsid w:val="006E20D2"/>
    <w:rsid w:val="006E2213"/>
    <w:rsid w:val="006E2515"/>
    <w:rsid w:val="006E29FD"/>
    <w:rsid w:val="006E2D0A"/>
    <w:rsid w:val="006E2D57"/>
    <w:rsid w:val="006E319C"/>
    <w:rsid w:val="006E333B"/>
    <w:rsid w:val="006E3772"/>
    <w:rsid w:val="006E37D7"/>
    <w:rsid w:val="006E398D"/>
    <w:rsid w:val="006E3A30"/>
    <w:rsid w:val="006E3B04"/>
    <w:rsid w:val="006E3B21"/>
    <w:rsid w:val="006E3BE0"/>
    <w:rsid w:val="006E3D79"/>
    <w:rsid w:val="006E3D80"/>
    <w:rsid w:val="006E3DDC"/>
    <w:rsid w:val="006E4139"/>
    <w:rsid w:val="006E4DD4"/>
    <w:rsid w:val="006E51DF"/>
    <w:rsid w:val="006E539E"/>
    <w:rsid w:val="006E563B"/>
    <w:rsid w:val="006E56A5"/>
    <w:rsid w:val="006E5861"/>
    <w:rsid w:val="006E60F5"/>
    <w:rsid w:val="006E633A"/>
    <w:rsid w:val="006E6347"/>
    <w:rsid w:val="006E6453"/>
    <w:rsid w:val="006E659A"/>
    <w:rsid w:val="006E65C7"/>
    <w:rsid w:val="006E6628"/>
    <w:rsid w:val="006E67C2"/>
    <w:rsid w:val="006E69C1"/>
    <w:rsid w:val="006E6D12"/>
    <w:rsid w:val="006E716C"/>
    <w:rsid w:val="006E7555"/>
    <w:rsid w:val="006E759E"/>
    <w:rsid w:val="006E75AB"/>
    <w:rsid w:val="006E7838"/>
    <w:rsid w:val="006E7B96"/>
    <w:rsid w:val="006F02C7"/>
    <w:rsid w:val="006F047D"/>
    <w:rsid w:val="006F0983"/>
    <w:rsid w:val="006F0A5D"/>
    <w:rsid w:val="006F11AA"/>
    <w:rsid w:val="006F1350"/>
    <w:rsid w:val="006F14A7"/>
    <w:rsid w:val="006F1592"/>
    <w:rsid w:val="006F165C"/>
    <w:rsid w:val="006F1830"/>
    <w:rsid w:val="006F1D0E"/>
    <w:rsid w:val="006F1EE7"/>
    <w:rsid w:val="006F236F"/>
    <w:rsid w:val="006F24E7"/>
    <w:rsid w:val="006F2BB7"/>
    <w:rsid w:val="006F2BCD"/>
    <w:rsid w:val="006F2C67"/>
    <w:rsid w:val="006F3122"/>
    <w:rsid w:val="006F3128"/>
    <w:rsid w:val="006F3255"/>
    <w:rsid w:val="006F4B5B"/>
    <w:rsid w:val="006F4D5B"/>
    <w:rsid w:val="006F4EB6"/>
    <w:rsid w:val="006F5065"/>
    <w:rsid w:val="006F517B"/>
    <w:rsid w:val="006F5485"/>
    <w:rsid w:val="006F54C6"/>
    <w:rsid w:val="006F5602"/>
    <w:rsid w:val="006F5619"/>
    <w:rsid w:val="006F5FAE"/>
    <w:rsid w:val="006F5FFF"/>
    <w:rsid w:val="006F6267"/>
    <w:rsid w:val="006F6396"/>
    <w:rsid w:val="006F66F8"/>
    <w:rsid w:val="006F6813"/>
    <w:rsid w:val="006F6C0B"/>
    <w:rsid w:val="006F6F54"/>
    <w:rsid w:val="006F7048"/>
    <w:rsid w:val="006F7715"/>
    <w:rsid w:val="006F779D"/>
    <w:rsid w:val="006F79D8"/>
    <w:rsid w:val="006F7C83"/>
    <w:rsid w:val="006F7CA7"/>
    <w:rsid w:val="006F7EDE"/>
    <w:rsid w:val="006F7FD1"/>
    <w:rsid w:val="00700478"/>
    <w:rsid w:val="007007DE"/>
    <w:rsid w:val="00700899"/>
    <w:rsid w:val="00700CA6"/>
    <w:rsid w:val="00701091"/>
    <w:rsid w:val="007011AF"/>
    <w:rsid w:val="007013AD"/>
    <w:rsid w:val="00701614"/>
    <w:rsid w:val="00701BA7"/>
    <w:rsid w:val="00702082"/>
    <w:rsid w:val="00702ACD"/>
    <w:rsid w:val="00702ADE"/>
    <w:rsid w:val="00702C22"/>
    <w:rsid w:val="00703085"/>
    <w:rsid w:val="0070316C"/>
    <w:rsid w:val="007032D1"/>
    <w:rsid w:val="00703837"/>
    <w:rsid w:val="00703904"/>
    <w:rsid w:val="007042C2"/>
    <w:rsid w:val="00704751"/>
    <w:rsid w:val="00704978"/>
    <w:rsid w:val="00704A66"/>
    <w:rsid w:val="00704DB6"/>
    <w:rsid w:val="00704FEE"/>
    <w:rsid w:val="0070512A"/>
    <w:rsid w:val="00705193"/>
    <w:rsid w:val="00705493"/>
    <w:rsid w:val="007054CE"/>
    <w:rsid w:val="00705627"/>
    <w:rsid w:val="007057CC"/>
    <w:rsid w:val="007058BD"/>
    <w:rsid w:val="00705B06"/>
    <w:rsid w:val="00706277"/>
    <w:rsid w:val="007065FE"/>
    <w:rsid w:val="00706605"/>
    <w:rsid w:val="00706905"/>
    <w:rsid w:val="00706DCE"/>
    <w:rsid w:val="0070767F"/>
    <w:rsid w:val="007076BD"/>
    <w:rsid w:val="007079CE"/>
    <w:rsid w:val="00707EA4"/>
    <w:rsid w:val="00710349"/>
    <w:rsid w:val="0071042E"/>
    <w:rsid w:val="0071047B"/>
    <w:rsid w:val="00710957"/>
    <w:rsid w:val="00710A69"/>
    <w:rsid w:val="00710D4D"/>
    <w:rsid w:val="00710DB4"/>
    <w:rsid w:val="00711128"/>
    <w:rsid w:val="0071122F"/>
    <w:rsid w:val="007114B1"/>
    <w:rsid w:val="007114E4"/>
    <w:rsid w:val="007114F1"/>
    <w:rsid w:val="00711635"/>
    <w:rsid w:val="0071168E"/>
    <w:rsid w:val="007118F1"/>
    <w:rsid w:val="007118FA"/>
    <w:rsid w:val="007119A5"/>
    <w:rsid w:val="007119A6"/>
    <w:rsid w:val="00711BA3"/>
    <w:rsid w:val="007120E1"/>
    <w:rsid w:val="0071220C"/>
    <w:rsid w:val="00712536"/>
    <w:rsid w:val="0071255A"/>
    <w:rsid w:val="007129F5"/>
    <w:rsid w:val="00712A44"/>
    <w:rsid w:val="007134FD"/>
    <w:rsid w:val="00713C32"/>
    <w:rsid w:val="00713F3C"/>
    <w:rsid w:val="0071415C"/>
    <w:rsid w:val="007148B8"/>
    <w:rsid w:val="00714A19"/>
    <w:rsid w:val="00714A62"/>
    <w:rsid w:val="00714F50"/>
    <w:rsid w:val="00714FD8"/>
    <w:rsid w:val="00715039"/>
    <w:rsid w:val="007153F5"/>
    <w:rsid w:val="00715447"/>
    <w:rsid w:val="00715B6A"/>
    <w:rsid w:val="00715D57"/>
    <w:rsid w:val="00715E38"/>
    <w:rsid w:val="007160AA"/>
    <w:rsid w:val="00716130"/>
    <w:rsid w:val="00716143"/>
    <w:rsid w:val="0071617C"/>
    <w:rsid w:val="007162D2"/>
    <w:rsid w:val="007164B0"/>
    <w:rsid w:val="007167C9"/>
    <w:rsid w:val="00716A54"/>
    <w:rsid w:val="00716AE6"/>
    <w:rsid w:val="00716EFB"/>
    <w:rsid w:val="00716F6A"/>
    <w:rsid w:val="00717534"/>
    <w:rsid w:val="0071781A"/>
    <w:rsid w:val="00717835"/>
    <w:rsid w:val="007178FB"/>
    <w:rsid w:val="00717BDF"/>
    <w:rsid w:val="00717D3B"/>
    <w:rsid w:val="00717DAA"/>
    <w:rsid w:val="007201A6"/>
    <w:rsid w:val="007203B7"/>
    <w:rsid w:val="007205D4"/>
    <w:rsid w:val="00720B84"/>
    <w:rsid w:val="00720D2D"/>
    <w:rsid w:val="00720F34"/>
    <w:rsid w:val="00721133"/>
    <w:rsid w:val="007219C1"/>
    <w:rsid w:val="00722157"/>
    <w:rsid w:val="00722505"/>
    <w:rsid w:val="00722687"/>
    <w:rsid w:val="00722757"/>
    <w:rsid w:val="00722ADB"/>
    <w:rsid w:val="00722C07"/>
    <w:rsid w:val="0072345D"/>
    <w:rsid w:val="007235CC"/>
    <w:rsid w:val="0072391B"/>
    <w:rsid w:val="00723E10"/>
    <w:rsid w:val="00724006"/>
    <w:rsid w:val="00724034"/>
    <w:rsid w:val="00724233"/>
    <w:rsid w:val="00724531"/>
    <w:rsid w:val="0072454C"/>
    <w:rsid w:val="00724A17"/>
    <w:rsid w:val="00724BA4"/>
    <w:rsid w:val="00724F24"/>
    <w:rsid w:val="007254D1"/>
    <w:rsid w:val="00725B2C"/>
    <w:rsid w:val="00726214"/>
    <w:rsid w:val="0072626F"/>
    <w:rsid w:val="0072629D"/>
    <w:rsid w:val="0072650C"/>
    <w:rsid w:val="0072683C"/>
    <w:rsid w:val="00726913"/>
    <w:rsid w:val="007275EA"/>
    <w:rsid w:val="0072798F"/>
    <w:rsid w:val="00727A1B"/>
    <w:rsid w:val="00727FB1"/>
    <w:rsid w:val="0073077A"/>
    <w:rsid w:val="007310E7"/>
    <w:rsid w:val="007311CD"/>
    <w:rsid w:val="00731404"/>
    <w:rsid w:val="007318B0"/>
    <w:rsid w:val="007319DF"/>
    <w:rsid w:val="00731BDD"/>
    <w:rsid w:val="007322C4"/>
    <w:rsid w:val="007323A0"/>
    <w:rsid w:val="00732637"/>
    <w:rsid w:val="00732773"/>
    <w:rsid w:val="007327EE"/>
    <w:rsid w:val="0073282A"/>
    <w:rsid w:val="007329E4"/>
    <w:rsid w:val="00732BDA"/>
    <w:rsid w:val="00733085"/>
    <w:rsid w:val="00733159"/>
    <w:rsid w:val="00733523"/>
    <w:rsid w:val="00733989"/>
    <w:rsid w:val="00733D15"/>
    <w:rsid w:val="00733E9F"/>
    <w:rsid w:val="007342D0"/>
    <w:rsid w:val="007344AF"/>
    <w:rsid w:val="0073467E"/>
    <w:rsid w:val="007348DF"/>
    <w:rsid w:val="00734D96"/>
    <w:rsid w:val="00734E88"/>
    <w:rsid w:val="007352CF"/>
    <w:rsid w:val="00735415"/>
    <w:rsid w:val="00735EA0"/>
    <w:rsid w:val="007364AD"/>
    <w:rsid w:val="00736975"/>
    <w:rsid w:val="0073714B"/>
    <w:rsid w:val="00737753"/>
    <w:rsid w:val="00737B48"/>
    <w:rsid w:val="00737F33"/>
    <w:rsid w:val="007405EC"/>
    <w:rsid w:val="00740BAA"/>
    <w:rsid w:val="00740DF6"/>
    <w:rsid w:val="00740F41"/>
    <w:rsid w:val="00741111"/>
    <w:rsid w:val="007415E3"/>
    <w:rsid w:val="007418B7"/>
    <w:rsid w:val="00741A70"/>
    <w:rsid w:val="00741CCC"/>
    <w:rsid w:val="0074256B"/>
    <w:rsid w:val="007427B5"/>
    <w:rsid w:val="007427F5"/>
    <w:rsid w:val="0074294A"/>
    <w:rsid w:val="00742C51"/>
    <w:rsid w:val="00742D41"/>
    <w:rsid w:val="00742D4D"/>
    <w:rsid w:val="00742D86"/>
    <w:rsid w:val="00742E8B"/>
    <w:rsid w:val="0074301D"/>
    <w:rsid w:val="00743230"/>
    <w:rsid w:val="007432BC"/>
    <w:rsid w:val="00743357"/>
    <w:rsid w:val="00743858"/>
    <w:rsid w:val="007441C7"/>
    <w:rsid w:val="007442EC"/>
    <w:rsid w:val="00744328"/>
    <w:rsid w:val="00744499"/>
    <w:rsid w:val="007445F7"/>
    <w:rsid w:val="00744901"/>
    <w:rsid w:val="0074525A"/>
    <w:rsid w:val="00745445"/>
    <w:rsid w:val="00745790"/>
    <w:rsid w:val="00745AD6"/>
    <w:rsid w:val="00745B68"/>
    <w:rsid w:val="00745BC8"/>
    <w:rsid w:val="00745ECD"/>
    <w:rsid w:val="00746B1C"/>
    <w:rsid w:val="007470AF"/>
    <w:rsid w:val="0074726A"/>
    <w:rsid w:val="00747548"/>
    <w:rsid w:val="00747B70"/>
    <w:rsid w:val="007503D8"/>
    <w:rsid w:val="0075082F"/>
    <w:rsid w:val="007508CD"/>
    <w:rsid w:val="00750DD0"/>
    <w:rsid w:val="00750E4E"/>
    <w:rsid w:val="00750EBA"/>
    <w:rsid w:val="00751499"/>
    <w:rsid w:val="0075179F"/>
    <w:rsid w:val="00751875"/>
    <w:rsid w:val="00751942"/>
    <w:rsid w:val="00751D76"/>
    <w:rsid w:val="00751E87"/>
    <w:rsid w:val="0075219F"/>
    <w:rsid w:val="007521AF"/>
    <w:rsid w:val="0075238A"/>
    <w:rsid w:val="007524C5"/>
    <w:rsid w:val="00752687"/>
    <w:rsid w:val="007527C3"/>
    <w:rsid w:val="00752908"/>
    <w:rsid w:val="00752B4D"/>
    <w:rsid w:val="00752D80"/>
    <w:rsid w:val="00753195"/>
    <w:rsid w:val="00753328"/>
    <w:rsid w:val="00753642"/>
    <w:rsid w:val="0075370C"/>
    <w:rsid w:val="007537D4"/>
    <w:rsid w:val="00753891"/>
    <w:rsid w:val="0075396F"/>
    <w:rsid w:val="00753E0D"/>
    <w:rsid w:val="00753EED"/>
    <w:rsid w:val="0075413F"/>
    <w:rsid w:val="0075426C"/>
    <w:rsid w:val="007544B6"/>
    <w:rsid w:val="00754E20"/>
    <w:rsid w:val="007550A9"/>
    <w:rsid w:val="007553C7"/>
    <w:rsid w:val="007553E8"/>
    <w:rsid w:val="007558A0"/>
    <w:rsid w:val="00755A71"/>
    <w:rsid w:val="00755C23"/>
    <w:rsid w:val="0075612A"/>
    <w:rsid w:val="007563C2"/>
    <w:rsid w:val="0075677E"/>
    <w:rsid w:val="00756F2D"/>
    <w:rsid w:val="00757E7B"/>
    <w:rsid w:val="00760586"/>
    <w:rsid w:val="007605D3"/>
    <w:rsid w:val="0076064D"/>
    <w:rsid w:val="007606A6"/>
    <w:rsid w:val="00760A84"/>
    <w:rsid w:val="00760BE0"/>
    <w:rsid w:val="00760D6C"/>
    <w:rsid w:val="00760E5B"/>
    <w:rsid w:val="0076172A"/>
    <w:rsid w:val="007617D8"/>
    <w:rsid w:val="007621FA"/>
    <w:rsid w:val="00762C5C"/>
    <w:rsid w:val="00762E39"/>
    <w:rsid w:val="00762F5D"/>
    <w:rsid w:val="007633B7"/>
    <w:rsid w:val="007634E6"/>
    <w:rsid w:val="00763798"/>
    <w:rsid w:val="00763B0C"/>
    <w:rsid w:val="00763BAC"/>
    <w:rsid w:val="00763E4F"/>
    <w:rsid w:val="00764174"/>
    <w:rsid w:val="007648BA"/>
    <w:rsid w:val="00764A97"/>
    <w:rsid w:val="00764D41"/>
    <w:rsid w:val="0076507A"/>
    <w:rsid w:val="00765254"/>
    <w:rsid w:val="007652B6"/>
    <w:rsid w:val="007655E4"/>
    <w:rsid w:val="007656A2"/>
    <w:rsid w:val="00765918"/>
    <w:rsid w:val="00765EB7"/>
    <w:rsid w:val="0076675D"/>
    <w:rsid w:val="00766886"/>
    <w:rsid w:val="0076699D"/>
    <w:rsid w:val="00766D3B"/>
    <w:rsid w:val="00766DBE"/>
    <w:rsid w:val="00766E72"/>
    <w:rsid w:val="0076726B"/>
    <w:rsid w:val="007673FE"/>
    <w:rsid w:val="0076765A"/>
    <w:rsid w:val="0076777D"/>
    <w:rsid w:val="00767780"/>
    <w:rsid w:val="00767AA0"/>
    <w:rsid w:val="00767B6D"/>
    <w:rsid w:val="00770466"/>
    <w:rsid w:val="00770479"/>
    <w:rsid w:val="007704C5"/>
    <w:rsid w:val="00770803"/>
    <w:rsid w:val="00770B68"/>
    <w:rsid w:val="00770CBC"/>
    <w:rsid w:val="00770E36"/>
    <w:rsid w:val="00771061"/>
    <w:rsid w:val="00771112"/>
    <w:rsid w:val="00771183"/>
    <w:rsid w:val="007714E7"/>
    <w:rsid w:val="00771860"/>
    <w:rsid w:val="00772144"/>
    <w:rsid w:val="00772A87"/>
    <w:rsid w:val="00773093"/>
    <w:rsid w:val="007731DA"/>
    <w:rsid w:val="007736F1"/>
    <w:rsid w:val="00773754"/>
    <w:rsid w:val="00773849"/>
    <w:rsid w:val="00774044"/>
    <w:rsid w:val="007743B8"/>
    <w:rsid w:val="00774915"/>
    <w:rsid w:val="00774AFD"/>
    <w:rsid w:val="00774EE4"/>
    <w:rsid w:val="007750F5"/>
    <w:rsid w:val="00775866"/>
    <w:rsid w:val="007759D0"/>
    <w:rsid w:val="00775AFB"/>
    <w:rsid w:val="00775BF9"/>
    <w:rsid w:val="00775C07"/>
    <w:rsid w:val="00775C7E"/>
    <w:rsid w:val="00775CFF"/>
    <w:rsid w:val="00775D2B"/>
    <w:rsid w:val="00776089"/>
    <w:rsid w:val="00776733"/>
    <w:rsid w:val="007767DB"/>
    <w:rsid w:val="00776E8C"/>
    <w:rsid w:val="0077705B"/>
    <w:rsid w:val="007773DF"/>
    <w:rsid w:val="007774F4"/>
    <w:rsid w:val="00777739"/>
    <w:rsid w:val="00777868"/>
    <w:rsid w:val="0077792E"/>
    <w:rsid w:val="00777B8D"/>
    <w:rsid w:val="00777F1D"/>
    <w:rsid w:val="00777FA2"/>
    <w:rsid w:val="00780169"/>
    <w:rsid w:val="0078038A"/>
    <w:rsid w:val="007805A0"/>
    <w:rsid w:val="00780675"/>
    <w:rsid w:val="00780685"/>
    <w:rsid w:val="007809AE"/>
    <w:rsid w:val="00780B0A"/>
    <w:rsid w:val="00780B29"/>
    <w:rsid w:val="00780B3F"/>
    <w:rsid w:val="00780B7D"/>
    <w:rsid w:val="0078131F"/>
    <w:rsid w:val="00781438"/>
    <w:rsid w:val="007814A0"/>
    <w:rsid w:val="007815A9"/>
    <w:rsid w:val="007816DB"/>
    <w:rsid w:val="00781B89"/>
    <w:rsid w:val="007820FA"/>
    <w:rsid w:val="0078231E"/>
    <w:rsid w:val="0078278E"/>
    <w:rsid w:val="0078308D"/>
    <w:rsid w:val="007837D4"/>
    <w:rsid w:val="007841D5"/>
    <w:rsid w:val="00784245"/>
    <w:rsid w:val="00784252"/>
    <w:rsid w:val="00784323"/>
    <w:rsid w:val="00784A05"/>
    <w:rsid w:val="00784C5A"/>
    <w:rsid w:val="00784F0F"/>
    <w:rsid w:val="007850F0"/>
    <w:rsid w:val="0078578A"/>
    <w:rsid w:val="007858D5"/>
    <w:rsid w:val="00786245"/>
    <w:rsid w:val="007863AF"/>
    <w:rsid w:val="007863C9"/>
    <w:rsid w:val="0078650D"/>
    <w:rsid w:val="00786610"/>
    <w:rsid w:val="0078682D"/>
    <w:rsid w:val="00786972"/>
    <w:rsid w:val="00786AA7"/>
    <w:rsid w:val="00786D7A"/>
    <w:rsid w:val="00786FDA"/>
    <w:rsid w:val="00787029"/>
    <w:rsid w:val="0078739C"/>
    <w:rsid w:val="00787A5D"/>
    <w:rsid w:val="00787EA6"/>
    <w:rsid w:val="00790042"/>
    <w:rsid w:val="00790051"/>
    <w:rsid w:val="00790368"/>
    <w:rsid w:val="00790495"/>
    <w:rsid w:val="00790ABE"/>
    <w:rsid w:val="00790E0B"/>
    <w:rsid w:val="00790EB4"/>
    <w:rsid w:val="00791195"/>
    <w:rsid w:val="007914A6"/>
    <w:rsid w:val="00791B53"/>
    <w:rsid w:val="00791C64"/>
    <w:rsid w:val="00791E0A"/>
    <w:rsid w:val="00792126"/>
    <w:rsid w:val="00792170"/>
    <w:rsid w:val="007923D9"/>
    <w:rsid w:val="007925C6"/>
    <w:rsid w:val="007927BC"/>
    <w:rsid w:val="00792A65"/>
    <w:rsid w:val="00792E62"/>
    <w:rsid w:val="00792EC0"/>
    <w:rsid w:val="007930F6"/>
    <w:rsid w:val="00793132"/>
    <w:rsid w:val="0079377E"/>
    <w:rsid w:val="00793B7F"/>
    <w:rsid w:val="00793D30"/>
    <w:rsid w:val="00793E21"/>
    <w:rsid w:val="00793E94"/>
    <w:rsid w:val="00793EC8"/>
    <w:rsid w:val="0079408F"/>
    <w:rsid w:val="00794769"/>
    <w:rsid w:val="00794912"/>
    <w:rsid w:val="00794A71"/>
    <w:rsid w:val="00794B62"/>
    <w:rsid w:val="00794EAF"/>
    <w:rsid w:val="00794F4D"/>
    <w:rsid w:val="00794F51"/>
    <w:rsid w:val="00795065"/>
    <w:rsid w:val="007953A1"/>
    <w:rsid w:val="0079572A"/>
    <w:rsid w:val="00795BB6"/>
    <w:rsid w:val="00795CA4"/>
    <w:rsid w:val="00796175"/>
    <w:rsid w:val="007962D9"/>
    <w:rsid w:val="007963E2"/>
    <w:rsid w:val="007967F9"/>
    <w:rsid w:val="00796AB4"/>
    <w:rsid w:val="00796ACD"/>
    <w:rsid w:val="00796C88"/>
    <w:rsid w:val="00796F3A"/>
    <w:rsid w:val="007975BF"/>
    <w:rsid w:val="007976C9"/>
    <w:rsid w:val="00797FF3"/>
    <w:rsid w:val="007A04BD"/>
    <w:rsid w:val="007A079D"/>
    <w:rsid w:val="007A0AF9"/>
    <w:rsid w:val="007A0D90"/>
    <w:rsid w:val="007A1218"/>
    <w:rsid w:val="007A1792"/>
    <w:rsid w:val="007A17FF"/>
    <w:rsid w:val="007A18DF"/>
    <w:rsid w:val="007A1FD2"/>
    <w:rsid w:val="007A204F"/>
    <w:rsid w:val="007A20E9"/>
    <w:rsid w:val="007A2325"/>
    <w:rsid w:val="007A26E8"/>
    <w:rsid w:val="007A2B41"/>
    <w:rsid w:val="007A390B"/>
    <w:rsid w:val="007A3A41"/>
    <w:rsid w:val="007A4155"/>
    <w:rsid w:val="007A45A1"/>
    <w:rsid w:val="007A4805"/>
    <w:rsid w:val="007A48DE"/>
    <w:rsid w:val="007A51E7"/>
    <w:rsid w:val="007A55D7"/>
    <w:rsid w:val="007A5689"/>
    <w:rsid w:val="007A5B30"/>
    <w:rsid w:val="007A5D7C"/>
    <w:rsid w:val="007A62EB"/>
    <w:rsid w:val="007A657A"/>
    <w:rsid w:val="007A6637"/>
    <w:rsid w:val="007A6711"/>
    <w:rsid w:val="007A6985"/>
    <w:rsid w:val="007A7161"/>
    <w:rsid w:val="007A71D7"/>
    <w:rsid w:val="007A72A7"/>
    <w:rsid w:val="007A738A"/>
    <w:rsid w:val="007A7395"/>
    <w:rsid w:val="007A78ED"/>
    <w:rsid w:val="007A7DC9"/>
    <w:rsid w:val="007B012C"/>
    <w:rsid w:val="007B01DE"/>
    <w:rsid w:val="007B0298"/>
    <w:rsid w:val="007B0327"/>
    <w:rsid w:val="007B0351"/>
    <w:rsid w:val="007B0430"/>
    <w:rsid w:val="007B0B23"/>
    <w:rsid w:val="007B0CBF"/>
    <w:rsid w:val="007B0E31"/>
    <w:rsid w:val="007B1B94"/>
    <w:rsid w:val="007B1E1D"/>
    <w:rsid w:val="007B1E57"/>
    <w:rsid w:val="007B1EF7"/>
    <w:rsid w:val="007B21CF"/>
    <w:rsid w:val="007B2246"/>
    <w:rsid w:val="007B248C"/>
    <w:rsid w:val="007B24D2"/>
    <w:rsid w:val="007B2938"/>
    <w:rsid w:val="007B29AA"/>
    <w:rsid w:val="007B3014"/>
    <w:rsid w:val="007B312C"/>
    <w:rsid w:val="007B3258"/>
    <w:rsid w:val="007B3968"/>
    <w:rsid w:val="007B3D8D"/>
    <w:rsid w:val="007B4753"/>
    <w:rsid w:val="007B4772"/>
    <w:rsid w:val="007B48CD"/>
    <w:rsid w:val="007B4C04"/>
    <w:rsid w:val="007B5050"/>
    <w:rsid w:val="007B513E"/>
    <w:rsid w:val="007B5280"/>
    <w:rsid w:val="007B536E"/>
    <w:rsid w:val="007B54C5"/>
    <w:rsid w:val="007B54C7"/>
    <w:rsid w:val="007B5619"/>
    <w:rsid w:val="007B570E"/>
    <w:rsid w:val="007B58FF"/>
    <w:rsid w:val="007B59D3"/>
    <w:rsid w:val="007B5B54"/>
    <w:rsid w:val="007B6073"/>
    <w:rsid w:val="007B632C"/>
    <w:rsid w:val="007B6A9A"/>
    <w:rsid w:val="007B6B68"/>
    <w:rsid w:val="007B6D63"/>
    <w:rsid w:val="007B6DB2"/>
    <w:rsid w:val="007B6F17"/>
    <w:rsid w:val="007B6FC0"/>
    <w:rsid w:val="007B789B"/>
    <w:rsid w:val="007B7BAF"/>
    <w:rsid w:val="007B7D40"/>
    <w:rsid w:val="007B7D9A"/>
    <w:rsid w:val="007C00E6"/>
    <w:rsid w:val="007C08AF"/>
    <w:rsid w:val="007C095B"/>
    <w:rsid w:val="007C0AB8"/>
    <w:rsid w:val="007C0D79"/>
    <w:rsid w:val="007C0E20"/>
    <w:rsid w:val="007C0FF1"/>
    <w:rsid w:val="007C1047"/>
    <w:rsid w:val="007C122D"/>
    <w:rsid w:val="007C1404"/>
    <w:rsid w:val="007C166E"/>
    <w:rsid w:val="007C1784"/>
    <w:rsid w:val="007C1A0B"/>
    <w:rsid w:val="007C1B44"/>
    <w:rsid w:val="007C1BC7"/>
    <w:rsid w:val="007C1FAA"/>
    <w:rsid w:val="007C21A5"/>
    <w:rsid w:val="007C2232"/>
    <w:rsid w:val="007C230A"/>
    <w:rsid w:val="007C2AFA"/>
    <w:rsid w:val="007C310A"/>
    <w:rsid w:val="007C310D"/>
    <w:rsid w:val="007C33A8"/>
    <w:rsid w:val="007C34A0"/>
    <w:rsid w:val="007C3580"/>
    <w:rsid w:val="007C364F"/>
    <w:rsid w:val="007C36DB"/>
    <w:rsid w:val="007C36E2"/>
    <w:rsid w:val="007C3870"/>
    <w:rsid w:val="007C3911"/>
    <w:rsid w:val="007C3BD0"/>
    <w:rsid w:val="007C3D5F"/>
    <w:rsid w:val="007C3F12"/>
    <w:rsid w:val="007C3F84"/>
    <w:rsid w:val="007C43DF"/>
    <w:rsid w:val="007C45D8"/>
    <w:rsid w:val="007C4650"/>
    <w:rsid w:val="007C4A14"/>
    <w:rsid w:val="007C4BEF"/>
    <w:rsid w:val="007C5366"/>
    <w:rsid w:val="007C536F"/>
    <w:rsid w:val="007C5773"/>
    <w:rsid w:val="007C5B0A"/>
    <w:rsid w:val="007C5E01"/>
    <w:rsid w:val="007C5E73"/>
    <w:rsid w:val="007C5F11"/>
    <w:rsid w:val="007C6731"/>
    <w:rsid w:val="007C6C77"/>
    <w:rsid w:val="007C75DD"/>
    <w:rsid w:val="007C7905"/>
    <w:rsid w:val="007C7C3D"/>
    <w:rsid w:val="007C7EE5"/>
    <w:rsid w:val="007D0240"/>
    <w:rsid w:val="007D0672"/>
    <w:rsid w:val="007D0C7B"/>
    <w:rsid w:val="007D0F6B"/>
    <w:rsid w:val="007D1153"/>
    <w:rsid w:val="007D12E9"/>
    <w:rsid w:val="007D1527"/>
    <w:rsid w:val="007D19A5"/>
    <w:rsid w:val="007D1A66"/>
    <w:rsid w:val="007D1A88"/>
    <w:rsid w:val="007D1B9A"/>
    <w:rsid w:val="007D1BDD"/>
    <w:rsid w:val="007D1BE0"/>
    <w:rsid w:val="007D1D07"/>
    <w:rsid w:val="007D1E6D"/>
    <w:rsid w:val="007D2439"/>
    <w:rsid w:val="007D2466"/>
    <w:rsid w:val="007D2846"/>
    <w:rsid w:val="007D2A76"/>
    <w:rsid w:val="007D4DC1"/>
    <w:rsid w:val="007D4E55"/>
    <w:rsid w:val="007D4EB6"/>
    <w:rsid w:val="007D5734"/>
    <w:rsid w:val="007D632D"/>
    <w:rsid w:val="007D64E2"/>
    <w:rsid w:val="007D6866"/>
    <w:rsid w:val="007D697B"/>
    <w:rsid w:val="007D6D12"/>
    <w:rsid w:val="007D6D48"/>
    <w:rsid w:val="007D701D"/>
    <w:rsid w:val="007D7344"/>
    <w:rsid w:val="007D7891"/>
    <w:rsid w:val="007D7D8B"/>
    <w:rsid w:val="007D7ED7"/>
    <w:rsid w:val="007D7F90"/>
    <w:rsid w:val="007E04CF"/>
    <w:rsid w:val="007E0672"/>
    <w:rsid w:val="007E0A4E"/>
    <w:rsid w:val="007E0B20"/>
    <w:rsid w:val="007E0BB8"/>
    <w:rsid w:val="007E0E0E"/>
    <w:rsid w:val="007E13CE"/>
    <w:rsid w:val="007E1448"/>
    <w:rsid w:val="007E14F1"/>
    <w:rsid w:val="007E16E2"/>
    <w:rsid w:val="007E1A79"/>
    <w:rsid w:val="007E1C5E"/>
    <w:rsid w:val="007E1C71"/>
    <w:rsid w:val="007E2095"/>
    <w:rsid w:val="007E2528"/>
    <w:rsid w:val="007E277A"/>
    <w:rsid w:val="007E29D8"/>
    <w:rsid w:val="007E2AF4"/>
    <w:rsid w:val="007E2B8E"/>
    <w:rsid w:val="007E311B"/>
    <w:rsid w:val="007E3283"/>
    <w:rsid w:val="007E3B3A"/>
    <w:rsid w:val="007E3C4A"/>
    <w:rsid w:val="007E3D13"/>
    <w:rsid w:val="007E40C8"/>
    <w:rsid w:val="007E4C58"/>
    <w:rsid w:val="007E4D82"/>
    <w:rsid w:val="007E547F"/>
    <w:rsid w:val="007E55E9"/>
    <w:rsid w:val="007E5AFB"/>
    <w:rsid w:val="007E5D82"/>
    <w:rsid w:val="007E5DB5"/>
    <w:rsid w:val="007E5DC1"/>
    <w:rsid w:val="007E5F60"/>
    <w:rsid w:val="007E6322"/>
    <w:rsid w:val="007E64BD"/>
    <w:rsid w:val="007E6629"/>
    <w:rsid w:val="007E6B1B"/>
    <w:rsid w:val="007E6D47"/>
    <w:rsid w:val="007E712C"/>
    <w:rsid w:val="007E74ED"/>
    <w:rsid w:val="007E7513"/>
    <w:rsid w:val="007E7723"/>
    <w:rsid w:val="007E781D"/>
    <w:rsid w:val="007E7A06"/>
    <w:rsid w:val="007E7B19"/>
    <w:rsid w:val="007E7C45"/>
    <w:rsid w:val="007E7EE6"/>
    <w:rsid w:val="007E7F7E"/>
    <w:rsid w:val="007F025F"/>
    <w:rsid w:val="007F02B4"/>
    <w:rsid w:val="007F03A8"/>
    <w:rsid w:val="007F03C3"/>
    <w:rsid w:val="007F04F6"/>
    <w:rsid w:val="007F07DD"/>
    <w:rsid w:val="007F0DDD"/>
    <w:rsid w:val="007F10B9"/>
    <w:rsid w:val="007F10E3"/>
    <w:rsid w:val="007F144A"/>
    <w:rsid w:val="007F17D0"/>
    <w:rsid w:val="007F18D3"/>
    <w:rsid w:val="007F1A0A"/>
    <w:rsid w:val="007F1EDD"/>
    <w:rsid w:val="007F206A"/>
    <w:rsid w:val="007F280E"/>
    <w:rsid w:val="007F36AC"/>
    <w:rsid w:val="007F3807"/>
    <w:rsid w:val="007F3CF1"/>
    <w:rsid w:val="007F4027"/>
    <w:rsid w:val="007F4129"/>
    <w:rsid w:val="007F4159"/>
    <w:rsid w:val="007F4230"/>
    <w:rsid w:val="007F4585"/>
    <w:rsid w:val="007F4629"/>
    <w:rsid w:val="007F47B4"/>
    <w:rsid w:val="007F4AEC"/>
    <w:rsid w:val="007F4E53"/>
    <w:rsid w:val="007F4E84"/>
    <w:rsid w:val="007F5208"/>
    <w:rsid w:val="007F55E1"/>
    <w:rsid w:val="007F566D"/>
    <w:rsid w:val="007F5762"/>
    <w:rsid w:val="007F5BC7"/>
    <w:rsid w:val="007F5CD1"/>
    <w:rsid w:val="007F5D92"/>
    <w:rsid w:val="007F6141"/>
    <w:rsid w:val="007F61C8"/>
    <w:rsid w:val="007F632C"/>
    <w:rsid w:val="007F679B"/>
    <w:rsid w:val="007F6948"/>
    <w:rsid w:val="007F6DB0"/>
    <w:rsid w:val="007F6E06"/>
    <w:rsid w:val="007F7879"/>
    <w:rsid w:val="007F7FAE"/>
    <w:rsid w:val="008000E8"/>
    <w:rsid w:val="008004B8"/>
    <w:rsid w:val="0080059F"/>
    <w:rsid w:val="00800B68"/>
    <w:rsid w:val="00800C18"/>
    <w:rsid w:val="00800DEB"/>
    <w:rsid w:val="0080162C"/>
    <w:rsid w:val="008019C1"/>
    <w:rsid w:val="00801D23"/>
    <w:rsid w:val="00801DEC"/>
    <w:rsid w:val="0080200E"/>
    <w:rsid w:val="008021AF"/>
    <w:rsid w:val="00802837"/>
    <w:rsid w:val="00802B9B"/>
    <w:rsid w:val="00802CBE"/>
    <w:rsid w:val="0080312A"/>
    <w:rsid w:val="008031D7"/>
    <w:rsid w:val="00803368"/>
    <w:rsid w:val="008035D4"/>
    <w:rsid w:val="0080413D"/>
    <w:rsid w:val="008046F4"/>
    <w:rsid w:val="008047D0"/>
    <w:rsid w:val="008047E6"/>
    <w:rsid w:val="00804B04"/>
    <w:rsid w:val="00804BE0"/>
    <w:rsid w:val="00804BF0"/>
    <w:rsid w:val="00804C36"/>
    <w:rsid w:val="00804C59"/>
    <w:rsid w:val="00804DFE"/>
    <w:rsid w:val="00804F34"/>
    <w:rsid w:val="00804FA6"/>
    <w:rsid w:val="008052DD"/>
    <w:rsid w:val="00805306"/>
    <w:rsid w:val="00805554"/>
    <w:rsid w:val="00805E67"/>
    <w:rsid w:val="00805E97"/>
    <w:rsid w:val="00805F3A"/>
    <w:rsid w:val="00806337"/>
    <w:rsid w:val="008063FF"/>
    <w:rsid w:val="008064A0"/>
    <w:rsid w:val="008068F6"/>
    <w:rsid w:val="00806F08"/>
    <w:rsid w:val="008070D0"/>
    <w:rsid w:val="008077C5"/>
    <w:rsid w:val="00807A31"/>
    <w:rsid w:val="00807C4A"/>
    <w:rsid w:val="00807D31"/>
    <w:rsid w:val="00807DE8"/>
    <w:rsid w:val="0081023B"/>
    <w:rsid w:val="00810838"/>
    <w:rsid w:val="00811023"/>
    <w:rsid w:val="008112C5"/>
    <w:rsid w:val="008114C0"/>
    <w:rsid w:val="0081155C"/>
    <w:rsid w:val="00811701"/>
    <w:rsid w:val="00811911"/>
    <w:rsid w:val="00812311"/>
    <w:rsid w:val="00812C48"/>
    <w:rsid w:val="00812DDE"/>
    <w:rsid w:val="00813267"/>
    <w:rsid w:val="00813339"/>
    <w:rsid w:val="00813932"/>
    <w:rsid w:val="00813CB2"/>
    <w:rsid w:val="00813E70"/>
    <w:rsid w:val="00814205"/>
    <w:rsid w:val="00814232"/>
    <w:rsid w:val="008146D9"/>
    <w:rsid w:val="0081486A"/>
    <w:rsid w:val="00814971"/>
    <w:rsid w:val="00814D86"/>
    <w:rsid w:val="00814ECF"/>
    <w:rsid w:val="008153AA"/>
    <w:rsid w:val="008154DF"/>
    <w:rsid w:val="00815760"/>
    <w:rsid w:val="00815814"/>
    <w:rsid w:val="00815C41"/>
    <w:rsid w:val="00815C78"/>
    <w:rsid w:val="00815D92"/>
    <w:rsid w:val="00815E98"/>
    <w:rsid w:val="0081605F"/>
    <w:rsid w:val="0081618A"/>
    <w:rsid w:val="008162BC"/>
    <w:rsid w:val="008162C7"/>
    <w:rsid w:val="008169E5"/>
    <w:rsid w:val="00816B32"/>
    <w:rsid w:val="00816E3B"/>
    <w:rsid w:val="0081715C"/>
    <w:rsid w:val="0081720E"/>
    <w:rsid w:val="00817BFD"/>
    <w:rsid w:val="00820012"/>
    <w:rsid w:val="008207C8"/>
    <w:rsid w:val="00820B84"/>
    <w:rsid w:val="00820E6C"/>
    <w:rsid w:val="00820FD3"/>
    <w:rsid w:val="0082160D"/>
    <w:rsid w:val="0082194A"/>
    <w:rsid w:val="00821BCB"/>
    <w:rsid w:val="00821BEC"/>
    <w:rsid w:val="00821CF7"/>
    <w:rsid w:val="00821E08"/>
    <w:rsid w:val="00821E87"/>
    <w:rsid w:val="00822124"/>
    <w:rsid w:val="00822441"/>
    <w:rsid w:val="008224C7"/>
    <w:rsid w:val="0082261C"/>
    <w:rsid w:val="008227BA"/>
    <w:rsid w:val="0082299D"/>
    <w:rsid w:val="00823202"/>
    <w:rsid w:val="0082350F"/>
    <w:rsid w:val="00823513"/>
    <w:rsid w:val="0082358A"/>
    <w:rsid w:val="0082364C"/>
    <w:rsid w:val="00823E08"/>
    <w:rsid w:val="00823F04"/>
    <w:rsid w:val="00824315"/>
    <w:rsid w:val="008245CA"/>
    <w:rsid w:val="00824CE6"/>
    <w:rsid w:val="00824DDE"/>
    <w:rsid w:val="00824EB1"/>
    <w:rsid w:val="00825364"/>
    <w:rsid w:val="008254B0"/>
    <w:rsid w:val="00825640"/>
    <w:rsid w:val="0082589D"/>
    <w:rsid w:val="00825A18"/>
    <w:rsid w:val="00825B24"/>
    <w:rsid w:val="0082637B"/>
    <w:rsid w:val="008264BD"/>
    <w:rsid w:val="00826911"/>
    <w:rsid w:val="008269C3"/>
    <w:rsid w:val="00826C21"/>
    <w:rsid w:val="00827508"/>
    <w:rsid w:val="008276FC"/>
    <w:rsid w:val="0082783D"/>
    <w:rsid w:val="008278A1"/>
    <w:rsid w:val="0083062D"/>
    <w:rsid w:val="008307CD"/>
    <w:rsid w:val="00830923"/>
    <w:rsid w:val="00830A39"/>
    <w:rsid w:val="00830A72"/>
    <w:rsid w:val="00830C1D"/>
    <w:rsid w:val="00830C94"/>
    <w:rsid w:val="00830CF8"/>
    <w:rsid w:val="00830F07"/>
    <w:rsid w:val="00830F3A"/>
    <w:rsid w:val="00830FC4"/>
    <w:rsid w:val="00831118"/>
    <w:rsid w:val="008312DD"/>
    <w:rsid w:val="008315B8"/>
    <w:rsid w:val="0083172C"/>
    <w:rsid w:val="00831771"/>
    <w:rsid w:val="00831E17"/>
    <w:rsid w:val="008325C6"/>
    <w:rsid w:val="00832B90"/>
    <w:rsid w:val="00832D09"/>
    <w:rsid w:val="00832EAF"/>
    <w:rsid w:val="00832EBB"/>
    <w:rsid w:val="00832F04"/>
    <w:rsid w:val="00834246"/>
    <w:rsid w:val="008346C0"/>
    <w:rsid w:val="00834752"/>
    <w:rsid w:val="00834AC2"/>
    <w:rsid w:val="00834C84"/>
    <w:rsid w:val="00834E61"/>
    <w:rsid w:val="00834FD4"/>
    <w:rsid w:val="008356F1"/>
    <w:rsid w:val="00835728"/>
    <w:rsid w:val="00835D2C"/>
    <w:rsid w:val="00835F75"/>
    <w:rsid w:val="008362A2"/>
    <w:rsid w:val="00836E45"/>
    <w:rsid w:val="008374D7"/>
    <w:rsid w:val="00837782"/>
    <w:rsid w:val="00837BC8"/>
    <w:rsid w:val="00837C11"/>
    <w:rsid w:val="00837CA9"/>
    <w:rsid w:val="00837E94"/>
    <w:rsid w:val="008402EE"/>
    <w:rsid w:val="00840340"/>
    <w:rsid w:val="0084035E"/>
    <w:rsid w:val="00840A72"/>
    <w:rsid w:val="00840C65"/>
    <w:rsid w:val="00840FC9"/>
    <w:rsid w:val="008411C0"/>
    <w:rsid w:val="00841230"/>
    <w:rsid w:val="0084144A"/>
    <w:rsid w:val="008418BA"/>
    <w:rsid w:val="00841959"/>
    <w:rsid w:val="008420A8"/>
    <w:rsid w:val="00842966"/>
    <w:rsid w:val="00842DBF"/>
    <w:rsid w:val="0084355A"/>
    <w:rsid w:val="00843721"/>
    <w:rsid w:val="00843A77"/>
    <w:rsid w:val="00843A92"/>
    <w:rsid w:val="00843E08"/>
    <w:rsid w:val="008447A3"/>
    <w:rsid w:val="008448CC"/>
    <w:rsid w:val="00845182"/>
    <w:rsid w:val="0084585A"/>
    <w:rsid w:val="00845B02"/>
    <w:rsid w:val="00846086"/>
    <w:rsid w:val="008460B6"/>
    <w:rsid w:val="008460CA"/>
    <w:rsid w:val="0084615A"/>
    <w:rsid w:val="00846236"/>
    <w:rsid w:val="0084680B"/>
    <w:rsid w:val="00846BB5"/>
    <w:rsid w:val="00846FCE"/>
    <w:rsid w:val="00847156"/>
    <w:rsid w:val="00847210"/>
    <w:rsid w:val="0084727D"/>
    <w:rsid w:val="00847817"/>
    <w:rsid w:val="00847A0C"/>
    <w:rsid w:val="00847C53"/>
    <w:rsid w:val="00850720"/>
    <w:rsid w:val="00850F51"/>
    <w:rsid w:val="00850F96"/>
    <w:rsid w:val="00851507"/>
    <w:rsid w:val="008517E3"/>
    <w:rsid w:val="008519EC"/>
    <w:rsid w:val="00851D85"/>
    <w:rsid w:val="00852140"/>
    <w:rsid w:val="00852669"/>
    <w:rsid w:val="0085286E"/>
    <w:rsid w:val="008528B9"/>
    <w:rsid w:val="00852981"/>
    <w:rsid w:val="00852C37"/>
    <w:rsid w:val="00852CF6"/>
    <w:rsid w:val="00853049"/>
    <w:rsid w:val="00853065"/>
    <w:rsid w:val="00853397"/>
    <w:rsid w:val="00853E19"/>
    <w:rsid w:val="00854148"/>
    <w:rsid w:val="00854202"/>
    <w:rsid w:val="008543D6"/>
    <w:rsid w:val="00854484"/>
    <w:rsid w:val="00854AA4"/>
    <w:rsid w:val="00854BDE"/>
    <w:rsid w:val="00854D42"/>
    <w:rsid w:val="00855278"/>
    <w:rsid w:val="0085583A"/>
    <w:rsid w:val="00855BF0"/>
    <w:rsid w:val="00855D6A"/>
    <w:rsid w:val="00855DCE"/>
    <w:rsid w:val="00855F1F"/>
    <w:rsid w:val="00855F8B"/>
    <w:rsid w:val="008562A6"/>
    <w:rsid w:val="00856478"/>
    <w:rsid w:val="00856560"/>
    <w:rsid w:val="00856AA9"/>
    <w:rsid w:val="00856C2E"/>
    <w:rsid w:val="008571C8"/>
    <w:rsid w:val="00857A3F"/>
    <w:rsid w:val="0086027B"/>
    <w:rsid w:val="00860CB7"/>
    <w:rsid w:val="00860F4E"/>
    <w:rsid w:val="008614D6"/>
    <w:rsid w:val="008618F1"/>
    <w:rsid w:val="008621FA"/>
    <w:rsid w:val="0086233D"/>
    <w:rsid w:val="00862AB9"/>
    <w:rsid w:val="008632E0"/>
    <w:rsid w:val="008634D9"/>
    <w:rsid w:val="00863F4D"/>
    <w:rsid w:val="0086442E"/>
    <w:rsid w:val="00864435"/>
    <w:rsid w:val="008644B2"/>
    <w:rsid w:val="00864803"/>
    <w:rsid w:val="00865D62"/>
    <w:rsid w:val="00866105"/>
    <w:rsid w:val="00866407"/>
    <w:rsid w:val="00866796"/>
    <w:rsid w:val="00866CAC"/>
    <w:rsid w:val="00866DCE"/>
    <w:rsid w:val="00867123"/>
    <w:rsid w:val="00867231"/>
    <w:rsid w:val="00867354"/>
    <w:rsid w:val="008673FF"/>
    <w:rsid w:val="008701CD"/>
    <w:rsid w:val="008705FC"/>
    <w:rsid w:val="008708D7"/>
    <w:rsid w:val="00870AF0"/>
    <w:rsid w:val="00870D2D"/>
    <w:rsid w:val="00870D86"/>
    <w:rsid w:val="00870E99"/>
    <w:rsid w:val="0087125C"/>
    <w:rsid w:val="008715F8"/>
    <w:rsid w:val="0087173E"/>
    <w:rsid w:val="0087186A"/>
    <w:rsid w:val="00871FD8"/>
    <w:rsid w:val="00872583"/>
    <w:rsid w:val="00872619"/>
    <w:rsid w:val="00872EAA"/>
    <w:rsid w:val="008732AF"/>
    <w:rsid w:val="00873406"/>
    <w:rsid w:val="008736E6"/>
    <w:rsid w:val="00873D03"/>
    <w:rsid w:val="00873E4F"/>
    <w:rsid w:val="00874053"/>
    <w:rsid w:val="00874167"/>
    <w:rsid w:val="00874209"/>
    <w:rsid w:val="008742AF"/>
    <w:rsid w:val="00874382"/>
    <w:rsid w:val="008745F2"/>
    <w:rsid w:val="00874B67"/>
    <w:rsid w:val="00874BF7"/>
    <w:rsid w:val="00875450"/>
    <w:rsid w:val="00875503"/>
    <w:rsid w:val="00875512"/>
    <w:rsid w:val="00875538"/>
    <w:rsid w:val="00875BEE"/>
    <w:rsid w:val="00875C6E"/>
    <w:rsid w:val="00875CF2"/>
    <w:rsid w:val="00875E2C"/>
    <w:rsid w:val="0087622E"/>
    <w:rsid w:val="00876292"/>
    <w:rsid w:val="0087635F"/>
    <w:rsid w:val="008763D2"/>
    <w:rsid w:val="00876995"/>
    <w:rsid w:val="00876C7C"/>
    <w:rsid w:val="00876DAB"/>
    <w:rsid w:val="0087747A"/>
    <w:rsid w:val="00877B15"/>
    <w:rsid w:val="00877B8A"/>
    <w:rsid w:val="00877FC3"/>
    <w:rsid w:val="00877FC8"/>
    <w:rsid w:val="0088000F"/>
    <w:rsid w:val="00880102"/>
    <w:rsid w:val="008804DE"/>
    <w:rsid w:val="008809B3"/>
    <w:rsid w:val="008809E0"/>
    <w:rsid w:val="00880DA8"/>
    <w:rsid w:val="00880DE5"/>
    <w:rsid w:val="00880DE6"/>
    <w:rsid w:val="00880DE8"/>
    <w:rsid w:val="00880F70"/>
    <w:rsid w:val="00880FDE"/>
    <w:rsid w:val="00881011"/>
    <w:rsid w:val="00881313"/>
    <w:rsid w:val="00881AA9"/>
    <w:rsid w:val="00881AAB"/>
    <w:rsid w:val="00881B90"/>
    <w:rsid w:val="00881CFA"/>
    <w:rsid w:val="00882044"/>
    <w:rsid w:val="008823F9"/>
    <w:rsid w:val="00882414"/>
    <w:rsid w:val="008825B6"/>
    <w:rsid w:val="008826E4"/>
    <w:rsid w:val="0088270C"/>
    <w:rsid w:val="0088270E"/>
    <w:rsid w:val="0088287E"/>
    <w:rsid w:val="00882BEE"/>
    <w:rsid w:val="00882C94"/>
    <w:rsid w:val="00882DAC"/>
    <w:rsid w:val="00882E95"/>
    <w:rsid w:val="00882FEC"/>
    <w:rsid w:val="00883975"/>
    <w:rsid w:val="00883A06"/>
    <w:rsid w:val="00883B02"/>
    <w:rsid w:val="00883E4E"/>
    <w:rsid w:val="008840A3"/>
    <w:rsid w:val="0088442C"/>
    <w:rsid w:val="008845AB"/>
    <w:rsid w:val="008845C6"/>
    <w:rsid w:val="008848D9"/>
    <w:rsid w:val="00884DAA"/>
    <w:rsid w:val="00884EF2"/>
    <w:rsid w:val="00884FDC"/>
    <w:rsid w:val="00885328"/>
    <w:rsid w:val="0088583D"/>
    <w:rsid w:val="00885AE9"/>
    <w:rsid w:val="00885B5C"/>
    <w:rsid w:val="00885D3F"/>
    <w:rsid w:val="00885ED4"/>
    <w:rsid w:val="008867B0"/>
    <w:rsid w:val="008869C0"/>
    <w:rsid w:val="00886BA0"/>
    <w:rsid w:val="00886DC8"/>
    <w:rsid w:val="00886EB5"/>
    <w:rsid w:val="00886F2E"/>
    <w:rsid w:val="008874A8"/>
    <w:rsid w:val="0088781A"/>
    <w:rsid w:val="0088783D"/>
    <w:rsid w:val="00887E3A"/>
    <w:rsid w:val="00887FE5"/>
    <w:rsid w:val="008901BF"/>
    <w:rsid w:val="00890442"/>
    <w:rsid w:val="0089049E"/>
    <w:rsid w:val="00890733"/>
    <w:rsid w:val="00890CDA"/>
    <w:rsid w:val="00890D53"/>
    <w:rsid w:val="00890EED"/>
    <w:rsid w:val="00891412"/>
    <w:rsid w:val="00891753"/>
    <w:rsid w:val="00891901"/>
    <w:rsid w:val="00891C8E"/>
    <w:rsid w:val="00891ED3"/>
    <w:rsid w:val="00892339"/>
    <w:rsid w:val="00892448"/>
    <w:rsid w:val="00892899"/>
    <w:rsid w:val="00892AFA"/>
    <w:rsid w:val="00892B5F"/>
    <w:rsid w:val="0089309F"/>
    <w:rsid w:val="008930EA"/>
    <w:rsid w:val="00893968"/>
    <w:rsid w:val="00893992"/>
    <w:rsid w:val="00893EF5"/>
    <w:rsid w:val="0089411A"/>
    <w:rsid w:val="00894318"/>
    <w:rsid w:val="008948BE"/>
    <w:rsid w:val="00894916"/>
    <w:rsid w:val="00894A80"/>
    <w:rsid w:val="00894C91"/>
    <w:rsid w:val="00894ED4"/>
    <w:rsid w:val="00894F79"/>
    <w:rsid w:val="008952FD"/>
    <w:rsid w:val="00895B49"/>
    <w:rsid w:val="00895E44"/>
    <w:rsid w:val="008962AA"/>
    <w:rsid w:val="008963E0"/>
    <w:rsid w:val="00896E7C"/>
    <w:rsid w:val="00896F61"/>
    <w:rsid w:val="0089722C"/>
    <w:rsid w:val="0089745A"/>
    <w:rsid w:val="0089753A"/>
    <w:rsid w:val="00897745"/>
    <w:rsid w:val="0089792B"/>
    <w:rsid w:val="008979E5"/>
    <w:rsid w:val="00897DDD"/>
    <w:rsid w:val="008A0658"/>
    <w:rsid w:val="008A0672"/>
    <w:rsid w:val="008A06C3"/>
    <w:rsid w:val="008A0B83"/>
    <w:rsid w:val="008A112E"/>
    <w:rsid w:val="008A1491"/>
    <w:rsid w:val="008A15AF"/>
    <w:rsid w:val="008A1D00"/>
    <w:rsid w:val="008A1D61"/>
    <w:rsid w:val="008A1E6F"/>
    <w:rsid w:val="008A21F8"/>
    <w:rsid w:val="008A24ED"/>
    <w:rsid w:val="008A2967"/>
    <w:rsid w:val="008A2D9A"/>
    <w:rsid w:val="008A3271"/>
    <w:rsid w:val="008A36F9"/>
    <w:rsid w:val="008A3734"/>
    <w:rsid w:val="008A3782"/>
    <w:rsid w:val="008A37A9"/>
    <w:rsid w:val="008A3BA1"/>
    <w:rsid w:val="008A4021"/>
    <w:rsid w:val="008A40A7"/>
    <w:rsid w:val="008A40B1"/>
    <w:rsid w:val="008A41B2"/>
    <w:rsid w:val="008A44D9"/>
    <w:rsid w:val="008A4C9B"/>
    <w:rsid w:val="008A5239"/>
    <w:rsid w:val="008A52DE"/>
    <w:rsid w:val="008A5524"/>
    <w:rsid w:val="008A56C7"/>
    <w:rsid w:val="008A59D4"/>
    <w:rsid w:val="008A5E43"/>
    <w:rsid w:val="008A5FD6"/>
    <w:rsid w:val="008A6195"/>
    <w:rsid w:val="008A647E"/>
    <w:rsid w:val="008A67A7"/>
    <w:rsid w:val="008A7184"/>
    <w:rsid w:val="008A71F5"/>
    <w:rsid w:val="008A778B"/>
    <w:rsid w:val="008A77F3"/>
    <w:rsid w:val="008A7C75"/>
    <w:rsid w:val="008B0000"/>
    <w:rsid w:val="008B018C"/>
    <w:rsid w:val="008B02F8"/>
    <w:rsid w:val="008B0F38"/>
    <w:rsid w:val="008B0F3D"/>
    <w:rsid w:val="008B0F78"/>
    <w:rsid w:val="008B11D8"/>
    <w:rsid w:val="008B1558"/>
    <w:rsid w:val="008B191E"/>
    <w:rsid w:val="008B1A29"/>
    <w:rsid w:val="008B1B48"/>
    <w:rsid w:val="008B1C3E"/>
    <w:rsid w:val="008B1CF7"/>
    <w:rsid w:val="008B1D69"/>
    <w:rsid w:val="008B2104"/>
    <w:rsid w:val="008B2252"/>
    <w:rsid w:val="008B254E"/>
    <w:rsid w:val="008B2655"/>
    <w:rsid w:val="008B27E8"/>
    <w:rsid w:val="008B2AFD"/>
    <w:rsid w:val="008B2C6A"/>
    <w:rsid w:val="008B2FF0"/>
    <w:rsid w:val="008B34A2"/>
    <w:rsid w:val="008B36A1"/>
    <w:rsid w:val="008B37A7"/>
    <w:rsid w:val="008B39C1"/>
    <w:rsid w:val="008B3D45"/>
    <w:rsid w:val="008B3E15"/>
    <w:rsid w:val="008B3F2C"/>
    <w:rsid w:val="008B403D"/>
    <w:rsid w:val="008B432F"/>
    <w:rsid w:val="008B4ADB"/>
    <w:rsid w:val="008B5120"/>
    <w:rsid w:val="008B5265"/>
    <w:rsid w:val="008B57A5"/>
    <w:rsid w:val="008B5903"/>
    <w:rsid w:val="008B59B6"/>
    <w:rsid w:val="008B5F49"/>
    <w:rsid w:val="008B5FD7"/>
    <w:rsid w:val="008B62FC"/>
    <w:rsid w:val="008B634A"/>
    <w:rsid w:val="008B6411"/>
    <w:rsid w:val="008B6598"/>
    <w:rsid w:val="008B67F5"/>
    <w:rsid w:val="008B68D0"/>
    <w:rsid w:val="008B6E2F"/>
    <w:rsid w:val="008B75F1"/>
    <w:rsid w:val="008B7B7F"/>
    <w:rsid w:val="008B7C99"/>
    <w:rsid w:val="008B7D02"/>
    <w:rsid w:val="008B7E53"/>
    <w:rsid w:val="008B7F8E"/>
    <w:rsid w:val="008C02CC"/>
    <w:rsid w:val="008C02EC"/>
    <w:rsid w:val="008C04D7"/>
    <w:rsid w:val="008C063A"/>
    <w:rsid w:val="008C0764"/>
    <w:rsid w:val="008C08D7"/>
    <w:rsid w:val="008C0B94"/>
    <w:rsid w:val="008C0E09"/>
    <w:rsid w:val="008C0F9F"/>
    <w:rsid w:val="008C130A"/>
    <w:rsid w:val="008C1721"/>
    <w:rsid w:val="008C1B02"/>
    <w:rsid w:val="008C1CC7"/>
    <w:rsid w:val="008C243C"/>
    <w:rsid w:val="008C2509"/>
    <w:rsid w:val="008C25C3"/>
    <w:rsid w:val="008C2A00"/>
    <w:rsid w:val="008C2ACA"/>
    <w:rsid w:val="008C2C4F"/>
    <w:rsid w:val="008C2D23"/>
    <w:rsid w:val="008C2F85"/>
    <w:rsid w:val="008C3FA6"/>
    <w:rsid w:val="008C412D"/>
    <w:rsid w:val="008C4516"/>
    <w:rsid w:val="008C454B"/>
    <w:rsid w:val="008C4836"/>
    <w:rsid w:val="008C4864"/>
    <w:rsid w:val="008C4A38"/>
    <w:rsid w:val="008C4A73"/>
    <w:rsid w:val="008C4B87"/>
    <w:rsid w:val="008C4CA6"/>
    <w:rsid w:val="008C5A03"/>
    <w:rsid w:val="008C5B6F"/>
    <w:rsid w:val="008C5F5F"/>
    <w:rsid w:val="008C6729"/>
    <w:rsid w:val="008C6773"/>
    <w:rsid w:val="008C6985"/>
    <w:rsid w:val="008C699F"/>
    <w:rsid w:val="008C6C74"/>
    <w:rsid w:val="008C6CF7"/>
    <w:rsid w:val="008C6D7B"/>
    <w:rsid w:val="008C7501"/>
    <w:rsid w:val="008C7723"/>
    <w:rsid w:val="008C788C"/>
    <w:rsid w:val="008C78FB"/>
    <w:rsid w:val="008C7B57"/>
    <w:rsid w:val="008C7F41"/>
    <w:rsid w:val="008C7F70"/>
    <w:rsid w:val="008D094A"/>
    <w:rsid w:val="008D0977"/>
    <w:rsid w:val="008D0AA3"/>
    <w:rsid w:val="008D0AA8"/>
    <w:rsid w:val="008D0FB9"/>
    <w:rsid w:val="008D0FC7"/>
    <w:rsid w:val="008D107D"/>
    <w:rsid w:val="008D1139"/>
    <w:rsid w:val="008D117B"/>
    <w:rsid w:val="008D16CF"/>
    <w:rsid w:val="008D1BFC"/>
    <w:rsid w:val="008D1C50"/>
    <w:rsid w:val="008D1D1C"/>
    <w:rsid w:val="008D23FE"/>
    <w:rsid w:val="008D27A1"/>
    <w:rsid w:val="008D28C2"/>
    <w:rsid w:val="008D2931"/>
    <w:rsid w:val="008D2CA1"/>
    <w:rsid w:val="008D2F60"/>
    <w:rsid w:val="008D345A"/>
    <w:rsid w:val="008D363D"/>
    <w:rsid w:val="008D41E9"/>
    <w:rsid w:val="008D42DB"/>
    <w:rsid w:val="008D43F2"/>
    <w:rsid w:val="008D45DE"/>
    <w:rsid w:val="008D4D08"/>
    <w:rsid w:val="008D4DE8"/>
    <w:rsid w:val="008D4E63"/>
    <w:rsid w:val="008D4E7F"/>
    <w:rsid w:val="008D50C0"/>
    <w:rsid w:val="008D55A1"/>
    <w:rsid w:val="008D5733"/>
    <w:rsid w:val="008D5CEB"/>
    <w:rsid w:val="008D5EA6"/>
    <w:rsid w:val="008D6362"/>
    <w:rsid w:val="008D6478"/>
    <w:rsid w:val="008D64FA"/>
    <w:rsid w:val="008D6727"/>
    <w:rsid w:val="008D6841"/>
    <w:rsid w:val="008D687C"/>
    <w:rsid w:val="008D6914"/>
    <w:rsid w:val="008D6EF7"/>
    <w:rsid w:val="008D78A8"/>
    <w:rsid w:val="008D7AB7"/>
    <w:rsid w:val="008D7B5F"/>
    <w:rsid w:val="008E004C"/>
    <w:rsid w:val="008E0079"/>
    <w:rsid w:val="008E023C"/>
    <w:rsid w:val="008E0283"/>
    <w:rsid w:val="008E032D"/>
    <w:rsid w:val="008E0492"/>
    <w:rsid w:val="008E076C"/>
    <w:rsid w:val="008E08D1"/>
    <w:rsid w:val="008E0A87"/>
    <w:rsid w:val="008E0B81"/>
    <w:rsid w:val="008E0CEB"/>
    <w:rsid w:val="008E0F01"/>
    <w:rsid w:val="008E1070"/>
    <w:rsid w:val="008E148D"/>
    <w:rsid w:val="008E14D7"/>
    <w:rsid w:val="008E14D9"/>
    <w:rsid w:val="008E1565"/>
    <w:rsid w:val="008E157F"/>
    <w:rsid w:val="008E15A2"/>
    <w:rsid w:val="008E16CB"/>
    <w:rsid w:val="008E195F"/>
    <w:rsid w:val="008E19E1"/>
    <w:rsid w:val="008E1BC0"/>
    <w:rsid w:val="008E1CB0"/>
    <w:rsid w:val="008E1DDA"/>
    <w:rsid w:val="008E2065"/>
    <w:rsid w:val="008E232B"/>
    <w:rsid w:val="008E25FB"/>
    <w:rsid w:val="008E2931"/>
    <w:rsid w:val="008E2AB1"/>
    <w:rsid w:val="008E2B2E"/>
    <w:rsid w:val="008E2EC9"/>
    <w:rsid w:val="008E37F1"/>
    <w:rsid w:val="008E3BCC"/>
    <w:rsid w:val="008E42DE"/>
    <w:rsid w:val="008E43D4"/>
    <w:rsid w:val="008E44A5"/>
    <w:rsid w:val="008E45E8"/>
    <w:rsid w:val="008E462F"/>
    <w:rsid w:val="008E4897"/>
    <w:rsid w:val="008E4F2A"/>
    <w:rsid w:val="008E4F6D"/>
    <w:rsid w:val="008E510D"/>
    <w:rsid w:val="008E539C"/>
    <w:rsid w:val="008E5438"/>
    <w:rsid w:val="008E5484"/>
    <w:rsid w:val="008E559C"/>
    <w:rsid w:val="008E56FE"/>
    <w:rsid w:val="008E5707"/>
    <w:rsid w:val="008E597C"/>
    <w:rsid w:val="008E5DC9"/>
    <w:rsid w:val="008E6065"/>
    <w:rsid w:val="008E6317"/>
    <w:rsid w:val="008E66D3"/>
    <w:rsid w:val="008E6AB1"/>
    <w:rsid w:val="008E6BA1"/>
    <w:rsid w:val="008E6BE6"/>
    <w:rsid w:val="008E6D2B"/>
    <w:rsid w:val="008E706F"/>
    <w:rsid w:val="008E70B7"/>
    <w:rsid w:val="008E7690"/>
    <w:rsid w:val="008E76BE"/>
    <w:rsid w:val="008F02F9"/>
    <w:rsid w:val="008F099B"/>
    <w:rsid w:val="008F0A4E"/>
    <w:rsid w:val="008F11BA"/>
    <w:rsid w:val="008F13D6"/>
    <w:rsid w:val="008F13F5"/>
    <w:rsid w:val="008F145D"/>
    <w:rsid w:val="008F1754"/>
    <w:rsid w:val="008F17A8"/>
    <w:rsid w:val="008F17D4"/>
    <w:rsid w:val="008F1908"/>
    <w:rsid w:val="008F1ACB"/>
    <w:rsid w:val="008F1C07"/>
    <w:rsid w:val="008F1E16"/>
    <w:rsid w:val="008F20FE"/>
    <w:rsid w:val="008F240F"/>
    <w:rsid w:val="008F2620"/>
    <w:rsid w:val="008F2875"/>
    <w:rsid w:val="008F299C"/>
    <w:rsid w:val="008F2D03"/>
    <w:rsid w:val="008F34B4"/>
    <w:rsid w:val="008F365D"/>
    <w:rsid w:val="008F3859"/>
    <w:rsid w:val="008F4235"/>
    <w:rsid w:val="008F457F"/>
    <w:rsid w:val="008F47F6"/>
    <w:rsid w:val="008F48B9"/>
    <w:rsid w:val="008F4D11"/>
    <w:rsid w:val="008F50BE"/>
    <w:rsid w:val="008F5AA0"/>
    <w:rsid w:val="008F5C34"/>
    <w:rsid w:val="008F5CEF"/>
    <w:rsid w:val="008F5E26"/>
    <w:rsid w:val="008F5F89"/>
    <w:rsid w:val="008F62BC"/>
    <w:rsid w:val="008F63B4"/>
    <w:rsid w:val="008F65E1"/>
    <w:rsid w:val="008F6B28"/>
    <w:rsid w:val="008F6DE2"/>
    <w:rsid w:val="008F6FBE"/>
    <w:rsid w:val="008F75BD"/>
    <w:rsid w:val="008F7CE1"/>
    <w:rsid w:val="0090007B"/>
    <w:rsid w:val="009001C5"/>
    <w:rsid w:val="009008CB"/>
    <w:rsid w:val="00900A75"/>
    <w:rsid w:val="0090137F"/>
    <w:rsid w:val="00901F5E"/>
    <w:rsid w:val="00902622"/>
    <w:rsid w:val="0090265D"/>
    <w:rsid w:val="0090273F"/>
    <w:rsid w:val="00902783"/>
    <w:rsid w:val="00903750"/>
    <w:rsid w:val="00903E9F"/>
    <w:rsid w:val="009041B7"/>
    <w:rsid w:val="009042FA"/>
    <w:rsid w:val="009045B3"/>
    <w:rsid w:val="00904619"/>
    <w:rsid w:val="00904780"/>
    <w:rsid w:val="00904826"/>
    <w:rsid w:val="009048F9"/>
    <w:rsid w:val="00904961"/>
    <w:rsid w:val="00904A45"/>
    <w:rsid w:val="00904BD3"/>
    <w:rsid w:val="00904BDE"/>
    <w:rsid w:val="00905175"/>
    <w:rsid w:val="00905225"/>
    <w:rsid w:val="009055FA"/>
    <w:rsid w:val="00905644"/>
    <w:rsid w:val="00905743"/>
    <w:rsid w:val="00905890"/>
    <w:rsid w:val="00905AAD"/>
    <w:rsid w:val="00905B42"/>
    <w:rsid w:val="00905CE1"/>
    <w:rsid w:val="00906082"/>
    <w:rsid w:val="009060AA"/>
    <w:rsid w:val="0090620D"/>
    <w:rsid w:val="009069CE"/>
    <w:rsid w:val="00906C59"/>
    <w:rsid w:val="00906D7E"/>
    <w:rsid w:val="00906ECB"/>
    <w:rsid w:val="009070B5"/>
    <w:rsid w:val="009072A1"/>
    <w:rsid w:val="00907361"/>
    <w:rsid w:val="0090779B"/>
    <w:rsid w:val="0090789C"/>
    <w:rsid w:val="00907BC4"/>
    <w:rsid w:val="00907BF3"/>
    <w:rsid w:val="00910175"/>
    <w:rsid w:val="0091031A"/>
    <w:rsid w:val="00910A31"/>
    <w:rsid w:val="00910ABB"/>
    <w:rsid w:val="00910B69"/>
    <w:rsid w:val="00910C04"/>
    <w:rsid w:val="00910F97"/>
    <w:rsid w:val="009112FF"/>
    <w:rsid w:val="00911BBC"/>
    <w:rsid w:val="00911C0C"/>
    <w:rsid w:val="00911C96"/>
    <w:rsid w:val="00911E9D"/>
    <w:rsid w:val="0091230D"/>
    <w:rsid w:val="0091237C"/>
    <w:rsid w:val="00912410"/>
    <w:rsid w:val="00912645"/>
    <w:rsid w:val="0091297E"/>
    <w:rsid w:val="00912C16"/>
    <w:rsid w:val="00912EC9"/>
    <w:rsid w:val="00913318"/>
    <w:rsid w:val="009133EC"/>
    <w:rsid w:val="009139F4"/>
    <w:rsid w:val="00913B8C"/>
    <w:rsid w:val="0091403B"/>
    <w:rsid w:val="0091486F"/>
    <w:rsid w:val="00914896"/>
    <w:rsid w:val="00914986"/>
    <w:rsid w:val="0091499A"/>
    <w:rsid w:val="00914B6D"/>
    <w:rsid w:val="00914FA9"/>
    <w:rsid w:val="009153BE"/>
    <w:rsid w:val="00915A0C"/>
    <w:rsid w:val="00915FBE"/>
    <w:rsid w:val="00916075"/>
    <w:rsid w:val="009164F1"/>
    <w:rsid w:val="00916595"/>
    <w:rsid w:val="00916EC3"/>
    <w:rsid w:val="00916F0D"/>
    <w:rsid w:val="009170A1"/>
    <w:rsid w:val="0091735F"/>
    <w:rsid w:val="009174D1"/>
    <w:rsid w:val="00917DAD"/>
    <w:rsid w:val="00917E55"/>
    <w:rsid w:val="0092042D"/>
    <w:rsid w:val="00920852"/>
    <w:rsid w:val="00921001"/>
    <w:rsid w:val="00921482"/>
    <w:rsid w:val="00921686"/>
    <w:rsid w:val="0092194C"/>
    <w:rsid w:val="00921953"/>
    <w:rsid w:val="009219B0"/>
    <w:rsid w:val="00921BCF"/>
    <w:rsid w:val="00921FA1"/>
    <w:rsid w:val="009220BC"/>
    <w:rsid w:val="0092214E"/>
    <w:rsid w:val="00922438"/>
    <w:rsid w:val="0092245B"/>
    <w:rsid w:val="009227EA"/>
    <w:rsid w:val="0092285B"/>
    <w:rsid w:val="009228DD"/>
    <w:rsid w:val="00922BE8"/>
    <w:rsid w:val="00922CAD"/>
    <w:rsid w:val="0092301F"/>
    <w:rsid w:val="00923BC7"/>
    <w:rsid w:val="00923DC1"/>
    <w:rsid w:val="00923E9C"/>
    <w:rsid w:val="00923EE0"/>
    <w:rsid w:val="0092493C"/>
    <w:rsid w:val="009249EC"/>
    <w:rsid w:val="0092539B"/>
    <w:rsid w:val="00925561"/>
    <w:rsid w:val="00925EA7"/>
    <w:rsid w:val="00925F20"/>
    <w:rsid w:val="0092624E"/>
    <w:rsid w:val="009262C5"/>
    <w:rsid w:val="0092630D"/>
    <w:rsid w:val="00926556"/>
    <w:rsid w:val="00926774"/>
    <w:rsid w:val="00926963"/>
    <w:rsid w:val="00926AD7"/>
    <w:rsid w:val="00926B18"/>
    <w:rsid w:val="00926FE0"/>
    <w:rsid w:val="00927109"/>
    <w:rsid w:val="00927556"/>
    <w:rsid w:val="00927891"/>
    <w:rsid w:val="00927CD0"/>
    <w:rsid w:val="00927DDF"/>
    <w:rsid w:val="00930D54"/>
    <w:rsid w:val="00930E55"/>
    <w:rsid w:val="009310DC"/>
    <w:rsid w:val="00931117"/>
    <w:rsid w:val="0093111D"/>
    <w:rsid w:val="0093129C"/>
    <w:rsid w:val="009318BF"/>
    <w:rsid w:val="009321E6"/>
    <w:rsid w:val="00932260"/>
    <w:rsid w:val="00932519"/>
    <w:rsid w:val="00932C60"/>
    <w:rsid w:val="009330BF"/>
    <w:rsid w:val="0093313B"/>
    <w:rsid w:val="00933213"/>
    <w:rsid w:val="00933464"/>
    <w:rsid w:val="0093378D"/>
    <w:rsid w:val="009338FB"/>
    <w:rsid w:val="00933C61"/>
    <w:rsid w:val="00933DC1"/>
    <w:rsid w:val="00933FA3"/>
    <w:rsid w:val="00934044"/>
    <w:rsid w:val="0093429A"/>
    <w:rsid w:val="009345E2"/>
    <w:rsid w:val="009347C2"/>
    <w:rsid w:val="00934937"/>
    <w:rsid w:val="00934D85"/>
    <w:rsid w:val="00935722"/>
    <w:rsid w:val="00935756"/>
    <w:rsid w:val="009359FA"/>
    <w:rsid w:val="00935AE6"/>
    <w:rsid w:val="00935D23"/>
    <w:rsid w:val="00935E1F"/>
    <w:rsid w:val="00935E95"/>
    <w:rsid w:val="00936183"/>
    <w:rsid w:val="009362A7"/>
    <w:rsid w:val="00936493"/>
    <w:rsid w:val="00936C88"/>
    <w:rsid w:val="00936FCA"/>
    <w:rsid w:val="0093706E"/>
    <w:rsid w:val="0093778B"/>
    <w:rsid w:val="00937A15"/>
    <w:rsid w:val="00937DC8"/>
    <w:rsid w:val="00940264"/>
    <w:rsid w:val="00940785"/>
    <w:rsid w:val="00940A8A"/>
    <w:rsid w:val="00940A9E"/>
    <w:rsid w:val="00940FCA"/>
    <w:rsid w:val="0094123C"/>
    <w:rsid w:val="0094161B"/>
    <w:rsid w:val="0094168D"/>
    <w:rsid w:val="00941AE0"/>
    <w:rsid w:val="00941E9F"/>
    <w:rsid w:val="00941F51"/>
    <w:rsid w:val="009423D2"/>
    <w:rsid w:val="00942454"/>
    <w:rsid w:val="00942547"/>
    <w:rsid w:val="009425D4"/>
    <w:rsid w:val="00942883"/>
    <w:rsid w:val="00942EAB"/>
    <w:rsid w:val="00942F04"/>
    <w:rsid w:val="00943161"/>
    <w:rsid w:val="00943407"/>
    <w:rsid w:val="00943803"/>
    <w:rsid w:val="009438A4"/>
    <w:rsid w:val="00943B4C"/>
    <w:rsid w:val="00943D42"/>
    <w:rsid w:val="00943EF3"/>
    <w:rsid w:val="00944061"/>
    <w:rsid w:val="0094429F"/>
    <w:rsid w:val="0094435D"/>
    <w:rsid w:val="00944554"/>
    <w:rsid w:val="00944698"/>
    <w:rsid w:val="0094476F"/>
    <w:rsid w:val="00944D7F"/>
    <w:rsid w:val="00944FC7"/>
    <w:rsid w:val="0094502C"/>
    <w:rsid w:val="00945262"/>
    <w:rsid w:val="00945263"/>
    <w:rsid w:val="00945809"/>
    <w:rsid w:val="0094596E"/>
    <w:rsid w:val="00945B59"/>
    <w:rsid w:val="00945D3E"/>
    <w:rsid w:val="00946132"/>
    <w:rsid w:val="009462C7"/>
    <w:rsid w:val="009464F5"/>
    <w:rsid w:val="00946617"/>
    <w:rsid w:val="00946622"/>
    <w:rsid w:val="009468F8"/>
    <w:rsid w:val="00946A1D"/>
    <w:rsid w:val="00946A5C"/>
    <w:rsid w:val="00946BA1"/>
    <w:rsid w:val="00946DB6"/>
    <w:rsid w:val="00946E1D"/>
    <w:rsid w:val="00946E24"/>
    <w:rsid w:val="00946E61"/>
    <w:rsid w:val="00946EB7"/>
    <w:rsid w:val="00947460"/>
    <w:rsid w:val="009474AD"/>
    <w:rsid w:val="009475FD"/>
    <w:rsid w:val="009478C2"/>
    <w:rsid w:val="0094795D"/>
    <w:rsid w:val="00947B35"/>
    <w:rsid w:val="00947B43"/>
    <w:rsid w:val="009500A0"/>
    <w:rsid w:val="00950596"/>
    <w:rsid w:val="00950728"/>
    <w:rsid w:val="00950FF5"/>
    <w:rsid w:val="00951158"/>
    <w:rsid w:val="0095115E"/>
    <w:rsid w:val="00951A78"/>
    <w:rsid w:val="00951C90"/>
    <w:rsid w:val="009520EC"/>
    <w:rsid w:val="009522E9"/>
    <w:rsid w:val="00953085"/>
    <w:rsid w:val="009530CD"/>
    <w:rsid w:val="009533C2"/>
    <w:rsid w:val="00953671"/>
    <w:rsid w:val="00953A24"/>
    <w:rsid w:val="00953DFF"/>
    <w:rsid w:val="00954036"/>
    <w:rsid w:val="009541CB"/>
    <w:rsid w:val="009547D4"/>
    <w:rsid w:val="00954BD3"/>
    <w:rsid w:val="00954CA1"/>
    <w:rsid w:val="00954CB6"/>
    <w:rsid w:val="00954EF8"/>
    <w:rsid w:val="00955035"/>
    <w:rsid w:val="00955155"/>
    <w:rsid w:val="00955531"/>
    <w:rsid w:val="0095565C"/>
    <w:rsid w:val="009558E1"/>
    <w:rsid w:val="00955A2C"/>
    <w:rsid w:val="00955A53"/>
    <w:rsid w:val="00955A8C"/>
    <w:rsid w:val="00955B6E"/>
    <w:rsid w:val="0095611A"/>
    <w:rsid w:val="009563D3"/>
    <w:rsid w:val="009564DC"/>
    <w:rsid w:val="00956609"/>
    <w:rsid w:val="00956705"/>
    <w:rsid w:val="0095686C"/>
    <w:rsid w:val="009568C4"/>
    <w:rsid w:val="00956CBE"/>
    <w:rsid w:val="00956DD6"/>
    <w:rsid w:val="00956EB5"/>
    <w:rsid w:val="00957416"/>
    <w:rsid w:val="00957428"/>
    <w:rsid w:val="00957586"/>
    <w:rsid w:val="0095766F"/>
    <w:rsid w:val="009576BC"/>
    <w:rsid w:val="009577FC"/>
    <w:rsid w:val="00960131"/>
    <w:rsid w:val="009602DF"/>
    <w:rsid w:val="00960332"/>
    <w:rsid w:val="009604A7"/>
    <w:rsid w:val="00960621"/>
    <w:rsid w:val="009607CF"/>
    <w:rsid w:val="00960B02"/>
    <w:rsid w:val="00960E43"/>
    <w:rsid w:val="009611CD"/>
    <w:rsid w:val="0096135A"/>
    <w:rsid w:val="009615F9"/>
    <w:rsid w:val="009619ED"/>
    <w:rsid w:val="00961BEF"/>
    <w:rsid w:val="009621AA"/>
    <w:rsid w:val="00962233"/>
    <w:rsid w:val="0096247F"/>
    <w:rsid w:val="009625A8"/>
    <w:rsid w:val="00962C9B"/>
    <w:rsid w:val="00962D26"/>
    <w:rsid w:val="00962D8F"/>
    <w:rsid w:val="00962F3D"/>
    <w:rsid w:val="00962F7C"/>
    <w:rsid w:val="0096304A"/>
    <w:rsid w:val="009636EF"/>
    <w:rsid w:val="00963B75"/>
    <w:rsid w:val="00963C32"/>
    <w:rsid w:val="00963F59"/>
    <w:rsid w:val="00964707"/>
    <w:rsid w:val="009649F6"/>
    <w:rsid w:val="00964E04"/>
    <w:rsid w:val="009650DC"/>
    <w:rsid w:val="009653D3"/>
    <w:rsid w:val="00965507"/>
    <w:rsid w:val="00965638"/>
    <w:rsid w:val="00965B45"/>
    <w:rsid w:val="00965CD7"/>
    <w:rsid w:val="00965E02"/>
    <w:rsid w:val="0096654C"/>
    <w:rsid w:val="00966769"/>
    <w:rsid w:val="00966794"/>
    <w:rsid w:val="00966F84"/>
    <w:rsid w:val="009670A8"/>
    <w:rsid w:val="00967145"/>
    <w:rsid w:val="0096721D"/>
    <w:rsid w:val="009672F2"/>
    <w:rsid w:val="0096754C"/>
    <w:rsid w:val="00967DB8"/>
    <w:rsid w:val="00967E23"/>
    <w:rsid w:val="00967F52"/>
    <w:rsid w:val="00970F27"/>
    <w:rsid w:val="0097104C"/>
    <w:rsid w:val="00971052"/>
    <w:rsid w:val="0097130D"/>
    <w:rsid w:val="0097170D"/>
    <w:rsid w:val="00971E97"/>
    <w:rsid w:val="009721C8"/>
    <w:rsid w:val="0097251A"/>
    <w:rsid w:val="00972B27"/>
    <w:rsid w:val="00972E01"/>
    <w:rsid w:val="00973272"/>
    <w:rsid w:val="0097329F"/>
    <w:rsid w:val="009732ED"/>
    <w:rsid w:val="009734CE"/>
    <w:rsid w:val="009737AB"/>
    <w:rsid w:val="00973837"/>
    <w:rsid w:val="00973D2C"/>
    <w:rsid w:val="00974065"/>
    <w:rsid w:val="00974138"/>
    <w:rsid w:val="0097423A"/>
    <w:rsid w:val="009747E3"/>
    <w:rsid w:val="009749F0"/>
    <w:rsid w:val="00974A2B"/>
    <w:rsid w:val="00974C4A"/>
    <w:rsid w:val="00974C99"/>
    <w:rsid w:val="00975148"/>
    <w:rsid w:val="0097522C"/>
    <w:rsid w:val="009756E8"/>
    <w:rsid w:val="009757C4"/>
    <w:rsid w:val="00975A00"/>
    <w:rsid w:val="00975B75"/>
    <w:rsid w:val="00975BD3"/>
    <w:rsid w:val="00975DA8"/>
    <w:rsid w:val="00976547"/>
    <w:rsid w:val="009765D2"/>
    <w:rsid w:val="00976748"/>
    <w:rsid w:val="00976827"/>
    <w:rsid w:val="009773C5"/>
    <w:rsid w:val="00977447"/>
    <w:rsid w:val="009774BB"/>
    <w:rsid w:val="009777AE"/>
    <w:rsid w:val="009777D2"/>
    <w:rsid w:val="00977A08"/>
    <w:rsid w:val="00977E27"/>
    <w:rsid w:val="00977EA1"/>
    <w:rsid w:val="0098000D"/>
    <w:rsid w:val="00980237"/>
    <w:rsid w:val="0098041B"/>
    <w:rsid w:val="009807DA"/>
    <w:rsid w:val="00980E66"/>
    <w:rsid w:val="00981291"/>
    <w:rsid w:val="00981635"/>
    <w:rsid w:val="009822C0"/>
    <w:rsid w:val="009823A0"/>
    <w:rsid w:val="009826BC"/>
    <w:rsid w:val="009826FF"/>
    <w:rsid w:val="009827E7"/>
    <w:rsid w:val="00982967"/>
    <w:rsid w:val="00982A35"/>
    <w:rsid w:val="00982C9B"/>
    <w:rsid w:val="00982DA9"/>
    <w:rsid w:val="00982EA1"/>
    <w:rsid w:val="00983669"/>
    <w:rsid w:val="009838A8"/>
    <w:rsid w:val="00983D2F"/>
    <w:rsid w:val="009853C5"/>
    <w:rsid w:val="00985573"/>
    <w:rsid w:val="009855D6"/>
    <w:rsid w:val="009857ED"/>
    <w:rsid w:val="00985813"/>
    <w:rsid w:val="0098587A"/>
    <w:rsid w:val="00985912"/>
    <w:rsid w:val="00985AEB"/>
    <w:rsid w:val="00986B91"/>
    <w:rsid w:val="00986BFF"/>
    <w:rsid w:val="00986C0C"/>
    <w:rsid w:val="00986E7B"/>
    <w:rsid w:val="009872A0"/>
    <w:rsid w:val="00987524"/>
    <w:rsid w:val="00987526"/>
    <w:rsid w:val="009876D1"/>
    <w:rsid w:val="0098798E"/>
    <w:rsid w:val="00987B02"/>
    <w:rsid w:val="00987BA0"/>
    <w:rsid w:val="009904C1"/>
    <w:rsid w:val="00990C51"/>
    <w:rsid w:val="00990E17"/>
    <w:rsid w:val="00990ECB"/>
    <w:rsid w:val="0099100E"/>
    <w:rsid w:val="009911D2"/>
    <w:rsid w:val="00991554"/>
    <w:rsid w:val="009917E8"/>
    <w:rsid w:val="00991852"/>
    <w:rsid w:val="00992642"/>
    <w:rsid w:val="009927DD"/>
    <w:rsid w:val="00992898"/>
    <w:rsid w:val="00992DE6"/>
    <w:rsid w:val="00992EDB"/>
    <w:rsid w:val="00992F5C"/>
    <w:rsid w:val="00993202"/>
    <w:rsid w:val="0099365E"/>
    <w:rsid w:val="00993A22"/>
    <w:rsid w:val="00993A6A"/>
    <w:rsid w:val="00993A9C"/>
    <w:rsid w:val="00994079"/>
    <w:rsid w:val="0099409A"/>
    <w:rsid w:val="00994842"/>
    <w:rsid w:val="009949F8"/>
    <w:rsid w:val="00994C75"/>
    <w:rsid w:val="00994FFE"/>
    <w:rsid w:val="0099539A"/>
    <w:rsid w:val="009958FD"/>
    <w:rsid w:val="00996206"/>
    <w:rsid w:val="00996583"/>
    <w:rsid w:val="00996776"/>
    <w:rsid w:val="0099694C"/>
    <w:rsid w:val="00996DAF"/>
    <w:rsid w:val="00996F02"/>
    <w:rsid w:val="00996F2A"/>
    <w:rsid w:val="0099773A"/>
    <w:rsid w:val="009977A3"/>
    <w:rsid w:val="009977FF"/>
    <w:rsid w:val="00997A7C"/>
    <w:rsid w:val="00997B95"/>
    <w:rsid w:val="00997EF0"/>
    <w:rsid w:val="009A0303"/>
    <w:rsid w:val="009A0392"/>
    <w:rsid w:val="009A044C"/>
    <w:rsid w:val="009A05F9"/>
    <w:rsid w:val="009A0744"/>
    <w:rsid w:val="009A085C"/>
    <w:rsid w:val="009A08F6"/>
    <w:rsid w:val="009A0DFD"/>
    <w:rsid w:val="009A0F38"/>
    <w:rsid w:val="009A1527"/>
    <w:rsid w:val="009A15B4"/>
    <w:rsid w:val="009A1E3B"/>
    <w:rsid w:val="009A1E8E"/>
    <w:rsid w:val="009A1FA7"/>
    <w:rsid w:val="009A2891"/>
    <w:rsid w:val="009A3168"/>
    <w:rsid w:val="009A3583"/>
    <w:rsid w:val="009A3B38"/>
    <w:rsid w:val="009A3D3E"/>
    <w:rsid w:val="009A415E"/>
    <w:rsid w:val="009A4413"/>
    <w:rsid w:val="009A448B"/>
    <w:rsid w:val="009A4E18"/>
    <w:rsid w:val="009A4F9E"/>
    <w:rsid w:val="009A543C"/>
    <w:rsid w:val="009A600D"/>
    <w:rsid w:val="009A641A"/>
    <w:rsid w:val="009A6DBD"/>
    <w:rsid w:val="009A6FAC"/>
    <w:rsid w:val="009A6FE9"/>
    <w:rsid w:val="009A70B0"/>
    <w:rsid w:val="009A7253"/>
    <w:rsid w:val="009A75D5"/>
    <w:rsid w:val="009A7F13"/>
    <w:rsid w:val="009B0148"/>
    <w:rsid w:val="009B0256"/>
    <w:rsid w:val="009B062E"/>
    <w:rsid w:val="009B0B53"/>
    <w:rsid w:val="009B0CA1"/>
    <w:rsid w:val="009B0D58"/>
    <w:rsid w:val="009B14D4"/>
    <w:rsid w:val="009B1822"/>
    <w:rsid w:val="009B1889"/>
    <w:rsid w:val="009B1CE8"/>
    <w:rsid w:val="009B1D72"/>
    <w:rsid w:val="009B2127"/>
    <w:rsid w:val="009B2140"/>
    <w:rsid w:val="009B219A"/>
    <w:rsid w:val="009B23D1"/>
    <w:rsid w:val="009B24B3"/>
    <w:rsid w:val="009B25BA"/>
    <w:rsid w:val="009B25E7"/>
    <w:rsid w:val="009B2ABA"/>
    <w:rsid w:val="009B2CBC"/>
    <w:rsid w:val="009B2DD4"/>
    <w:rsid w:val="009B34F3"/>
    <w:rsid w:val="009B3586"/>
    <w:rsid w:val="009B36C1"/>
    <w:rsid w:val="009B3A6B"/>
    <w:rsid w:val="009B3B04"/>
    <w:rsid w:val="009B4058"/>
    <w:rsid w:val="009B4112"/>
    <w:rsid w:val="009B4151"/>
    <w:rsid w:val="009B4186"/>
    <w:rsid w:val="009B41E3"/>
    <w:rsid w:val="009B4499"/>
    <w:rsid w:val="009B486D"/>
    <w:rsid w:val="009B49FF"/>
    <w:rsid w:val="009B5419"/>
    <w:rsid w:val="009B54E2"/>
    <w:rsid w:val="009B555B"/>
    <w:rsid w:val="009B5610"/>
    <w:rsid w:val="009B5691"/>
    <w:rsid w:val="009B5A45"/>
    <w:rsid w:val="009B5CEC"/>
    <w:rsid w:val="009B5E7B"/>
    <w:rsid w:val="009B615B"/>
    <w:rsid w:val="009B6284"/>
    <w:rsid w:val="009B62F1"/>
    <w:rsid w:val="009B635B"/>
    <w:rsid w:val="009B642E"/>
    <w:rsid w:val="009B6736"/>
    <w:rsid w:val="009B6CBB"/>
    <w:rsid w:val="009B71F3"/>
    <w:rsid w:val="009B72C6"/>
    <w:rsid w:val="009B77F9"/>
    <w:rsid w:val="009C0001"/>
    <w:rsid w:val="009C004B"/>
    <w:rsid w:val="009C05D9"/>
    <w:rsid w:val="009C08F7"/>
    <w:rsid w:val="009C0908"/>
    <w:rsid w:val="009C0BC4"/>
    <w:rsid w:val="009C14D3"/>
    <w:rsid w:val="009C1D64"/>
    <w:rsid w:val="009C1EB5"/>
    <w:rsid w:val="009C2034"/>
    <w:rsid w:val="009C223C"/>
    <w:rsid w:val="009C2535"/>
    <w:rsid w:val="009C25E1"/>
    <w:rsid w:val="009C2E16"/>
    <w:rsid w:val="009C3171"/>
    <w:rsid w:val="009C352A"/>
    <w:rsid w:val="009C37A2"/>
    <w:rsid w:val="009C38BB"/>
    <w:rsid w:val="009C40D5"/>
    <w:rsid w:val="009C44D1"/>
    <w:rsid w:val="009C46B5"/>
    <w:rsid w:val="009C49B3"/>
    <w:rsid w:val="009C4A34"/>
    <w:rsid w:val="009C4C20"/>
    <w:rsid w:val="009C4E01"/>
    <w:rsid w:val="009C4FD5"/>
    <w:rsid w:val="009C50E7"/>
    <w:rsid w:val="009C5733"/>
    <w:rsid w:val="009C5B7D"/>
    <w:rsid w:val="009C5CD8"/>
    <w:rsid w:val="009C5F1A"/>
    <w:rsid w:val="009C5FF8"/>
    <w:rsid w:val="009C5FFE"/>
    <w:rsid w:val="009C6563"/>
    <w:rsid w:val="009C6859"/>
    <w:rsid w:val="009C6865"/>
    <w:rsid w:val="009C68C4"/>
    <w:rsid w:val="009C6B03"/>
    <w:rsid w:val="009C6BC8"/>
    <w:rsid w:val="009C6CA4"/>
    <w:rsid w:val="009C6E23"/>
    <w:rsid w:val="009C71F3"/>
    <w:rsid w:val="009C74E2"/>
    <w:rsid w:val="009C7516"/>
    <w:rsid w:val="009C7936"/>
    <w:rsid w:val="009C7E5E"/>
    <w:rsid w:val="009C7F10"/>
    <w:rsid w:val="009D0152"/>
    <w:rsid w:val="009D02BF"/>
    <w:rsid w:val="009D0881"/>
    <w:rsid w:val="009D0938"/>
    <w:rsid w:val="009D09B7"/>
    <w:rsid w:val="009D1050"/>
    <w:rsid w:val="009D1507"/>
    <w:rsid w:val="009D1894"/>
    <w:rsid w:val="009D1C54"/>
    <w:rsid w:val="009D1DBD"/>
    <w:rsid w:val="009D1DE4"/>
    <w:rsid w:val="009D206F"/>
    <w:rsid w:val="009D2143"/>
    <w:rsid w:val="009D234F"/>
    <w:rsid w:val="009D262B"/>
    <w:rsid w:val="009D2B3F"/>
    <w:rsid w:val="009D2CB8"/>
    <w:rsid w:val="009D2F3D"/>
    <w:rsid w:val="009D3088"/>
    <w:rsid w:val="009D3189"/>
    <w:rsid w:val="009D3261"/>
    <w:rsid w:val="009D3910"/>
    <w:rsid w:val="009D3C0C"/>
    <w:rsid w:val="009D3C8E"/>
    <w:rsid w:val="009D3E7F"/>
    <w:rsid w:val="009D3F97"/>
    <w:rsid w:val="009D426E"/>
    <w:rsid w:val="009D42F8"/>
    <w:rsid w:val="009D454E"/>
    <w:rsid w:val="009D4899"/>
    <w:rsid w:val="009D4965"/>
    <w:rsid w:val="009D4DB2"/>
    <w:rsid w:val="009D4F46"/>
    <w:rsid w:val="009D52EF"/>
    <w:rsid w:val="009D534B"/>
    <w:rsid w:val="009D5742"/>
    <w:rsid w:val="009D57AF"/>
    <w:rsid w:val="009D59CD"/>
    <w:rsid w:val="009D5C89"/>
    <w:rsid w:val="009D60D8"/>
    <w:rsid w:val="009D6331"/>
    <w:rsid w:val="009D6F36"/>
    <w:rsid w:val="009D721D"/>
    <w:rsid w:val="009D77BC"/>
    <w:rsid w:val="009D7872"/>
    <w:rsid w:val="009D79DA"/>
    <w:rsid w:val="009D7CCB"/>
    <w:rsid w:val="009D7DE1"/>
    <w:rsid w:val="009E018A"/>
    <w:rsid w:val="009E0875"/>
    <w:rsid w:val="009E0BB2"/>
    <w:rsid w:val="009E0E91"/>
    <w:rsid w:val="009E0EB5"/>
    <w:rsid w:val="009E0F14"/>
    <w:rsid w:val="009E0F9B"/>
    <w:rsid w:val="009E11D6"/>
    <w:rsid w:val="009E13F0"/>
    <w:rsid w:val="009E14F4"/>
    <w:rsid w:val="009E1841"/>
    <w:rsid w:val="009E1A0F"/>
    <w:rsid w:val="009E1B42"/>
    <w:rsid w:val="009E2171"/>
    <w:rsid w:val="009E2321"/>
    <w:rsid w:val="009E234D"/>
    <w:rsid w:val="009E24D5"/>
    <w:rsid w:val="009E27C3"/>
    <w:rsid w:val="009E29E7"/>
    <w:rsid w:val="009E2B12"/>
    <w:rsid w:val="009E2E70"/>
    <w:rsid w:val="009E2F62"/>
    <w:rsid w:val="009E2FEE"/>
    <w:rsid w:val="009E3164"/>
    <w:rsid w:val="009E322B"/>
    <w:rsid w:val="009E3281"/>
    <w:rsid w:val="009E3D2E"/>
    <w:rsid w:val="009E3F08"/>
    <w:rsid w:val="009E4C05"/>
    <w:rsid w:val="009E5AF3"/>
    <w:rsid w:val="009E5BA6"/>
    <w:rsid w:val="009E5F4E"/>
    <w:rsid w:val="009E5FFD"/>
    <w:rsid w:val="009E60A9"/>
    <w:rsid w:val="009E63F6"/>
    <w:rsid w:val="009E6607"/>
    <w:rsid w:val="009E665A"/>
    <w:rsid w:val="009E67CB"/>
    <w:rsid w:val="009E68A2"/>
    <w:rsid w:val="009E6D12"/>
    <w:rsid w:val="009E7011"/>
    <w:rsid w:val="009E74FE"/>
    <w:rsid w:val="009E75B5"/>
    <w:rsid w:val="009E787E"/>
    <w:rsid w:val="009E7B1B"/>
    <w:rsid w:val="009E7BCB"/>
    <w:rsid w:val="009E7CB7"/>
    <w:rsid w:val="009E7FEF"/>
    <w:rsid w:val="009F00BB"/>
    <w:rsid w:val="009F00D5"/>
    <w:rsid w:val="009F01A1"/>
    <w:rsid w:val="009F0697"/>
    <w:rsid w:val="009F09C1"/>
    <w:rsid w:val="009F0DFA"/>
    <w:rsid w:val="009F13AD"/>
    <w:rsid w:val="009F1440"/>
    <w:rsid w:val="009F15DD"/>
    <w:rsid w:val="009F1690"/>
    <w:rsid w:val="009F172C"/>
    <w:rsid w:val="009F1E01"/>
    <w:rsid w:val="009F1E29"/>
    <w:rsid w:val="009F2045"/>
    <w:rsid w:val="009F214F"/>
    <w:rsid w:val="009F2640"/>
    <w:rsid w:val="009F26DB"/>
    <w:rsid w:val="009F294D"/>
    <w:rsid w:val="009F2A13"/>
    <w:rsid w:val="009F2CD7"/>
    <w:rsid w:val="009F3152"/>
    <w:rsid w:val="009F32C9"/>
    <w:rsid w:val="009F36C2"/>
    <w:rsid w:val="009F37F9"/>
    <w:rsid w:val="009F380B"/>
    <w:rsid w:val="009F3AC9"/>
    <w:rsid w:val="009F41B6"/>
    <w:rsid w:val="009F48EF"/>
    <w:rsid w:val="009F4E18"/>
    <w:rsid w:val="009F50CB"/>
    <w:rsid w:val="009F5B5A"/>
    <w:rsid w:val="009F5EA9"/>
    <w:rsid w:val="009F5FEC"/>
    <w:rsid w:val="009F62B8"/>
    <w:rsid w:val="009F6718"/>
    <w:rsid w:val="009F6AD1"/>
    <w:rsid w:val="009F6E5C"/>
    <w:rsid w:val="009F703D"/>
    <w:rsid w:val="009F786C"/>
    <w:rsid w:val="009F7B57"/>
    <w:rsid w:val="009F7E82"/>
    <w:rsid w:val="00A00245"/>
    <w:rsid w:val="00A00280"/>
    <w:rsid w:val="00A006D2"/>
    <w:rsid w:val="00A00AC6"/>
    <w:rsid w:val="00A00B1F"/>
    <w:rsid w:val="00A00ED4"/>
    <w:rsid w:val="00A0106C"/>
    <w:rsid w:val="00A01089"/>
    <w:rsid w:val="00A0163C"/>
    <w:rsid w:val="00A0171A"/>
    <w:rsid w:val="00A017AD"/>
    <w:rsid w:val="00A0191A"/>
    <w:rsid w:val="00A01BA2"/>
    <w:rsid w:val="00A01C8A"/>
    <w:rsid w:val="00A01D8D"/>
    <w:rsid w:val="00A01E5D"/>
    <w:rsid w:val="00A0266C"/>
    <w:rsid w:val="00A02737"/>
    <w:rsid w:val="00A02FB6"/>
    <w:rsid w:val="00A031E4"/>
    <w:rsid w:val="00A0328F"/>
    <w:rsid w:val="00A03AB0"/>
    <w:rsid w:val="00A03EC1"/>
    <w:rsid w:val="00A04221"/>
    <w:rsid w:val="00A04B28"/>
    <w:rsid w:val="00A04E30"/>
    <w:rsid w:val="00A054A5"/>
    <w:rsid w:val="00A059A0"/>
    <w:rsid w:val="00A05A39"/>
    <w:rsid w:val="00A05C5A"/>
    <w:rsid w:val="00A05D6E"/>
    <w:rsid w:val="00A05E6C"/>
    <w:rsid w:val="00A05EB5"/>
    <w:rsid w:val="00A05EE7"/>
    <w:rsid w:val="00A05FE5"/>
    <w:rsid w:val="00A05FE9"/>
    <w:rsid w:val="00A0611B"/>
    <w:rsid w:val="00A06A13"/>
    <w:rsid w:val="00A06D09"/>
    <w:rsid w:val="00A06D9A"/>
    <w:rsid w:val="00A06F66"/>
    <w:rsid w:val="00A07310"/>
    <w:rsid w:val="00A07C4D"/>
    <w:rsid w:val="00A07C6A"/>
    <w:rsid w:val="00A07CC7"/>
    <w:rsid w:val="00A107D7"/>
    <w:rsid w:val="00A10992"/>
    <w:rsid w:val="00A10E3A"/>
    <w:rsid w:val="00A11129"/>
    <w:rsid w:val="00A11516"/>
    <w:rsid w:val="00A116F2"/>
    <w:rsid w:val="00A120D8"/>
    <w:rsid w:val="00A12128"/>
    <w:rsid w:val="00A1238D"/>
    <w:rsid w:val="00A1260B"/>
    <w:rsid w:val="00A127A6"/>
    <w:rsid w:val="00A127BA"/>
    <w:rsid w:val="00A12914"/>
    <w:rsid w:val="00A1292B"/>
    <w:rsid w:val="00A12A2F"/>
    <w:rsid w:val="00A12BA9"/>
    <w:rsid w:val="00A12BAB"/>
    <w:rsid w:val="00A12E62"/>
    <w:rsid w:val="00A12E8E"/>
    <w:rsid w:val="00A135D4"/>
    <w:rsid w:val="00A13863"/>
    <w:rsid w:val="00A13A1A"/>
    <w:rsid w:val="00A13BE6"/>
    <w:rsid w:val="00A13CC2"/>
    <w:rsid w:val="00A1460C"/>
    <w:rsid w:val="00A1461C"/>
    <w:rsid w:val="00A14B43"/>
    <w:rsid w:val="00A15083"/>
    <w:rsid w:val="00A15265"/>
    <w:rsid w:val="00A1542B"/>
    <w:rsid w:val="00A1569D"/>
    <w:rsid w:val="00A156EA"/>
    <w:rsid w:val="00A157DC"/>
    <w:rsid w:val="00A15B04"/>
    <w:rsid w:val="00A1607D"/>
    <w:rsid w:val="00A161CD"/>
    <w:rsid w:val="00A16393"/>
    <w:rsid w:val="00A1684D"/>
    <w:rsid w:val="00A16987"/>
    <w:rsid w:val="00A16D9B"/>
    <w:rsid w:val="00A173D6"/>
    <w:rsid w:val="00A175A1"/>
    <w:rsid w:val="00A17629"/>
    <w:rsid w:val="00A17AF9"/>
    <w:rsid w:val="00A20594"/>
    <w:rsid w:val="00A210C5"/>
    <w:rsid w:val="00A2171E"/>
    <w:rsid w:val="00A21BFA"/>
    <w:rsid w:val="00A21D21"/>
    <w:rsid w:val="00A22618"/>
    <w:rsid w:val="00A22B50"/>
    <w:rsid w:val="00A22E69"/>
    <w:rsid w:val="00A23157"/>
    <w:rsid w:val="00A232E9"/>
    <w:rsid w:val="00A23632"/>
    <w:rsid w:val="00A23702"/>
    <w:rsid w:val="00A2373A"/>
    <w:rsid w:val="00A238E4"/>
    <w:rsid w:val="00A23A7A"/>
    <w:rsid w:val="00A23F79"/>
    <w:rsid w:val="00A2413B"/>
    <w:rsid w:val="00A24836"/>
    <w:rsid w:val="00A24844"/>
    <w:rsid w:val="00A24A14"/>
    <w:rsid w:val="00A24A5B"/>
    <w:rsid w:val="00A24B41"/>
    <w:rsid w:val="00A25121"/>
    <w:rsid w:val="00A252F6"/>
    <w:rsid w:val="00A25312"/>
    <w:rsid w:val="00A25518"/>
    <w:rsid w:val="00A25D3F"/>
    <w:rsid w:val="00A26234"/>
    <w:rsid w:val="00A2626F"/>
    <w:rsid w:val="00A26530"/>
    <w:rsid w:val="00A26B6F"/>
    <w:rsid w:val="00A26ED2"/>
    <w:rsid w:val="00A27009"/>
    <w:rsid w:val="00A27220"/>
    <w:rsid w:val="00A27791"/>
    <w:rsid w:val="00A2797E"/>
    <w:rsid w:val="00A27B5D"/>
    <w:rsid w:val="00A27D0B"/>
    <w:rsid w:val="00A30058"/>
    <w:rsid w:val="00A3027B"/>
    <w:rsid w:val="00A3074F"/>
    <w:rsid w:val="00A3076B"/>
    <w:rsid w:val="00A3096E"/>
    <w:rsid w:val="00A30ADC"/>
    <w:rsid w:val="00A30D07"/>
    <w:rsid w:val="00A31023"/>
    <w:rsid w:val="00A31382"/>
    <w:rsid w:val="00A31B35"/>
    <w:rsid w:val="00A31B79"/>
    <w:rsid w:val="00A3211C"/>
    <w:rsid w:val="00A3253F"/>
    <w:rsid w:val="00A32944"/>
    <w:rsid w:val="00A32C5B"/>
    <w:rsid w:val="00A32CC6"/>
    <w:rsid w:val="00A33138"/>
    <w:rsid w:val="00A331C1"/>
    <w:rsid w:val="00A33890"/>
    <w:rsid w:val="00A338AF"/>
    <w:rsid w:val="00A33C0D"/>
    <w:rsid w:val="00A3438F"/>
    <w:rsid w:val="00A346B9"/>
    <w:rsid w:val="00A34858"/>
    <w:rsid w:val="00A34B03"/>
    <w:rsid w:val="00A34BF9"/>
    <w:rsid w:val="00A3521F"/>
    <w:rsid w:val="00A352B3"/>
    <w:rsid w:val="00A3541A"/>
    <w:rsid w:val="00A3544B"/>
    <w:rsid w:val="00A35719"/>
    <w:rsid w:val="00A36898"/>
    <w:rsid w:val="00A36AB6"/>
    <w:rsid w:val="00A37019"/>
    <w:rsid w:val="00A370D5"/>
    <w:rsid w:val="00A372E4"/>
    <w:rsid w:val="00A3766A"/>
    <w:rsid w:val="00A37A13"/>
    <w:rsid w:val="00A37A8D"/>
    <w:rsid w:val="00A40530"/>
    <w:rsid w:val="00A40599"/>
    <w:rsid w:val="00A406C9"/>
    <w:rsid w:val="00A40F4B"/>
    <w:rsid w:val="00A41062"/>
    <w:rsid w:val="00A410B9"/>
    <w:rsid w:val="00A41506"/>
    <w:rsid w:val="00A41ACC"/>
    <w:rsid w:val="00A42015"/>
    <w:rsid w:val="00A42102"/>
    <w:rsid w:val="00A42236"/>
    <w:rsid w:val="00A427EC"/>
    <w:rsid w:val="00A42F69"/>
    <w:rsid w:val="00A436CC"/>
    <w:rsid w:val="00A43937"/>
    <w:rsid w:val="00A43A9E"/>
    <w:rsid w:val="00A43F6A"/>
    <w:rsid w:val="00A442BB"/>
    <w:rsid w:val="00A44424"/>
    <w:rsid w:val="00A44564"/>
    <w:rsid w:val="00A44A63"/>
    <w:rsid w:val="00A44CF2"/>
    <w:rsid w:val="00A44D79"/>
    <w:rsid w:val="00A45049"/>
    <w:rsid w:val="00A45081"/>
    <w:rsid w:val="00A45363"/>
    <w:rsid w:val="00A4539F"/>
    <w:rsid w:val="00A453DE"/>
    <w:rsid w:val="00A456E5"/>
    <w:rsid w:val="00A45E40"/>
    <w:rsid w:val="00A45EF2"/>
    <w:rsid w:val="00A45FB4"/>
    <w:rsid w:val="00A462C8"/>
    <w:rsid w:val="00A462D0"/>
    <w:rsid w:val="00A464DC"/>
    <w:rsid w:val="00A465F5"/>
    <w:rsid w:val="00A46913"/>
    <w:rsid w:val="00A46DEE"/>
    <w:rsid w:val="00A46F22"/>
    <w:rsid w:val="00A476A8"/>
    <w:rsid w:val="00A479F2"/>
    <w:rsid w:val="00A47BE7"/>
    <w:rsid w:val="00A47ED7"/>
    <w:rsid w:val="00A50086"/>
    <w:rsid w:val="00A50090"/>
    <w:rsid w:val="00A50132"/>
    <w:rsid w:val="00A5045F"/>
    <w:rsid w:val="00A50523"/>
    <w:rsid w:val="00A505C7"/>
    <w:rsid w:val="00A50800"/>
    <w:rsid w:val="00A50852"/>
    <w:rsid w:val="00A50B25"/>
    <w:rsid w:val="00A50B37"/>
    <w:rsid w:val="00A51217"/>
    <w:rsid w:val="00A516C9"/>
    <w:rsid w:val="00A51844"/>
    <w:rsid w:val="00A5184B"/>
    <w:rsid w:val="00A51AC8"/>
    <w:rsid w:val="00A52880"/>
    <w:rsid w:val="00A52913"/>
    <w:rsid w:val="00A5307A"/>
    <w:rsid w:val="00A53296"/>
    <w:rsid w:val="00A53477"/>
    <w:rsid w:val="00A53714"/>
    <w:rsid w:val="00A537BE"/>
    <w:rsid w:val="00A53A03"/>
    <w:rsid w:val="00A53F5C"/>
    <w:rsid w:val="00A5410D"/>
    <w:rsid w:val="00A54197"/>
    <w:rsid w:val="00A54594"/>
    <w:rsid w:val="00A546A5"/>
    <w:rsid w:val="00A5496B"/>
    <w:rsid w:val="00A54A61"/>
    <w:rsid w:val="00A54B64"/>
    <w:rsid w:val="00A54C32"/>
    <w:rsid w:val="00A54D1C"/>
    <w:rsid w:val="00A54F06"/>
    <w:rsid w:val="00A54F1A"/>
    <w:rsid w:val="00A54FC1"/>
    <w:rsid w:val="00A553BE"/>
    <w:rsid w:val="00A55549"/>
    <w:rsid w:val="00A55A11"/>
    <w:rsid w:val="00A55F64"/>
    <w:rsid w:val="00A55FBD"/>
    <w:rsid w:val="00A56176"/>
    <w:rsid w:val="00A56931"/>
    <w:rsid w:val="00A572D8"/>
    <w:rsid w:val="00A573CF"/>
    <w:rsid w:val="00A6021D"/>
    <w:rsid w:val="00A6030C"/>
    <w:rsid w:val="00A605E8"/>
    <w:rsid w:val="00A60621"/>
    <w:rsid w:val="00A60C05"/>
    <w:rsid w:val="00A60CF0"/>
    <w:rsid w:val="00A610E3"/>
    <w:rsid w:val="00A61421"/>
    <w:rsid w:val="00A614CA"/>
    <w:rsid w:val="00A61613"/>
    <w:rsid w:val="00A61690"/>
    <w:rsid w:val="00A616EA"/>
    <w:rsid w:val="00A617DF"/>
    <w:rsid w:val="00A61821"/>
    <w:rsid w:val="00A61B3C"/>
    <w:rsid w:val="00A61E74"/>
    <w:rsid w:val="00A62180"/>
    <w:rsid w:val="00A621F4"/>
    <w:rsid w:val="00A6240C"/>
    <w:rsid w:val="00A62438"/>
    <w:rsid w:val="00A62525"/>
    <w:rsid w:val="00A62541"/>
    <w:rsid w:val="00A6272F"/>
    <w:rsid w:val="00A6274B"/>
    <w:rsid w:val="00A62796"/>
    <w:rsid w:val="00A6287A"/>
    <w:rsid w:val="00A62925"/>
    <w:rsid w:val="00A62BED"/>
    <w:rsid w:val="00A6304B"/>
    <w:rsid w:val="00A631BA"/>
    <w:rsid w:val="00A6343B"/>
    <w:rsid w:val="00A63836"/>
    <w:rsid w:val="00A63A3E"/>
    <w:rsid w:val="00A63AFA"/>
    <w:rsid w:val="00A640BC"/>
    <w:rsid w:val="00A640E9"/>
    <w:rsid w:val="00A641F7"/>
    <w:rsid w:val="00A642C7"/>
    <w:rsid w:val="00A6443E"/>
    <w:rsid w:val="00A64AB3"/>
    <w:rsid w:val="00A64C69"/>
    <w:rsid w:val="00A64F96"/>
    <w:rsid w:val="00A65404"/>
    <w:rsid w:val="00A6576E"/>
    <w:rsid w:val="00A65E55"/>
    <w:rsid w:val="00A65EAD"/>
    <w:rsid w:val="00A66521"/>
    <w:rsid w:val="00A669FE"/>
    <w:rsid w:val="00A66CC4"/>
    <w:rsid w:val="00A670E8"/>
    <w:rsid w:val="00A672B9"/>
    <w:rsid w:val="00A672F4"/>
    <w:rsid w:val="00A67935"/>
    <w:rsid w:val="00A67D8B"/>
    <w:rsid w:val="00A705CE"/>
    <w:rsid w:val="00A70777"/>
    <w:rsid w:val="00A709AA"/>
    <w:rsid w:val="00A70AD5"/>
    <w:rsid w:val="00A70C15"/>
    <w:rsid w:val="00A710CB"/>
    <w:rsid w:val="00A710FC"/>
    <w:rsid w:val="00A71590"/>
    <w:rsid w:val="00A71692"/>
    <w:rsid w:val="00A71E06"/>
    <w:rsid w:val="00A71EBC"/>
    <w:rsid w:val="00A71F91"/>
    <w:rsid w:val="00A7230C"/>
    <w:rsid w:val="00A726D6"/>
    <w:rsid w:val="00A7273F"/>
    <w:rsid w:val="00A72962"/>
    <w:rsid w:val="00A72A20"/>
    <w:rsid w:val="00A72AD5"/>
    <w:rsid w:val="00A72E76"/>
    <w:rsid w:val="00A72F35"/>
    <w:rsid w:val="00A73127"/>
    <w:rsid w:val="00A7360A"/>
    <w:rsid w:val="00A73DAE"/>
    <w:rsid w:val="00A73EDB"/>
    <w:rsid w:val="00A745AE"/>
    <w:rsid w:val="00A747E8"/>
    <w:rsid w:val="00A7485E"/>
    <w:rsid w:val="00A74B7B"/>
    <w:rsid w:val="00A74EC1"/>
    <w:rsid w:val="00A750FA"/>
    <w:rsid w:val="00A753A3"/>
    <w:rsid w:val="00A75925"/>
    <w:rsid w:val="00A75A68"/>
    <w:rsid w:val="00A75FB1"/>
    <w:rsid w:val="00A76686"/>
    <w:rsid w:val="00A767F9"/>
    <w:rsid w:val="00A76B01"/>
    <w:rsid w:val="00A76F52"/>
    <w:rsid w:val="00A77338"/>
    <w:rsid w:val="00A777D6"/>
    <w:rsid w:val="00A8049B"/>
    <w:rsid w:val="00A80532"/>
    <w:rsid w:val="00A80615"/>
    <w:rsid w:val="00A81067"/>
    <w:rsid w:val="00A8110B"/>
    <w:rsid w:val="00A81173"/>
    <w:rsid w:val="00A81593"/>
    <w:rsid w:val="00A819CD"/>
    <w:rsid w:val="00A81E7F"/>
    <w:rsid w:val="00A83966"/>
    <w:rsid w:val="00A84617"/>
    <w:rsid w:val="00A8498B"/>
    <w:rsid w:val="00A84A6E"/>
    <w:rsid w:val="00A8569D"/>
    <w:rsid w:val="00A857FD"/>
    <w:rsid w:val="00A85926"/>
    <w:rsid w:val="00A85CF5"/>
    <w:rsid w:val="00A8601D"/>
    <w:rsid w:val="00A86430"/>
    <w:rsid w:val="00A86D92"/>
    <w:rsid w:val="00A86E09"/>
    <w:rsid w:val="00A87868"/>
    <w:rsid w:val="00A8789C"/>
    <w:rsid w:val="00A900E5"/>
    <w:rsid w:val="00A900FA"/>
    <w:rsid w:val="00A90745"/>
    <w:rsid w:val="00A907C0"/>
    <w:rsid w:val="00A909CA"/>
    <w:rsid w:val="00A90B2A"/>
    <w:rsid w:val="00A90BEC"/>
    <w:rsid w:val="00A91572"/>
    <w:rsid w:val="00A915C9"/>
    <w:rsid w:val="00A918A0"/>
    <w:rsid w:val="00A91CE2"/>
    <w:rsid w:val="00A9224F"/>
    <w:rsid w:val="00A92446"/>
    <w:rsid w:val="00A92B7E"/>
    <w:rsid w:val="00A92B89"/>
    <w:rsid w:val="00A92C8E"/>
    <w:rsid w:val="00A92DE5"/>
    <w:rsid w:val="00A938DE"/>
    <w:rsid w:val="00A9426F"/>
    <w:rsid w:val="00A946F2"/>
    <w:rsid w:val="00A94954"/>
    <w:rsid w:val="00A94A39"/>
    <w:rsid w:val="00A94AB4"/>
    <w:rsid w:val="00A94B0D"/>
    <w:rsid w:val="00A94F5D"/>
    <w:rsid w:val="00A952BA"/>
    <w:rsid w:val="00A955FF"/>
    <w:rsid w:val="00A95692"/>
    <w:rsid w:val="00A956B6"/>
    <w:rsid w:val="00A9590C"/>
    <w:rsid w:val="00A96124"/>
    <w:rsid w:val="00A9684A"/>
    <w:rsid w:val="00A96920"/>
    <w:rsid w:val="00A96C70"/>
    <w:rsid w:val="00A96CA9"/>
    <w:rsid w:val="00A972A6"/>
    <w:rsid w:val="00A97AA9"/>
    <w:rsid w:val="00A97C80"/>
    <w:rsid w:val="00A97D03"/>
    <w:rsid w:val="00AA0089"/>
    <w:rsid w:val="00AA08DE"/>
    <w:rsid w:val="00AA0C1A"/>
    <w:rsid w:val="00AA0EF6"/>
    <w:rsid w:val="00AA15A6"/>
    <w:rsid w:val="00AA16A9"/>
    <w:rsid w:val="00AA17C1"/>
    <w:rsid w:val="00AA1BC5"/>
    <w:rsid w:val="00AA2456"/>
    <w:rsid w:val="00AA2AC3"/>
    <w:rsid w:val="00AA2C6A"/>
    <w:rsid w:val="00AA2C9F"/>
    <w:rsid w:val="00AA2F57"/>
    <w:rsid w:val="00AA2F77"/>
    <w:rsid w:val="00AA3379"/>
    <w:rsid w:val="00AA36A7"/>
    <w:rsid w:val="00AA3867"/>
    <w:rsid w:val="00AA38D9"/>
    <w:rsid w:val="00AA3905"/>
    <w:rsid w:val="00AA39AA"/>
    <w:rsid w:val="00AA3BDC"/>
    <w:rsid w:val="00AA3D0B"/>
    <w:rsid w:val="00AA3F71"/>
    <w:rsid w:val="00AA40FD"/>
    <w:rsid w:val="00AA45F5"/>
    <w:rsid w:val="00AA472B"/>
    <w:rsid w:val="00AA48F3"/>
    <w:rsid w:val="00AA4D46"/>
    <w:rsid w:val="00AA4DE8"/>
    <w:rsid w:val="00AA5344"/>
    <w:rsid w:val="00AA53F2"/>
    <w:rsid w:val="00AA565B"/>
    <w:rsid w:val="00AA56AA"/>
    <w:rsid w:val="00AA5A12"/>
    <w:rsid w:val="00AA5BB2"/>
    <w:rsid w:val="00AA5DFC"/>
    <w:rsid w:val="00AA6623"/>
    <w:rsid w:val="00AA674F"/>
    <w:rsid w:val="00AA68A0"/>
    <w:rsid w:val="00AA6904"/>
    <w:rsid w:val="00AA73A9"/>
    <w:rsid w:val="00AA775E"/>
    <w:rsid w:val="00AA7871"/>
    <w:rsid w:val="00AA78EC"/>
    <w:rsid w:val="00AA7C8A"/>
    <w:rsid w:val="00AA7F5A"/>
    <w:rsid w:val="00AB01E2"/>
    <w:rsid w:val="00AB10FD"/>
    <w:rsid w:val="00AB1562"/>
    <w:rsid w:val="00AB158C"/>
    <w:rsid w:val="00AB16D1"/>
    <w:rsid w:val="00AB16D8"/>
    <w:rsid w:val="00AB1DAB"/>
    <w:rsid w:val="00AB1E50"/>
    <w:rsid w:val="00AB1F4D"/>
    <w:rsid w:val="00AB2350"/>
    <w:rsid w:val="00AB2650"/>
    <w:rsid w:val="00AB271B"/>
    <w:rsid w:val="00AB2A2F"/>
    <w:rsid w:val="00AB2EEC"/>
    <w:rsid w:val="00AB39A0"/>
    <w:rsid w:val="00AB3AC8"/>
    <w:rsid w:val="00AB3D72"/>
    <w:rsid w:val="00AB3E19"/>
    <w:rsid w:val="00AB4045"/>
    <w:rsid w:val="00AB422B"/>
    <w:rsid w:val="00AB4B83"/>
    <w:rsid w:val="00AB4E25"/>
    <w:rsid w:val="00AB5435"/>
    <w:rsid w:val="00AB56B9"/>
    <w:rsid w:val="00AB57BE"/>
    <w:rsid w:val="00AB58D8"/>
    <w:rsid w:val="00AB592F"/>
    <w:rsid w:val="00AB5A50"/>
    <w:rsid w:val="00AB5B7B"/>
    <w:rsid w:val="00AB5BC6"/>
    <w:rsid w:val="00AB5D91"/>
    <w:rsid w:val="00AB6060"/>
    <w:rsid w:val="00AB61B5"/>
    <w:rsid w:val="00AB634E"/>
    <w:rsid w:val="00AB6433"/>
    <w:rsid w:val="00AB64B1"/>
    <w:rsid w:val="00AB66BD"/>
    <w:rsid w:val="00AB6ABB"/>
    <w:rsid w:val="00AB7254"/>
    <w:rsid w:val="00AB72E4"/>
    <w:rsid w:val="00AB7327"/>
    <w:rsid w:val="00AB74FD"/>
    <w:rsid w:val="00AB75F1"/>
    <w:rsid w:val="00AB77C5"/>
    <w:rsid w:val="00AB78E8"/>
    <w:rsid w:val="00AB79AD"/>
    <w:rsid w:val="00AB7D7E"/>
    <w:rsid w:val="00AC0240"/>
    <w:rsid w:val="00AC0731"/>
    <w:rsid w:val="00AC096E"/>
    <w:rsid w:val="00AC097D"/>
    <w:rsid w:val="00AC0B1E"/>
    <w:rsid w:val="00AC1938"/>
    <w:rsid w:val="00AC194B"/>
    <w:rsid w:val="00AC1D2A"/>
    <w:rsid w:val="00AC1EF0"/>
    <w:rsid w:val="00AC20B2"/>
    <w:rsid w:val="00AC220C"/>
    <w:rsid w:val="00AC2978"/>
    <w:rsid w:val="00AC2EA8"/>
    <w:rsid w:val="00AC2F87"/>
    <w:rsid w:val="00AC3142"/>
    <w:rsid w:val="00AC32A2"/>
    <w:rsid w:val="00AC35D0"/>
    <w:rsid w:val="00AC37DD"/>
    <w:rsid w:val="00AC39E5"/>
    <w:rsid w:val="00AC39E9"/>
    <w:rsid w:val="00AC3ED2"/>
    <w:rsid w:val="00AC4072"/>
    <w:rsid w:val="00AC44A3"/>
    <w:rsid w:val="00AC4777"/>
    <w:rsid w:val="00AC4CD8"/>
    <w:rsid w:val="00AC5578"/>
    <w:rsid w:val="00AC5586"/>
    <w:rsid w:val="00AC55C7"/>
    <w:rsid w:val="00AC5613"/>
    <w:rsid w:val="00AC5668"/>
    <w:rsid w:val="00AC5767"/>
    <w:rsid w:val="00AC5A87"/>
    <w:rsid w:val="00AC60B3"/>
    <w:rsid w:val="00AC6387"/>
    <w:rsid w:val="00AC6390"/>
    <w:rsid w:val="00AC6405"/>
    <w:rsid w:val="00AC65DE"/>
    <w:rsid w:val="00AC6CB1"/>
    <w:rsid w:val="00AC6DE4"/>
    <w:rsid w:val="00AC7054"/>
    <w:rsid w:val="00AC7611"/>
    <w:rsid w:val="00AC7AB9"/>
    <w:rsid w:val="00AC7D0E"/>
    <w:rsid w:val="00AC7DB1"/>
    <w:rsid w:val="00AD04B1"/>
    <w:rsid w:val="00AD0B02"/>
    <w:rsid w:val="00AD0B8D"/>
    <w:rsid w:val="00AD10B9"/>
    <w:rsid w:val="00AD1153"/>
    <w:rsid w:val="00AD12A2"/>
    <w:rsid w:val="00AD193E"/>
    <w:rsid w:val="00AD1ABE"/>
    <w:rsid w:val="00AD1CD8"/>
    <w:rsid w:val="00AD1E0A"/>
    <w:rsid w:val="00AD2157"/>
    <w:rsid w:val="00AD266A"/>
    <w:rsid w:val="00AD301B"/>
    <w:rsid w:val="00AD34A2"/>
    <w:rsid w:val="00AD358B"/>
    <w:rsid w:val="00AD3970"/>
    <w:rsid w:val="00AD39EF"/>
    <w:rsid w:val="00AD40D4"/>
    <w:rsid w:val="00AD415C"/>
    <w:rsid w:val="00AD426B"/>
    <w:rsid w:val="00AD50E8"/>
    <w:rsid w:val="00AD53AB"/>
    <w:rsid w:val="00AD5641"/>
    <w:rsid w:val="00AD5669"/>
    <w:rsid w:val="00AD574B"/>
    <w:rsid w:val="00AD58BF"/>
    <w:rsid w:val="00AD5F11"/>
    <w:rsid w:val="00AD5FBA"/>
    <w:rsid w:val="00AD62C6"/>
    <w:rsid w:val="00AD64EE"/>
    <w:rsid w:val="00AD6599"/>
    <w:rsid w:val="00AD6A38"/>
    <w:rsid w:val="00AD6D51"/>
    <w:rsid w:val="00AD6DAF"/>
    <w:rsid w:val="00AD6ECC"/>
    <w:rsid w:val="00AD76CF"/>
    <w:rsid w:val="00AD7767"/>
    <w:rsid w:val="00AD7794"/>
    <w:rsid w:val="00AD7895"/>
    <w:rsid w:val="00AD7926"/>
    <w:rsid w:val="00AD7FD2"/>
    <w:rsid w:val="00AE0061"/>
    <w:rsid w:val="00AE03CE"/>
    <w:rsid w:val="00AE0AAA"/>
    <w:rsid w:val="00AE0DEC"/>
    <w:rsid w:val="00AE0F18"/>
    <w:rsid w:val="00AE1612"/>
    <w:rsid w:val="00AE170D"/>
    <w:rsid w:val="00AE19DA"/>
    <w:rsid w:val="00AE1CB6"/>
    <w:rsid w:val="00AE2640"/>
    <w:rsid w:val="00AE26AE"/>
    <w:rsid w:val="00AE2946"/>
    <w:rsid w:val="00AE2AB6"/>
    <w:rsid w:val="00AE2B5B"/>
    <w:rsid w:val="00AE2F35"/>
    <w:rsid w:val="00AE3610"/>
    <w:rsid w:val="00AE3B00"/>
    <w:rsid w:val="00AE3BCB"/>
    <w:rsid w:val="00AE3D1A"/>
    <w:rsid w:val="00AE425A"/>
    <w:rsid w:val="00AE460C"/>
    <w:rsid w:val="00AE493A"/>
    <w:rsid w:val="00AE4D8A"/>
    <w:rsid w:val="00AE511E"/>
    <w:rsid w:val="00AE52AC"/>
    <w:rsid w:val="00AE5761"/>
    <w:rsid w:val="00AE5B60"/>
    <w:rsid w:val="00AE5C11"/>
    <w:rsid w:val="00AE5D0C"/>
    <w:rsid w:val="00AE61B5"/>
    <w:rsid w:val="00AE62FD"/>
    <w:rsid w:val="00AE6C8A"/>
    <w:rsid w:val="00AE70C5"/>
    <w:rsid w:val="00AE7523"/>
    <w:rsid w:val="00AE77A5"/>
    <w:rsid w:val="00AE7866"/>
    <w:rsid w:val="00AE7BBA"/>
    <w:rsid w:val="00AE7C21"/>
    <w:rsid w:val="00AE7C6A"/>
    <w:rsid w:val="00AE7E5C"/>
    <w:rsid w:val="00AF03A1"/>
    <w:rsid w:val="00AF06AB"/>
    <w:rsid w:val="00AF0935"/>
    <w:rsid w:val="00AF0ECE"/>
    <w:rsid w:val="00AF11FE"/>
    <w:rsid w:val="00AF1235"/>
    <w:rsid w:val="00AF1414"/>
    <w:rsid w:val="00AF24B6"/>
    <w:rsid w:val="00AF26C4"/>
    <w:rsid w:val="00AF29C6"/>
    <w:rsid w:val="00AF2D1A"/>
    <w:rsid w:val="00AF2ED5"/>
    <w:rsid w:val="00AF3006"/>
    <w:rsid w:val="00AF3019"/>
    <w:rsid w:val="00AF33E2"/>
    <w:rsid w:val="00AF36D6"/>
    <w:rsid w:val="00AF3729"/>
    <w:rsid w:val="00AF3822"/>
    <w:rsid w:val="00AF3CCC"/>
    <w:rsid w:val="00AF4120"/>
    <w:rsid w:val="00AF46C6"/>
    <w:rsid w:val="00AF5046"/>
    <w:rsid w:val="00AF53ED"/>
    <w:rsid w:val="00AF5570"/>
    <w:rsid w:val="00AF56F6"/>
    <w:rsid w:val="00AF5940"/>
    <w:rsid w:val="00AF5D73"/>
    <w:rsid w:val="00AF5D89"/>
    <w:rsid w:val="00AF659B"/>
    <w:rsid w:val="00AF6751"/>
    <w:rsid w:val="00AF69C0"/>
    <w:rsid w:val="00AF6A94"/>
    <w:rsid w:val="00AF6C3E"/>
    <w:rsid w:val="00AF719F"/>
    <w:rsid w:val="00AF7969"/>
    <w:rsid w:val="00AF7A03"/>
    <w:rsid w:val="00AF7A9A"/>
    <w:rsid w:val="00AF7C43"/>
    <w:rsid w:val="00AF7EB4"/>
    <w:rsid w:val="00B0008F"/>
    <w:rsid w:val="00B006AD"/>
    <w:rsid w:val="00B00B69"/>
    <w:rsid w:val="00B00D2B"/>
    <w:rsid w:val="00B00DD2"/>
    <w:rsid w:val="00B011FE"/>
    <w:rsid w:val="00B012DF"/>
    <w:rsid w:val="00B01732"/>
    <w:rsid w:val="00B01DD9"/>
    <w:rsid w:val="00B0263B"/>
    <w:rsid w:val="00B0271D"/>
    <w:rsid w:val="00B02836"/>
    <w:rsid w:val="00B028AF"/>
    <w:rsid w:val="00B02F98"/>
    <w:rsid w:val="00B02FB7"/>
    <w:rsid w:val="00B0329A"/>
    <w:rsid w:val="00B032BD"/>
    <w:rsid w:val="00B03378"/>
    <w:rsid w:val="00B03623"/>
    <w:rsid w:val="00B03769"/>
    <w:rsid w:val="00B038A7"/>
    <w:rsid w:val="00B03F72"/>
    <w:rsid w:val="00B043F4"/>
    <w:rsid w:val="00B048B4"/>
    <w:rsid w:val="00B04AFA"/>
    <w:rsid w:val="00B04C9B"/>
    <w:rsid w:val="00B05224"/>
    <w:rsid w:val="00B053C7"/>
    <w:rsid w:val="00B0587C"/>
    <w:rsid w:val="00B05C15"/>
    <w:rsid w:val="00B05CBB"/>
    <w:rsid w:val="00B05CCA"/>
    <w:rsid w:val="00B05EC4"/>
    <w:rsid w:val="00B060F1"/>
    <w:rsid w:val="00B0642D"/>
    <w:rsid w:val="00B064FE"/>
    <w:rsid w:val="00B06A27"/>
    <w:rsid w:val="00B06F18"/>
    <w:rsid w:val="00B0722F"/>
    <w:rsid w:val="00B07B95"/>
    <w:rsid w:val="00B101A9"/>
    <w:rsid w:val="00B101E2"/>
    <w:rsid w:val="00B1049E"/>
    <w:rsid w:val="00B10636"/>
    <w:rsid w:val="00B10884"/>
    <w:rsid w:val="00B10AFA"/>
    <w:rsid w:val="00B10B47"/>
    <w:rsid w:val="00B10D74"/>
    <w:rsid w:val="00B10DC1"/>
    <w:rsid w:val="00B10E72"/>
    <w:rsid w:val="00B10EA0"/>
    <w:rsid w:val="00B1115D"/>
    <w:rsid w:val="00B11344"/>
    <w:rsid w:val="00B1165D"/>
    <w:rsid w:val="00B11B07"/>
    <w:rsid w:val="00B11BFA"/>
    <w:rsid w:val="00B11CE6"/>
    <w:rsid w:val="00B11F41"/>
    <w:rsid w:val="00B12ADA"/>
    <w:rsid w:val="00B12B98"/>
    <w:rsid w:val="00B12E26"/>
    <w:rsid w:val="00B1356D"/>
    <w:rsid w:val="00B135BA"/>
    <w:rsid w:val="00B13B45"/>
    <w:rsid w:val="00B13EA3"/>
    <w:rsid w:val="00B141D5"/>
    <w:rsid w:val="00B14CAB"/>
    <w:rsid w:val="00B14DAF"/>
    <w:rsid w:val="00B14EBB"/>
    <w:rsid w:val="00B1574B"/>
    <w:rsid w:val="00B1587D"/>
    <w:rsid w:val="00B15C56"/>
    <w:rsid w:val="00B15EDC"/>
    <w:rsid w:val="00B1631B"/>
    <w:rsid w:val="00B16339"/>
    <w:rsid w:val="00B16462"/>
    <w:rsid w:val="00B16955"/>
    <w:rsid w:val="00B16ED3"/>
    <w:rsid w:val="00B1737A"/>
    <w:rsid w:val="00B1755E"/>
    <w:rsid w:val="00B1778F"/>
    <w:rsid w:val="00B1788A"/>
    <w:rsid w:val="00B179E7"/>
    <w:rsid w:val="00B17D8D"/>
    <w:rsid w:val="00B17E14"/>
    <w:rsid w:val="00B20351"/>
    <w:rsid w:val="00B20414"/>
    <w:rsid w:val="00B20783"/>
    <w:rsid w:val="00B207AF"/>
    <w:rsid w:val="00B213CA"/>
    <w:rsid w:val="00B21AEA"/>
    <w:rsid w:val="00B21D1E"/>
    <w:rsid w:val="00B21F5E"/>
    <w:rsid w:val="00B222C6"/>
    <w:rsid w:val="00B22773"/>
    <w:rsid w:val="00B227FA"/>
    <w:rsid w:val="00B2289D"/>
    <w:rsid w:val="00B22A4F"/>
    <w:rsid w:val="00B22A7E"/>
    <w:rsid w:val="00B22D19"/>
    <w:rsid w:val="00B23037"/>
    <w:rsid w:val="00B23922"/>
    <w:rsid w:val="00B23B49"/>
    <w:rsid w:val="00B23F08"/>
    <w:rsid w:val="00B23F9D"/>
    <w:rsid w:val="00B23FB5"/>
    <w:rsid w:val="00B2416E"/>
    <w:rsid w:val="00B242DD"/>
    <w:rsid w:val="00B245D2"/>
    <w:rsid w:val="00B2487A"/>
    <w:rsid w:val="00B24ACA"/>
    <w:rsid w:val="00B24D4B"/>
    <w:rsid w:val="00B2550E"/>
    <w:rsid w:val="00B25784"/>
    <w:rsid w:val="00B25AEE"/>
    <w:rsid w:val="00B25E27"/>
    <w:rsid w:val="00B25E6D"/>
    <w:rsid w:val="00B2615A"/>
    <w:rsid w:val="00B261D8"/>
    <w:rsid w:val="00B26300"/>
    <w:rsid w:val="00B264C6"/>
    <w:rsid w:val="00B266CA"/>
    <w:rsid w:val="00B27132"/>
    <w:rsid w:val="00B2778F"/>
    <w:rsid w:val="00B27A9B"/>
    <w:rsid w:val="00B27F30"/>
    <w:rsid w:val="00B30104"/>
    <w:rsid w:val="00B30AFD"/>
    <w:rsid w:val="00B30F98"/>
    <w:rsid w:val="00B31085"/>
    <w:rsid w:val="00B3125C"/>
    <w:rsid w:val="00B31560"/>
    <w:rsid w:val="00B31857"/>
    <w:rsid w:val="00B31B58"/>
    <w:rsid w:val="00B32007"/>
    <w:rsid w:val="00B321AC"/>
    <w:rsid w:val="00B32781"/>
    <w:rsid w:val="00B327D0"/>
    <w:rsid w:val="00B331F9"/>
    <w:rsid w:val="00B33C07"/>
    <w:rsid w:val="00B33FE0"/>
    <w:rsid w:val="00B348DC"/>
    <w:rsid w:val="00B34EBC"/>
    <w:rsid w:val="00B34EF5"/>
    <w:rsid w:val="00B35042"/>
    <w:rsid w:val="00B3519F"/>
    <w:rsid w:val="00B3520D"/>
    <w:rsid w:val="00B3522B"/>
    <w:rsid w:val="00B35236"/>
    <w:rsid w:val="00B359C7"/>
    <w:rsid w:val="00B35C40"/>
    <w:rsid w:val="00B35C50"/>
    <w:rsid w:val="00B36147"/>
    <w:rsid w:val="00B3621D"/>
    <w:rsid w:val="00B36398"/>
    <w:rsid w:val="00B36866"/>
    <w:rsid w:val="00B36D34"/>
    <w:rsid w:val="00B374CC"/>
    <w:rsid w:val="00B37C0E"/>
    <w:rsid w:val="00B37F7C"/>
    <w:rsid w:val="00B40058"/>
    <w:rsid w:val="00B40139"/>
    <w:rsid w:val="00B4028C"/>
    <w:rsid w:val="00B40451"/>
    <w:rsid w:val="00B40907"/>
    <w:rsid w:val="00B40B1D"/>
    <w:rsid w:val="00B40EAC"/>
    <w:rsid w:val="00B40F7D"/>
    <w:rsid w:val="00B40FEA"/>
    <w:rsid w:val="00B41442"/>
    <w:rsid w:val="00B4156D"/>
    <w:rsid w:val="00B41752"/>
    <w:rsid w:val="00B41BFC"/>
    <w:rsid w:val="00B41D1B"/>
    <w:rsid w:val="00B41D3F"/>
    <w:rsid w:val="00B41EDE"/>
    <w:rsid w:val="00B41FAA"/>
    <w:rsid w:val="00B429D0"/>
    <w:rsid w:val="00B42EE1"/>
    <w:rsid w:val="00B432E4"/>
    <w:rsid w:val="00B4397E"/>
    <w:rsid w:val="00B43A41"/>
    <w:rsid w:val="00B43BE1"/>
    <w:rsid w:val="00B43C48"/>
    <w:rsid w:val="00B4438C"/>
    <w:rsid w:val="00B446A0"/>
    <w:rsid w:val="00B44824"/>
    <w:rsid w:val="00B449BB"/>
    <w:rsid w:val="00B44E5D"/>
    <w:rsid w:val="00B450C5"/>
    <w:rsid w:val="00B450E6"/>
    <w:rsid w:val="00B4610B"/>
    <w:rsid w:val="00B4610E"/>
    <w:rsid w:val="00B465F5"/>
    <w:rsid w:val="00B467E1"/>
    <w:rsid w:val="00B46A29"/>
    <w:rsid w:val="00B46B89"/>
    <w:rsid w:val="00B46CFD"/>
    <w:rsid w:val="00B46DB9"/>
    <w:rsid w:val="00B46ECC"/>
    <w:rsid w:val="00B46FAC"/>
    <w:rsid w:val="00B470A4"/>
    <w:rsid w:val="00B4717B"/>
    <w:rsid w:val="00B47CEE"/>
    <w:rsid w:val="00B47CF4"/>
    <w:rsid w:val="00B47E8D"/>
    <w:rsid w:val="00B47F55"/>
    <w:rsid w:val="00B47F84"/>
    <w:rsid w:val="00B501DB"/>
    <w:rsid w:val="00B5047D"/>
    <w:rsid w:val="00B504C3"/>
    <w:rsid w:val="00B50674"/>
    <w:rsid w:val="00B5075F"/>
    <w:rsid w:val="00B50854"/>
    <w:rsid w:val="00B50991"/>
    <w:rsid w:val="00B50C95"/>
    <w:rsid w:val="00B50D15"/>
    <w:rsid w:val="00B50E11"/>
    <w:rsid w:val="00B50F24"/>
    <w:rsid w:val="00B51198"/>
    <w:rsid w:val="00B51239"/>
    <w:rsid w:val="00B5128B"/>
    <w:rsid w:val="00B513D7"/>
    <w:rsid w:val="00B51928"/>
    <w:rsid w:val="00B52837"/>
    <w:rsid w:val="00B52D35"/>
    <w:rsid w:val="00B52FB7"/>
    <w:rsid w:val="00B53084"/>
    <w:rsid w:val="00B53824"/>
    <w:rsid w:val="00B53D8E"/>
    <w:rsid w:val="00B542E7"/>
    <w:rsid w:val="00B54A20"/>
    <w:rsid w:val="00B54B19"/>
    <w:rsid w:val="00B54BC4"/>
    <w:rsid w:val="00B54F19"/>
    <w:rsid w:val="00B55640"/>
    <w:rsid w:val="00B55669"/>
    <w:rsid w:val="00B556CA"/>
    <w:rsid w:val="00B558A3"/>
    <w:rsid w:val="00B558BC"/>
    <w:rsid w:val="00B558EF"/>
    <w:rsid w:val="00B55A7F"/>
    <w:rsid w:val="00B55BD2"/>
    <w:rsid w:val="00B55D7F"/>
    <w:rsid w:val="00B55E17"/>
    <w:rsid w:val="00B55E88"/>
    <w:rsid w:val="00B55E91"/>
    <w:rsid w:val="00B56300"/>
    <w:rsid w:val="00B568D1"/>
    <w:rsid w:val="00B56A73"/>
    <w:rsid w:val="00B56C40"/>
    <w:rsid w:val="00B56D2B"/>
    <w:rsid w:val="00B56F82"/>
    <w:rsid w:val="00B57300"/>
    <w:rsid w:val="00B57CD6"/>
    <w:rsid w:val="00B57DF7"/>
    <w:rsid w:val="00B57FE2"/>
    <w:rsid w:val="00B6020F"/>
    <w:rsid w:val="00B60265"/>
    <w:rsid w:val="00B60ED3"/>
    <w:rsid w:val="00B60FA4"/>
    <w:rsid w:val="00B61380"/>
    <w:rsid w:val="00B61485"/>
    <w:rsid w:val="00B61F66"/>
    <w:rsid w:val="00B6213F"/>
    <w:rsid w:val="00B62310"/>
    <w:rsid w:val="00B62722"/>
    <w:rsid w:val="00B62723"/>
    <w:rsid w:val="00B62FEA"/>
    <w:rsid w:val="00B634E0"/>
    <w:rsid w:val="00B6353D"/>
    <w:rsid w:val="00B63997"/>
    <w:rsid w:val="00B63A00"/>
    <w:rsid w:val="00B63F5C"/>
    <w:rsid w:val="00B64218"/>
    <w:rsid w:val="00B64319"/>
    <w:rsid w:val="00B644A9"/>
    <w:rsid w:val="00B64616"/>
    <w:rsid w:val="00B64A86"/>
    <w:rsid w:val="00B64BAF"/>
    <w:rsid w:val="00B64D51"/>
    <w:rsid w:val="00B65897"/>
    <w:rsid w:val="00B659AF"/>
    <w:rsid w:val="00B65B75"/>
    <w:rsid w:val="00B65E69"/>
    <w:rsid w:val="00B65E8D"/>
    <w:rsid w:val="00B664EB"/>
    <w:rsid w:val="00B66519"/>
    <w:rsid w:val="00B666F0"/>
    <w:rsid w:val="00B6690A"/>
    <w:rsid w:val="00B66A4F"/>
    <w:rsid w:val="00B66AA8"/>
    <w:rsid w:val="00B66DAB"/>
    <w:rsid w:val="00B66F5E"/>
    <w:rsid w:val="00B67405"/>
    <w:rsid w:val="00B67536"/>
    <w:rsid w:val="00B676C0"/>
    <w:rsid w:val="00B6796C"/>
    <w:rsid w:val="00B679AA"/>
    <w:rsid w:val="00B67CA5"/>
    <w:rsid w:val="00B67F1E"/>
    <w:rsid w:val="00B70475"/>
    <w:rsid w:val="00B70818"/>
    <w:rsid w:val="00B709B7"/>
    <w:rsid w:val="00B70ABC"/>
    <w:rsid w:val="00B70EAB"/>
    <w:rsid w:val="00B70EC7"/>
    <w:rsid w:val="00B711E5"/>
    <w:rsid w:val="00B7145F"/>
    <w:rsid w:val="00B71898"/>
    <w:rsid w:val="00B71F16"/>
    <w:rsid w:val="00B72293"/>
    <w:rsid w:val="00B72539"/>
    <w:rsid w:val="00B73006"/>
    <w:rsid w:val="00B735A3"/>
    <w:rsid w:val="00B73B11"/>
    <w:rsid w:val="00B73B84"/>
    <w:rsid w:val="00B73CF0"/>
    <w:rsid w:val="00B740AD"/>
    <w:rsid w:val="00B741CD"/>
    <w:rsid w:val="00B74696"/>
    <w:rsid w:val="00B74937"/>
    <w:rsid w:val="00B74A87"/>
    <w:rsid w:val="00B74BBA"/>
    <w:rsid w:val="00B74C00"/>
    <w:rsid w:val="00B74C50"/>
    <w:rsid w:val="00B74CF6"/>
    <w:rsid w:val="00B74F36"/>
    <w:rsid w:val="00B7508C"/>
    <w:rsid w:val="00B750CA"/>
    <w:rsid w:val="00B75141"/>
    <w:rsid w:val="00B7540B"/>
    <w:rsid w:val="00B755B9"/>
    <w:rsid w:val="00B75CEB"/>
    <w:rsid w:val="00B75FF2"/>
    <w:rsid w:val="00B76496"/>
    <w:rsid w:val="00B766C6"/>
    <w:rsid w:val="00B76718"/>
    <w:rsid w:val="00B769B1"/>
    <w:rsid w:val="00B76CBB"/>
    <w:rsid w:val="00B76E34"/>
    <w:rsid w:val="00B76F93"/>
    <w:rsid w:val="00B770C0"/>
    <w:rsid w:val="00B77911"/>
    <w:rsid w:val="00B77B41"/>
    <w:rsid w:val="00B77C10"/>
    <w:rsid w:val="00B77CB6"/>
    <w:rsid w:val="00B8014F"/>
    <w:rsid w:val="00B80404"/>
    <w:rsid w:val="00B80691"/>
    <w:rsid w:val="00B80870"/>
    <w:rsid w:val="00B809BD"/>
    <w:rsid w:val="00B80D0A"/>
    <w:rsid w:val="00B8121E"/>
    <w:rsid w:val="00B81543"/>
    <w:rsid w:val="00B8171B"/>
    <w:rsid w:val="00B81A60"/>
    <w:rsid w:val="00B81C1F"/>
    <w:rsid w:val="00B81F5B"/>
    <w:rsid w:val="00B81FEF"/>
    <w:rsid w:val="00B82028"/>
    <w:rsid w:val="00B820A2"/>
    <w:rsid w:val="00B828F2"/>
    <w:rsid w:val="00B82D36"/>
    <w:rsid w:val="00B82F3E"/>
    <w:rsid w:val="00B833F4"/>
    <w:rsid w:val="00B837FB"/>
    <w:rsid w:val="00B83A6C"/>
    <w:rsid w:val="00B83B01"/>
    <w:rsid w:val="00B83B0C"/>
    <w:rsid w:val="00B83CBC"/>
    <w:rsid w:val="00B83D33"/>
    <w:rsid w:val="00B83FBC"/>
    <w:rsid w:val="00B840B4"/>
    <w:rsid w:val="00B843A4"/>
    <w:rsid w:val="00B843F8"/>
    <w:rsid w:val="00B84976"/>
    <w:rsid w:val="00B84AA0"/>
    <w:rsid w:val="00B85535"/>
    <w:rsid w:val="00B8554A"/>
    <w:rsid w:val="00B861B3"/>
    <w:rsid w:val="00B862A0"/>
    <w:rsid w:val="00B86B97"/>
    <w:rsid w:val="00B86F51"/>
    <w:rsid w:val="00B87232"/>
    <w:rsid w:val="00B87F28"/>
    <w:rsid w:val="00B87FFC"/>
    <w:rsid w:val="00B90122"/>
    <w:rsid w:val="00B90194"/>
    <w:rsid w:val="00B90285"/>
    <w:rsid w:val="00B90A0B"/>
    <w:rsid w:val="00B90BE1"/>
    <w:rsid w:val="00B90DFC"/>
    <w:rsid w:val="00B912F6"/>
    <w:rsid w:val="00B91410"/>
    <w:rsid w:val="00B91672"/>
    <w:rsid w:val="00B91968"/>
    <w:rsid w:val="00B91DAF"/>
    <w:rsid w:val="00B91E4D"/>
    <w:rsid w:val="00B92189"/>
    <w:rsid w:val="00B92256"/>
    <w:rsid w:val="00B924B8"/>
    <w:rsid w:val="00B9292B"/>
    <w:rsid w:val="00B92D8D"/>
    <w:rsid w:val="00B92E32"/>
    <w:rsid w:val="00B93156"/>
    <w:rsid w:val="00B933E4"/>
    <w:rsid w:val="00B9379A"/>
    <w:rsid w:val="00B93882"/>
    <w:rsid w:val="00B93A07"/>
    <w:rsid w:val="00B93C67"/>
    <w:rsid w:val="00B93D83"/>
    <w:rsid w:val="00B93DD8"/>
    <w:rsid w:val="00B93E07"/>
    <w:rsid w:val="00B94448"/>
    <w:rsid w:val="00B94718"/>
    <w:rsid w:val="00B949F8"/>
    <w:rsid w:val="00B95162"/>
    <w:rsid w:val="00B95469"/>
    <w:rsid w:val="00B9567A"/>
    <w:rsid w:val="00B956BC"/>
    <w:rsid w:val="00B95CAA"/>
    <w:rsid w:val="00B96088"/>
    <w:rsid w:val="00B96161"/>
    <w:rsid w:val="00B96275"/>
    <w:rsid w:val="00B9632E"/>
    <w:rsid w:val="00B96583"/>
    <w:rsid w:val="00B9693F"/>
    <w:rsid w:val="00B96EE7"/>
    <w:rsid w:val="00B96FC7"/>
    <w:rsid w:val="00B97066"/>
    <w:rsid w:val="00B9723E"/>
    <w:rsid w:val="00B9757C"/>
    <w:rsid w:val="00B976C0"/>
    <w:rsid w:val="00B97C7E"/>
    <w:rsid w:val="00BA06A0"/>
    <w:rsid w:val="00BA0B25"/>
    <w:rsid w:val="00BA0FCA"/>
    <w:rsid w:val="00BA1018"/>
    <w:rsid w:val="00BA122C"/>
    <w:rsid w:val="00BA15A9"/>
    <w:rsid w:val="00BA1A69"/>
    <w:rsid w:val="00BA1FB3"/>
    <w:rsid w:val="00BA2019"/>
    <w:rsid w:val="00BA221E"/>
    <w:rsid w:val="00BA229F"/>
    <w:rsid w:val="00BA2C58"/>
    <w:rsid w:val="00BA2E0A"/>
    <w:rsid w:val="00BA31B3"/>
    <w:rsid w:val="00BA3296"/>
    <w:rsid w:val="00BA37F9"/>
    <w:rsid w:val="00BA3B13"/>
    <w:rsid w:val="00BA3BDC"/>
    <w:rsid w:val="00BA46E1"/>
    <w:rsid w:val="00BA5045"/>
    <w:rsid w:val="00BA53AF"/>
    <w:rsid w:val="00BA6031"/>
    <w:rsid w:val="00BA6051"/>
    <w:rsid w:val="00BA60DE"/>
    <w:rsid w:val="00BA6123"/>
    <w:rsid w:val="00BA6366"/>
    <w:rsid w:val="00BA68FD"/>
    <w:rsid w:val="00BA6F59"/>
    <w:rsid w:val="00BA6F6D"/>
    <w:rsid w:val="00BA76B0"/>
    <w:rsid w:val="00BA7784"/>
    <w:rsid w:val="00BA77FC"/>
    <w:rsid w:val="00BA7B2C"/>
    <w:rsid w:val="00BB0203"/>
    <w:rsid w:val="00BB0314"/>
    <w:rsid w:val="00BB04EE"/>
    <w:rsid w:val="00BB0558"/>
    <w:rsid w:val="00BB05A8"/>
    <w:rsid w:val="00BB05D0"/>
    <w:rsid w:val="00BB0B18"/>
    <w:rsid w:val="00BB0B9B"/>
    <w:rsid w:val="00BB0D9B"/>
    <w:rsid w:val="00BB0F9C"/>
    <w:rsid w:val="00BB1487"/>
    <w:rsid w:val="00BB18D0"/>
    <w:rsid w:val="00BB193C"/>
    <w:rsid w:val="00BB1FC3"/>
    <w:rsid w:val="00BB2223"/>
    <w:rsid w:val="00BB2446"/>
    <w:rsid w:val="00BB26DC"/>
    <w:rsid w:val="00BB2883"/>
    <w:rsid w:val="00BB2AE1"/>
    <w:rsid w:val="00BB3075"/>
    <w:rsid w:val="00BB3B06"/>
    <w:rsid w:val="00BB3BDA"/>
    <w:rsid w:val="00BB3CFF"/>
    <w:rsid w:val="00BB3F54"/>
    <w:rsid w:val="00BB4115"/>
    <w:rsid w:val="00BB4121"/>
    <w:rsid w:val="00BB43DD"/>
    <w:rsid w:val="00BB4CF2"/>
    <w:rsid w:val="00BB4E38"/>
    <w:rsid w:val="00BB53AE"/>
    <w:rsid w:val="00BB53B0"/>
    <w:rsid w:val="00BB53D7"/>
    <w:rsid w:val="00BB5BB8"/>
    <w:rsid w:val="00BB5CBE"/>
    <w:rsid w:val="00BB62AC"/>
    <w:rsid w:val="00BB6403"/>
    <w:rsid w:val="00BB6952"/>
    <w:rsid w:val="00BB6B1C"/>
    <w:rsid w:val="00BB6DF7"/>
    <w:rsid w:val="00BB76B6"/>
    <w:rsid w:val="00BB76C7"/>
    <w:rsid w:val="00BB779B"/>
    <w:rsid w:val="00BB7D68"/>
    <w:rsid w:val="00BC05EC"/>
    <w:rsid w:val="00BC0D85"/>
    <w:rsid w:val="00BC0EE0"/>
    <w:rsid w:val="00BC1299"/>
    <w:rsid w:val="00BC1484"/>
    <w:rsid w:val="00BC1826"/>
    <w:rsid w:val="00BC1E1B"/>
    <w:rsid w:val="00BC21CE"/>
    <w:rsid w:val="00BC226A"/>
    <w:rsid w:val="00BC23A2"/>
    <w:rsid w:val="00BC23F6"/>
    <w:rsid w:val="00BC264C"/>
    <w:rsid w:val="00BC2735"/>
    <w:rsid w:val="00BC27EA"/>
    <w:rsid w:val="00BC2907"/>
    <w:rsid w:val="00BC2B6B"/>
    <w:rsid w:val="00BC2E24"/>
    <w:rsid w:val="00BC30E1"/>
    <w:rsid w:val="00BC317B"/>
    <w:rsid w:val="00BC34AD"/>
    <w:rsid w:val="00BC424B"/>
    <w:rsid w:val="00BC4866"/>
    <w:rsid w:val="00BC4A3A"/>
    <w:rsid w:val="00BC4ACA"/>
    <w:rsid w:val="00BC4B09"/>
    <w:rsid w:val="00BC4CC9"/>
    <w:rsid w:val="00BC4FAE"/>
    <w:rsid w:val="00BC5273"/>
    <w:rsid w:val="00BC5553"/>
    <w:rsid w:val="00BC58D2"/>
    <w:rsid w:val="00BC604D"/>
    <w:rsid w:val="00BC6391"/>
    <w:rsid w:val="00BC63B5"/>
    <w:rsid w:val="00BC6D40"/>
    <w:rsid w:val="00BC7310"/>
    <w:rsid w:val="00BC7801"/>
    <w:rsid w:val="00BC79C9"/>
    <w:rsid w:val="00BD03C1"/>
    <w:rsid w:val="00BD06BE"/>
    <w:rsid w:val="00BD0877"/>
    <w:rsid w:val="00BD0CCA"/>
    <w:rsid w:val="00BD0ED2"/>
    <w:rsid w:val="00BD1403"/>
    <w:rsid w:val="00BD16CE"/>
    <w:rsid w:val="00BD175D"/>
    <w:rsid w:val="00BD1C2A"/>
    <w:rsid w:val="00BD1E5E"/>
    <w:rsid w:val="00BD2068"/>
    <w:rsid w:val="00BD253C"/>
    <w:rsid w:val="00BD2669"/>
    <w:rsid w:val="00BD3161"/>
    <w:rsid w:val="00BD33C0"/>
    <w:rsid w:val="00BD3411"/>
    <w:rsid w:val="00BD3641"/>
    <w:rsid w:val="00BD36E8"/>
    <w:rsid w:val="00BD38D7"/>
    <w:rsid w:val="00BD3A01"/>
    <w:rsid w:val="00BD3A04"/>
    <w:rsid w:val="00BD3AF1"/>
    <w:rsid w:val="00BD3C28"/>
    <w:rsid w:val="00BD3CE9"/>
    <w:rsid w:val="00BD3DCA"/>
    <w:rsid w:val="00BD4188"/>
    <w:rsid w:val="00BD43E3"/>
    <w:rsid w:val="00BD458A"/>
    <w:rsid w:val="00BD47EC"/>
    <w:rsid w:val="00BD5025"/>
    <w:rsid w:val="00BD53A5"/>
    <w:rsid w:val="00BD53F6"/>
    <w:rsid w:val="00BD5841"/>
    <w:rsid w:val="00BD5C1F"/>
    <w:rsid w:val="00BD5D91"/>
    <w:rsid w:val="00BD5F29"/>
    <w:rsid w:val="00BD6531"/>
    <w:rsid w:val="00BD6598"/>
    <w:rsid w:val="00BD66CA"/>
    <w:rsid w:val="00BD6E94"/>
    <w:rsid w:val="00BD721D"/>
    <w:rsid w:val="00BD7333"/>
    <w:rsid w:val="00BD7702"/>
    <w:rsid w:val="00BD772A"/>
    <w:rsid w:val="00BD77B3"/>
    <w:rsid w:val="00BD7A9B"/>
    <w:rsid w:val="00BD7BFB"/>
    <w:rsid w:val="00BD7D5E"/>
    <w:rsid w:val="00BD7F59"/>
    <w:rsid w:val="00BE001B"/>
    <w:rsid w:val="00BE03B4"/>
    <w:rsid w:val="00BE04F3"/>
    <w:rsid w:val="00BE050B"/>
    <w:rsid w:val="00BE091F"/>
    <w:rsid w:val="00BE0A42"/>
    <w:rsid w:val="00BE0E30"/>
    <w:rsid w:val="00BE1490"/>
    <w:rsid w:val="00BE16EC"/>
    <w:rsid w:val="00BE1CCD"/>
    <w:rsid w:val="00BE1CE9"/>
    <w:rsid w:val="00BE1E73"/>
    <w:rsid w:val="00BE1EA0"/>
    <w:rsid w:val="00BE22D1"/>
    <w:rsid w:val="00BE232A"/>
    <w:rsid w:val="00BE2382"/>
    <w:rsid w:val="00BE2956"/>
    <w:rsid w:val="00BE2DAC"/>
    <w:rsid w:val="00BE32D7"/>
    <w:rsid w:val="00BE344A"/>
    <w:rsid w:val="00BE3471"/>
    <w:rsid w:val="00BE3C7E"/>
    <w:rsid w:val="00BE43C5"/>
    <w:rsid w:val="00BE44F3"/>
    <w:rsid w:val="00BE451C"/>
    <w:rsid w:val="00BE45F4"/>
    <w:rsid w:val="00BE4A69"/>
    <w:rsid w:val="00BE4B36"/>
    <w:rsid w:val="00BE4BB7"/>
    <w:rsid w:val="00BE5651"/>
    <w:rsid w:val="00BE5A9E"/>
    <w:rsid w:val="00BE5BC0"/>
    <w:rsid w:val="00BE5C7D"/>
    <w:rsid w:val="00BE5CFA"/>
    <w:rsid w:val="00BE5EAF"/>
    <w:rsid w:val="00BE6015"/>
    <w:rsid w:val="00BE605E"/>
    <w:rsid w:val="00BE6111"/>
    <w:rsid w:val="00BE626F"/>
    <w:rsid w:val="00BE6283"/>
    <w:rsid w:val="00BE6503"/>
    <w:rsid w:val="00BE65D6"/>
    <w:rsid w:val="00BE68E4"/>
    <w:rsid w:val="00BE69DF"/>
    <w:rsid w:val="00BE6EC5"/>
    <w:rsid w:val="00BE7253"/>
    <w:rsid w:val="00BE72C0"/>
    <w:rsid w:val="00BE72F0"/>
    <w:rsid w:val="00BE7543"/>
    <w:rsid w:val="00BE7AD3"/>
    <w:rsid w:val="00BE7DC5"/>
    <w:rsid w:val="00BF041E"/>
    <w:rsid w:val="00BF0690"/>
    <w:rsid w:val="00BF0D5A"/>
    <w:rsid w:val="00BF0DA0"/>
    <w:rsid w:val="00BF1344"/>
    <w:rsid w:val="00BF1359"/>
    <w:rsid w:val="00BF161D"/>
    <w:rsid w:val="00BF1DB0"/>
    <w:rsid w:val="00BF1E8E"/>
    <w:rsid w:val="00BF2505"/>
    <w:rsid w:val="00BF2BA6"/>
    <w:rsid w:val="00BF2E92"/>
    <w:rsid w:val="00BF34F0"/>
    <w:rsid w:val="00BF361F"/>
    <w:rsid w:val="00BF3C1F"/>
    <w:rsid w:val="00BF3E77"/>
    <w:rsid w:val="00BF432E"/>
    <w:rsid w:val="00BF45CC"/>
    <w:rsid w:val="00BF4707"/>
    <w:rsid w:val="00BF4711"/>
    <w:rsid w:val="00BF4828"/>
    <w:rsid w:val="00BF484D"/>
    <w:rsid w:val="00BF4A85"/>
    <w:rsid w:val="00BF4BEC"/>
    <w:rsid w:val="00BF4ED5"/>
    <w:rsid w:val="00BF503B"/>
    <w:rsid w:val="00BF51A9"/>
    <w:rsid w:val="00BF52F0"/>
    <w:rsid w:val="00BF53D0"/>
    <w:rsid w:val="00BF54F8"/>
    <w:rsid w:val="00BF57AB"/>
    <w:rsid w:val="00BF57B8"/>
    <w:rsid w:val="00BF5C6A"/>
    <w:rsid w:val="00BF5C8C"/>
    <w:rsid w:val="00BF6232"/>
    <w:rsid w:val="00BF686A"/>
    <w:rsid w:val="00BF6966"/>
    <w:rsid w:val="00BF6A75"/>
    <w:rsid w:val="00BF6ADC"/>
    <w:rsid w:val="00BF6B2A"/>
    <w:rsid w:val="00BF6B90"/>
    <w:rsid w:val="00BF6DEF"/>
    <w:rsid w:val="00BF6E49"/>
    <w:rsid w:val="00BF6E8A"/>
    <w:rsid w:val="00BF7095"/>
    <w:rsid w:val="00BF7130"/>
    <w:rsid w:val="00BF74F6"/>
    <w:rsid w:val="00BF79EC"/>
    <w:rsid w:val="00BF7EF0"/>
    <w:rsid w:val="00C00417"/>
    <w:rsid w:val="00C00495"/>
    <w:rsid w:val="00C0099F"/>
    <w:rsid w:val="00C00BD3"/>
    <w:rsid w:val="00C00D41"/>
    <w:rsid w:val="00C00F28"/>
    <w:rsid w:val="00C01A7D"/>
    <w:rsid w:val="00C01FE4"/>
    <w:rsid w:val="00C02713"/>
    <w:rsid w:val="00C02E5D"/>
    <w:rsid w:val="00C03072"/>
    <w:rsid w:val="00C03256"/>
    <w:rsid w:val="00C03257"/>
    <w:rsid w:val="00C032AD"/>
    <w:rsid w:val="00C033E4"/>
    <w:rsid w:val="00C036DA"/>
    <w:rsid w:val="00C0371B"/>
    <w:rsid w:val="00C037F2"/>
    <w:rsid w:val="00C0380C"/>
    <w:rsid w:val="00C04707"/>
    <w:rsid w:val="00C049ED"/>
    <w:rsid w:val="00C04DF8"/>
    <w:rsid w:val="00C0534B"/>
    <w:rsid w:val="00C053FE"/>
    <w:rsid w:val="00C054F5"/>
    <w:rsid w:val="00C0564D"/>
    <w:rsid w:val="00C05AD0"/>
    <w:rsid w:val="00C05BCA"/>
    <w:rsid w:val="00C05CA2"/>
    <w:rsid w:val="00C05DBE"/>
    <w:rsid w:val="00C06136"/>
    <w:rsid w:val="00C063DA"/>
    <w:rsid w:val="00C07452"/>
    <w:rsid w:val="00C076B3"/>
    <w:rsid w:val="00C079EC"/>
    <w:rsid w:val="00C1016F"/>
    <w:rsid w:val="00C10201"/>
    <w:rsid w:val="00C10531"/>
    <w:rsid w:val="00C1073B"/>
    <w:rsid w:val="00C10B00"/>
    <w:rsid w:val="00C10CE3"/>
    <w:rsid w:val="00C10D1E"/>
    <w:rsid w:val="00C10E52"/>
    <w:rsid w:val="00C11021"/>
    <w:rsid w:val="00C11454"/>
    <w:rsid w:val="00C115DE"/>
    <w:rsid w:val="00C1182F"/>
    <w:rsid w:val="00C11A55"/>
    <w:rsid w:val="00C11D8A"/>
    <w:rsid w:val="00C11DA1"/>
    <w:rsid w:val="00C11EC5"/>
    <w:rsid w:val="00C11F6A"/>
    <w:rsid w:val="00C12183"/>
    <w:rsid w:val="00C124A5"/>
    <w:rsid w:val="00C127BF"/>
    <w:rsid w:val="00C12D5E"/>
    <w:rsid w:val="00C12DEE"/>
    <w:rsid w:val="00C132ED"/>
    <w:rsid w:val="00C13416"/>
    <w:rsid w:val="00C137F7"/>
    <w:rsid w:val="00C13914"/>
    <w:rsid w:val="00C13A8A"/>
    <w:rsid w:val="00C13BEF"/>
    <w:rsid w:val="00C13C28"/>
    <w:rsid w:val="00C13E02"/>
    <w:rsid w:val="00C13EA0"/>
    <w:rsid w:val="00C14494"/>
    <w:rsid w:val="00C14A13"/>
    <w:rsid w:val="00C14CB1"/>
    <w:rsid w:val="00C14D81"/>
    <w:rsid w:val="00C14EA1"/>
    <w:rsid w:val="00C15192"/>
    <w:rsid w:val="00C153E7"/>
    <w:rsid w:val="00C15CD2"/>
    <w:rsid w:val="00C15F20"/>
    <w:rsid w:val="00C16461"/>
    <w:rsid w:val="00C164D9"/>
    <w:rsid w:val="00C16718"/>
    <w:rsid w:val="00C16863"/>
    <w:rsid w:val="00C16869"/>
    <w:rsid w:val="00C16AE4"/>
    <w:rsid w:val="00C16CA4"/>
    <w:rsid w:val="00C16E80"/>
    <w:rsid w:val="00C170AE"/>
    <w:rsid w:val="00C17105"/>
    <w:rsid w:val="00C1716A"/>
    <w:rsid w:val="00C17441"/>
    <w:rsid w:val="00C17AE5"/>
    <w:rsid w:val="00C17DF2"/>
    <w:rsid w:val="00C202A9"/>
    <w:rsid w:val="00C204D6"/>
    <w:rsid w:val="00C20989"/>
    <w:rsid w:val="00C209B5"/>
    <w:rsid w:val="00C20E06"/>
    <w:rsid w:val="00C2105F"/>
    <w:rsid w:val="00C211C3"/>
    <w:rsid w:val="00C214D2"/>
    <w:rsid w:val="00C21545"/>
    <w:rsid w:val="00C21607"/>
    <w:rsid w:val="00C21644"/>
    <w:rsid w:val="00C21833"/>
    <w:rsid w:val="00C21914"/>
    <w:rsid w:val="00C21F72"/>
    <w:rsid w:val="00C22034"/>
    <w:rsid w:val="00C22899"/>
    <w:rsid w:val="00C2292A"/>
    <w:rsid w:val="00C2296F"/>
    <w:rsid w:val="00C22B01"/>
    <w:rsid w:val="00C23452"/>
    <w:rsid w:val="00C23B2B"/>
    <w:rsid w:val="00C23B97"/>
    <w:rsid w:val="00C24047"/>
    <w:rsid w:val="00C246DF"/>
    <w:rsid w:val="00C2480D"/>
    <w:rsid w:val="00C24A5C"/>
    <w:rsid w:val="00C24C38"/>
    <w:rsid w:val="00C25182"/>
    <w:rsid w:val="00C256A5"/>
    <w:rsid w:val="00C25BE5"/>
    <w:rsid w:val="00C25F59"/>
    <w:rsid w:val="00C261B4"/>
    <w:rsid w:val="00C263FA"/>
    <w:rsid w:val="00C264BC"/>
    <w:rsid w:val="00C26826"/>
    <w:rsid w:val="00C26918"/>
    <w:rsid w:val="00C2692B"/>
    <w:rsid w:val="00C26AA9"/>
    <w:rsid w:val="00C26B7D"/>
    <w:rsid w:val="00C26CB3"/>
    <w:rsid w:val="00C273CC"/>
    <w:rsid w:val="00C27586"/>
    <w:rsid w:val="00C275BD"/>
    <w:rsid w:val="00C27AEA"/>
    <w:rsid w:val="00C27C12"/>
    <w:rsid w:val="00C27C3A"/>
    <w:rsid w:val="00C30243"/>
    <w:rsid w:val="00C30485"/>
    <w:rsid w:val="00C3088B"/>
    <w:rsid w:val="00C30971"/>
    <w:rsid w:val="00C30A76"/>
    <w:rsid w:val="00C30CAC"/>
    <w:rsid w:val="00C30FB2"/>
    <w:rsid w:val="00C3120C"/>
    <w:rsid w:val="00C316C5"/>
    <w:rsid w:val="00C31EF6"/>
    <w:rsid w:val="00C3208F"/>
    <w:rsid w:val="00C32219"/>
    <w:rsid w:val="00C3271A"/>
    <w:rsid w:val="00C32745"/>
    <w:rsid w:val="00C329FC"/>
    <w:rsid w:val="00C32CE2"/>
    <w:rsid w:val="00C32FA0"/>
    <w:rsid w:val="00C33018"/>
    <w:rsid w:val="00C3325E"/>
    <w:rsid w:val="00C33962"/>
    <w:rsid w:val="00C339AE"/>
    <w:rsid w:val="00C33F73"/>
    <w:rsid w:val="00C34154"/>
    <w:rsid w:val="00C3438A"/>
    <w:rsid w:val="00C34490"/>
    <w:rsid w:val="00C34627"/>
    <w:rsid w:val="00C34731"/>
    <w:rsid w:val="00C3488B"/>
    <w:rsid w:val="00C34FA3"/>
    <w:rsid w:val="00C352C0"/>
    <w:rsid w:val="00C3530A"/>
    <w:rsid w:val="00C35322"/>
    <w:rsid w:val="00C3586A"/>
    <w:rsid w:val="00C35AA3"/>
    <w:rsid w:val="00C35AA6"/>
    <w:rsid w:val="00C35D72"/>
    <w:rsid w:val="00C35E5D"/>
    <w:rsid w:val="00C35EDE"/>
    <w:rsid w:val="00C35FED"/>
    <w:rsid w:val="00C3603D"/>
    <w:rsid w:val="00C3616F"/>
    <w:rsid w:val="00C362C1"/>
    <w:rsid w:val="00C362EF"/>
    <w:rsid w:val="00C36535"/>
    <w:rsid w:val="00C365F6"/>
    <w:rsid w:val="00C36660"/>
    <w:rsid w:val="00C36680"/>
    <w:rsid w:val="00C36B07"/>
    <w:rsid w:val="00C36D0C"/>
    <w:rsid w:val="00C36DA5"/>
    <w:rsid w:val="00C36E46"/>
    <w:rsid w:val="00C373EC"/>
    <w:rsid w:val="00C37414"/>
    <w:rsid w:val="00C37B7A"/>
    <w:rsid w:val="00C37E09"/>
    <w:rsid w:val="00C40178"/>
    <w:rsid w:val="00C408C7"/>
    <w:rsid w:val="00C408FD"/>
    <w:rsid w:val="00C4091D"/>
    <w:rsid w:val="00C40F30"/>
    <w:rsid w:val="00C411D7"/>
    <w:rsid w:val="00C412E2"/>
    <w:rsid w:val="00C419EC"/>
    <w:rsid w:val="00C42418"/>
    <w:rsid w:val="00C42A94"/>
    <w:rsid w:val="00C42CB5"/>
    <w:rsid w:val="00C42D77"/>
    <w:rsid w:val="00C43050"/>
    <w:rsid w:val="00C431E9"/>
    <w:rsid w:val="00C432FA"/>
    <w:rsid w:val="00C4359F"/>
    <w:rsid w:val="00C43661"/>
    <w:rsid w:val="00C438A6"/>
    <w:rsid w:val="00C4408E"/>
    <w:rsid w:val="00C4427D"/>
    <w:rsid w:val="00C4494C"/>
    <w:rsid w:val="00C44A6A"/>
    <w:rsid w:val="00C44FD6"/>
    <w:rsid w:val="00C450B3"/>
    <w:rsid w:val="00C45354"/>
    <w:rsid w:val="00C45621"/>
    <w:rsid w:val="00C456D1"/>
    <w:rsid w:val="00C45762"/>
    <w:rsid w:val="00C461CC"/>
    <w:rsid w:val="00C46459"/>
    <w:rsid w:val="00C466B1"/>
    <w:rsid w:val="00C46AB9"/>
    <w:rsid w:val="00C4702C"/>
    <w:rsid w:val="00C47336"/>
    <w:rsid w:val="00C4765A"/>
    <w:rsid w:val="00C47977"/>
    <w:rsid w:val="00C47BDC"/>
    <w:rsid w:val="00C47E71"/>
    <w:rsid w:val="00C47F32"/>
    <w:rsid w:val="00C500A3"/>
    <w:rsid w:val="00C501B3"/>
    <w:rsid w:val="00C503C8"/>
    <w:rsid w:val="00C50568"/>
    <w:rsid w:val="00C50B22"/>
    <w:rsid w:val="00C50C85"/>
    <w:rsid w:val="00C50DC9"/>
    <w:rsid w:val="00C50DD4"/>
    <w:rsid w:val="00C50F9B"/>
    <w:rsid w:val="00C50FBE"/>
    <w:rsid w:val="00C510D5"/>
    <w:rsid w:val="00C511ED"/>
    <w:rsid w:val="00C51331"/>
    <w:rsid w:val="00C5147B"/>
    <w:rsid w:val="00C519A6"/>
    <w:rsid w:val="00C519A9"/>
    <w:rsid w:val="00C51D33"/>
    <w:rsid w:val="00C5202A"/>
    <w:rsid w:val="00C521E0"/>
    <w:rsid w:val="00C5237F"/>
    <w:rsid w:val="00C524D4"/>
    <w:rsid w:val="00C5250B"/>
    <w:rsid w:val="00C52599"/>
    <w:rsid w:val="00C529C8"/>
    <w:rsid w:val="00C52A50"/>
    <w:rsid w:val="00C52D91"/>
    <w:rsid w:val="00C531C8"/>
    <w:rsid w:val="00C53265"/>
    <w:rsid w:val="00C532BD"/>
    <w:rsid w:val="00C534BF"/>
    <w:rsid w:val="00C53C37"/>
    <w:rsid w:val="00C53E4D"/>
    <w:rsid w:val="00C54313"/>
    <w:rsid w:val="00C54646"/>
    <w:rsid w:val="00C549BF"/>
    <w:rsid w:val="00C54BE1"/>
    <w:rsid w:val="00C54F5E"/>
    <w:rsid w:val="00C551B1"/>
    <w:rsid w:val="00C55CA8"/>
    <w:rsid w:val="00C55F16"/>
    <w:rsid w:val="00C560C0"/>
    <w:rsid w:val="00C560C6"/>
    <w:rsid w:val="00C560DB"/>
    <w:rsid w:val="00C56689"/>
    <w:rsid w:val="00C56697"/>
    <w:rsid w:val="00C5674B"/>
    <w:rsid w:val="00C5678F"/>
    <w:rsid w:val="00C5680C"/>
    <w:rsid w:val="00C568C0"/>
    <w:rsid w:val="00C5691D"/>
    <w:rsid w:val="00C56B47"/>
    <w:rsid w:val="00C56C46"/>
    <w:rsid w:val="00C56F02"/>
    <w:rsid w:val="00C5702C"/>
    <w:rsid w:val="00C578D3"/>
    <w:rsid w:val="00C578F7"/>
    <w:rsid w:val="00C57D62"/>
    <w:rsid w:val="00C60095"/>
    <w:rsid w:val="00C60733"/>
    <w:rsid w:val="00C60774"/>
    <w:rsid w:val="00C60BA9"/>
    <w:rsid w:val="00C60D77"/>
    <w:rsid w:val="00C6108E"/>
    <w:rsid w:val="00C6116F"/>
    <w:rsid w:val="00C613E9"/>
    <w:rsid w:val="00C6170C"/>
    <w:rsid w:val="00C617BF"/>
    <w:rsid w:val="00C61B1A"/>
    <w:rsid w:val="00C61B3E"/>
    <w:rsid w:val="00C62054"/>
    <w:rsid w:val="00C625AF"/>
    <w:rsid w:val="00C628A9"/>
    <w:rsid w:val="00C629BC"/>
    <w:rsid w:val="00C629EF"/>
    <w:rsid w:val="00C62B0B"/>
    <w:rsid w:val="00C62B35"/>
    <w:rsid w:val="00C62C21"/>
    <w:rsid w:val="00C62D43"/>
    <w:rsid w:val="00C62D50"/>
    <w:rsid w:val="00C62EE4"/>
    <w:rsid w:val="00C63103"/>
    <w:rsid w:val="00C638EF"/>
    <w:rsid w:val="00C63B69"/>
    <w:rsid w:val="00C63CEE"/>
    <w:rsid w:val="00C63E43"/>
    <w:rsid w:val="00C640B1"/>
    <w:rsid w:val="00C640DA"/>
    <w:rsid w:val="00C64410"/>
    <w:rsid w:val="00C64CA6"/>
    <w:rsid w:val="00C64D81"/>
    <w:rsid w:val="00C64DFD"/>
    <w:rsid w:val="00C651F8"/>
    <w:rsid w:val="00C6537D"/>
    <w:rsid w:val="00C65444"/>
    <w:rsid w:val="00C65892"/>
    <w:rsid w:val="00C65C36"/>
    <w:rsid w:val="00C65DDA"/>
    <w:rsid w:val="00C66024"/>
    <w:rsid w:val="00C660C0"/>
    <w:rsid w:val="00C660E5"/>
    <w:rsid w:val="00C662A5"/>
    <w:rsid w:val="00C6646F"/>
    <w:rsid w:val="00C6657F"/>
    <w:rsid w:val="00C66869"/>
    <w:rsid w:val="00C6691F"/>
    <w:rsid w:val="00C66D07"/>
    <w:rsid w:val="00C66EF3"/>
    <w:rsid w:val="00C66F1E"/>
    <w:rsid w:val="00C6780A"/>
    <w:rsid w:val="00C67854"/>
    <w:rsid w:val="00C67A1C"/>
    <w:rsid w:val="00C67DD0"/>
    <w:rsid w:val="00C67F82"/>
    <w:rsid w:val="00C7062A"/>
    <w:rsid w:val="00C708C9"/>
    <w:rsid w:val="00C70C01"/>
    <w:rsid w:val="00C70CE3"/>
    <w:rsid w:val="00C70D62"/>
    <w:rsid w:val="00C70E24"/>
    <w:rsid w:val="00C71060"/>
    <w:rsid w:val="00C7125C"/>
    <w:rsid w:val="00C713A1"/>
    <w:rsid w:val="00C71590"/>
    <w:rsid w:val="00C715A9"/>
    <w:rsid w:val="00C71A4C"/>
    <w:rsid w:val="00C71AC9"/>
    <w:rsid w:val="00C71E99"/>
    <w:rsid w:val="00C726DF"/>
    <w:rsid w:val="00C729A4"/>
    <w:rsid w:val="00C72F21"/>
    <w:rsid w:val="00C72FDB"/>
    <w:rsid w:val="00C7336A"/>
    <w:rsid w:val="00C7343E"/>
    <w:rsid w:val="00C735AA"/>
    <w:rsid w:val="00C73A2E"/>
    <w:rsid w:val="00C73B2C"/>
    <w:rsid w:val="00C74066"/>
    <w:rsid w:val="00C74722"/>
    <w:rsid w:val="00C74BA8"/>
    <w:rsid w:val="00C74C8B"/>
    <w:rsid w:val="00C75176"/>
    <w:rsid w:val="00C75178"/>
    <w:rsid w:val="00C751F3"/>
    <w:rsid w:val="00C75599"/>
    <w:rsid w:val="00C7559A"/>
    <w:rsid w:val="00C756A3"/>
    <w:rsid w:val="00C75A60"/>
    <w:rsid w:val="00C75AED"/>
    <w:rsid w:val="00C75E8D"/>
    <w:rsid w:val="00C761E4"/>
    <w:rsid w:val="00C76313"/>
    <w:rsid w:val="00C763EC"/>
    <w:rsid w:val="00C767FD"/>
    <w:rsid w:val="00C76AF5"/>
    <w:rsid w:val="00C76BD6"/>
    <w:rsid w:val="00C76E4F"/>
    <w:rsid w:val="00C77246"/>
    <w:rsid w:val="00C7754C"/>
    <w:rsid w:val="00C778BF"/>
    <w:rsid w:val="00C77C93"/>
    <w:rsid w:val="00C805A2"/>
    <w:rsid w:val="00C808BB"/>
    <w:rsid w:val="00C80C7F"/>
    <w:rsid w:val="00C80CBC"/>
    <w:rsid w:val="00C80CBF"/>
    <w:rsid w:val="00C80D38"/>
    <w:rsid w:val="00C80ED2"/>
    <w:rsid w:val="00C8112E"/>
    <w:rsid w:val="00C81187"/>
    <w:rsid w:val="00C81458"/>
    <w:rsid w:val="00C81D99"/>
    <w:rsid w:val="00C82381"/>
    <w:rsid w:val="00C82637"/>
    <w:rsid w:val="00C82643"/>
    <w:rsid w:val="00C82AC0"/>
    <w:rsid w:val="00C82ACD"/>
    <w:rsid w:val="00C82C16"/>
    <w:rsid w:val="00C82D6B"/>
    <w:rsid w:val="00C8302B"/>
    <w:rsid w:val="00C831F1"/>
    <w:rsid w:val="00C83AFB"/>
    <w:rsid w:val="00C840F3"/>
    <w:rsid w:val="00C841A8"/>
    <w:rsid w:val="00C84E62"/>
    <w:rsid w:val="00C85064"/>
    <w:rsid w:val="00C85CC7"/>
    <w:rsid w:val="00C85D6C"/>
    <w:rsid w:val="00C85F4D"/>
    <w:rsid w:val="00C86017"/>
    <w:rsid w:val="00C8602C"/>
    <w:rsid w:val="00C86340"/>
    <w:rsid w:val="00C8638F"/>
    <w:rsid w:val="00C86A82"/>
    <w:rsid w:val="00C86BF6"/>
    <w:rsid w:val="00C87775"/>
    <w:rsid w:val="00C8794F"/>
    <w:rsid w:val="00C87B6E"/>
    <w:rsid w:val="00C87B97"/>
    <w:rsid w:val="00C87EB0"/>
    <w:rsid w:val="00C900C5"/>
    <w:rsid w:val="00C9053D"/>
    <w:rsid w:val="00C90620"/>
    <w:rsid w:val="00C9074A"/>
    <w:rsid w:val="00C907C4"/>
    <w:rsid w:val="00C9109D"/>
    <w:rsid w:val="00C9121B"/>
    <w:rsid w:val="00C91296"/>
    <w:rsid w:val="00C9150F"/>
    <w:rsid w:val="00C918D7"/>
    <w:rsid w:val="00C91B08"/>
    <w:rsid w:val="00C91DE1"/>
    <w:rsid w:val="00C91DF1"/>
    <w:rsid w:val="00C91FFA"/>
    <w:rsid w:val="00C922F9"/>
    <w:rsid w:val="00C924CD"/>
    <w:rsid w:val="00C926D0"/>
    <w:rsid w:val="00C92D47"/>
    <w:rsid w:val="00C92E8E"/>
    <w:rsid w:val="00C93096"/>
    <w:rsid w:val="00C93283"/>
    <w:rsid w:val="00C9335B"/>
    <w:rsid w:val="00C933E0"/>
    <w:rsid w:val="00C9397F"/>
    <w:rsid w:val="00C93C37"/>
    <w:rsid w:val="00C943EE"/>
    <w:rsid w:val="00C94BE6"/>
    <w:rsid w:val="00C94D95"/>
    <w:rsid w:val="00C94E2A"/>
    <w:rsid w:val="00C9509B"/>
    <w:rsid w:val="00C95500"/>
    <w:rsid w:val="00C9576A"/>
    <w:rsid w:val="00C95810"/>
    <w:rsid w:val="00C95C04"/>
    <w:rsid w:val="00C9622F"/>
    <w:rsid w:val="00C9634F"/>
    <w:rsid w:val="00C96389"/>
    <w:rsid w:val="00C96471"/>
    <w:rsid w:val="00C96BDD"/>
    <w:rsid w:val="00C96D52"/>
    <w:rsid w:val="00C9711C"/>
    <w:rsid w:val="00C97134"/>
    <w:rsid w:val="00C97185"/>
    <w:rsid w:val="00C972AF"/>
    <w:rsid w:val="00C9741C"/>
    <w:rsid w:val="00C97990"/>
    <w:rsid w:val="00C97CCC"/>
    <w:rsid w:val="00C97EFC"/>
    <w:rsid w:val="00CA06E2"/>
    <w:rsid w:val="00CA168C"/>
    <w:rsid w:val="00CA16C2"/>
    <w:rsid w:val="00CA17A2"/>
    <w:rsid w:val="00CA1D9D"/>
    <w:rsid w:val="00CA1EEF"/>
    <w:rsid w:val="00CA24A1"/>
    <w:rsid w:val="00CA2A4D"/>
    <w:rsid w:val="00CA2C0D"/>
    <w:rsid w:val="00CA314C"/>
    <w:rsid w:val="00CA3335"/>
    <w:rsid w:val="00CA3525"/>
    <w:rsid w:val="00CA41AD"/>
    <w:rsid w:val="00CA4534"/>
    <w:rsid w:val="00CA45E4"/>
    <w:rsid w:val="00CA4D83"/>
    <w:rsid w:val="00CA4DC3"/>
    <w:rsid w:val="00CA58B7"/>
    <w:rsid w:val="00CA5B27"/>
    <w:rsid w:val="00CA5C69"/>
    <w:rsid w:val="00CA5D2B"/>
    <w:rsid w:val="00CA66AA"/>
    <w:rsid w:val="00CA6AF2"/>
    <w:rsid w:val="00CA6D6D"/>
    <w:rsid w:val="00CA6E0A"/>
    <w:rsid w:val="00CA6E8B"/>
    <w:rsid w:val="00CA6F05"/>
    <w:rsid w:val="00CA7331"/>
    <w:rsid w:val="00CA77A4"/>
    <w:rsid w:val="00CA79BB"/>
    <w:rsid w:val="00CB0264"/>
    <w:rsid w:val="00CB055A"/>
    <w:rsid w:val="00CB07E1"/>
    <w:rsid w:val="00CB0827"/>
    <w:rsid w:val="00CB0D2D"/>
    <w:rsid w:val="00CB100D"/>
    <w:rsid w:val="00CB103F"/>
    <w:rsid w:val="00CB126A"/>
    <w:rsid w:val="00CB15F7"/>
    <w:rsid w:val="00CB1676"/>
    <w:rsid w:val="00CB1712"/>
    <w:rsid w:val="00CB1856"/>
    <w:rsid w:val="00CB1AEF"/>
    <w:rsid w:val="00CB1D0A"/>
    <w:rsid w:val="00CB2169"/>
    <w:rsid w:val="00CB25E6"/>
    <w:rsid w:val="00CB29D6"/>
    <w:rsid w:val="00CB326B"/>
    <w:rsid w:val="00CB3623"/>
    <w:rsid w:val="00CB37A1"/>
    <w:rsid w:val="00CB380A"/>
    <w:rsid w:val="00CB388D"/>
    <w:rsid w:val="00CB39BC"/>
    <w:rsid w:val="00CB3A44"/>
    <w:rsid w:val="00CB3B3B"/>
    <w:rsid w:val="00CB3B63"/>
    <w:rsid w:val="00CB44F3"/>
    <w:rsid w:val="00CB477D"/>
    <w:rsid w:val="00CB47F5"/>
    <w:rsid w:val="00CB4CD5"/>
    <w:rsid w:val="00CB5148"/>
    <w:rsid w:val="00CB52D8"/>
    <w:rsid w:val="00CB5328"/>
    <w:rsid w:val="00CB54ED"/>
    <w:rsid w:val="00CB576A"/>
    <w:rsid w:val="00CB584A"/>
    <w:rsid w:val="00CB5EA2"/>
    <w:rsid w:val="00CB5F12"/>
    <w:rsid w:val="00CB65AC"/>
    <w:rsid w:val="00CB6F3C"/>
    <w:rsid w:val="00CB75F4"/>
    <w:rsid w:val="00CB7D0B"/>
    <w:rsid w:val="00CB7E9F"/>
    <w:rsid w:val="00CC028A"/>
    <w:rsid w:val="00CC05BC"/>
    <w:rsid w:val="00CC05EC"/>
    <w:rsid w:val="00CC07B2"/>
    <w:rsid w:val="00CC113C"/>
    <w:rsid w:val="00CC135B"/>
    <w:rsid w:val="00CC139C"/>
    <w:rsid w:val="00CC167D"/>
    <w:rsid w:val="00CC1694"/>
    <w:rsid w:val="00CC1730"/>
    <w:rsid w:val="00CC1799"/>
    <w:rsid w:val="00CC1884"/>
    <w:rsid w:val="00CC18D4"/>
    <w:rsid w:val="00CC213C"/>
    <w:rsid w:val="00CC2983"/>
    <w:rsid w:val="00CC2C43"/>
    <w:rsid w:val="00CC2F7C"/>
    <w:rsid w:val="00CC31D4"/>
    <w:rsid w:val="00CC31F0"/>
    <w:rsid w:val="00CC347C"/>
    <w:rsid w:val="00CC3515"/>
    <w:rsid w:val="00CC3919"/>
    <w:rsid w:val="00CC41D3"/>
    <w:rsid w:val="00CC4342"/>
    <w:rsid w:val="00CC4A3B"/>
    <w:rsid w:val="00CC4A9E"/>
    <w:rsid w:val="00CC4BDD"/>
    <w:rsid w:val="00CC4D8D"/>
    <w:rsid w:val="00CC4EBC"/>
    <w:rsid w:val="00CC5125"/>
    <w:rsid w:val="00CC5FB3"/>
    <w:rsid w:val="00CC64CD"/>
    <w:rsid w:val="00CC660E"/>
    <w:rsid w:val="00CC6737"/>
    <w:rsid w:val="00CC67A1"/>
    <w:rsid w:val="00CC6848"/>
    <w:rsid w:val="00CC6A04"/>
    <w:rsid w:val="00CC6A1B"/>
    <w:rsid w:val="00CC6B92"/>
    <w:rsid w:val="00CC6DA4"/>
    <w:rsid w:val="00CC7024"/>
    <w:rsid w:val="00CC7134"/>
    <w:rsid w:val="00CC72B1"/>
    <w:rsid w:val="00CC75CE"/>
    <w:rsid w:val="00CC7628"/>
    <w:rsid w:val="00CC7CDB"/>
    <w:rsid w:val="00CC7D83"/>
    <w:rsid w:val="00CC7E59"/>
    <w:rsid w:val="00CD0144"/>
    <w:rsid w:val="00CD0717"/>
    <w:rsid w:val="00CD0869"/>
    <w:rsid w:val="00CD0DFF"/>
    <w:rsid w:val="00CD11A2"/>
    <w:rsid w:val="00CD1674"/>
    <w:rsid w:val="00CD1682"/>
    <w:rsid w:val="00CD1761"/>
    <w:rsid w:val="00CD1895"/>
    <w:rsid w:val="00CD1A69"/>
    <w:rsid w:val="00CD1BBB"/>
    <w:rsid w:val="00CD1EAE"/>
    <w:rsid w:val="00CD225D"/>
    <w:rsid w:val="00CD22BA"/>
    <w:rsid w:val="00CD24CB"/>
    <w:rsid w:val="00CD2753"/>
    <w:rsid w:val="00CD2774"/>
    <w:rsid w:val="00CD27E6"/>
    <w:rsid w:val="00CD2951"/>
    <w:rsid w:val="00CD2D17"/>
    <w:rsid w:val="00CD2DE9"/>
    <w:rsid w:val="00CD325F"/>
    <w:rsid w:val="00CD3342"/>
    <w:rsid w:val="00CD364B"/>
    <w:rsid w:val="00CD3834"/>
    <w:rsid w:val="00CD392C"/>
    <w:rsid w:val="00CD411B"/>
    <w:rsid w:val="00CD4190"/>
    <w:rsid w:val="00CD43CE"/>
    <w:rsid w:val="00CD45B6"/>
    <w:rsid w:val="00CD4C01"/>
    <w:rsid w:val="00CD4E0E"/>
    <w:rsid w:val="00CD4EDE"/>
    <w:rsid w:val="00CD4F0C"/>
    <w:rsid w:val="00CD5011"/>
    <w:rsid w:val="00CD581C"/>
    <w:rsid w:val="00CD583D"/>
    <w:rsid w:val="00CD5891"/>
    <w:rsid w:val="00CD58AA"/>
    <w:rsid w:val="00CD5A6B"/>
    <w:rsid w:val="00CD5B25"/>
    <w:rsid w:val="00CD5C31"/>
    <w:rsid w:val="00CD6049"/>
    <w:rsid w:val="00CD610F"/>
    <w:rsid w:val="00CD61AB"/>
    <w:rsid w:val="00CD621F"/>
    <w:rsid w:val="00CD659F"/>
    <w:rsid w:val="00CD65D1"/>
    <w:rsid w:val="00CD6705"/>
    <w:rsid w:val="00CD6843"/>
    <w:rsid w:val="00CD6C6A"/>
    <w:rsid w:val="00CD7370"/>
    <w:rsid w:val="00CD76DB"/>
    <w:rsid w:val="00CD788D"/>
    <w:rsid w:val="00CD7B29"/>
    <w:rsid w:val="00CD7B5A"/>
    <w:rsid w:val="00CD7DE3"/>
    <w:rsid w:val="00CD7E66"/>
    <w:rsid w:val="00CD7E8C"/>
    <w:rsid w:val="00CD7FDA"/>
    <w:rsid w:val="00CE0056"/>
    <w:rsid w:val="00CE0410"/>
    <w:rsid w:val="00CE04D2"/>
    <w:rsid w:val="00CE087F"/>
    <w:rsid w:val="00CE09D8"/>
    <w:rsid w:val="00CE0C60"/>
    <w:rsid w:val="00CE0D23"/>
    <w:rsid w:val="00CE0D26"/>
    <w:rsid w:val="00CE136C"/>
    <w:rsid w:val="00CE1532"/>
    <w:rsid w:val="00CE1536"/>
    <w:rsid w:val="00CE1899"/>
    <w:rsid w:val="00CE1BC4"/>
    <w:rsid w:val="00CE2019"/>
    <w:rsid w:val="00CE2188"/>
    <w:rsid w:val="00CE21B7"/>
    <w:rsid w:val="00CE2207"/>
    <w:rsid w:val="00CE2716"/>
    <w:rsid w:val="00CE27A2"/>
    <w:rsid w:val="00CE3458"/>
    <w:rsid w:val="00CE3493"/>
    <w:rsid w:val="00CE357F"/>
    <w:rsid w:val="00CE35D3"/>
    <w:rsid w:val="00CE36FB"/>
    <w:rsid w:val="00CE373C"/>
    <w:rsid w:val="00CE3842"/>
    <w:rsid w:val="00CE393E"/>
    <w:rsid w:val="00CE3FC3"/>
    <w:rsid w:val="00CE40C2"/>
    <w:rsid w:val="00CE40FF"/>
    <w:rsid w:val="00CE4452"/>
    <w:rsid w:val="00CE48C5"/>
    <w:rsid w:val="00CE49A3"/>
    <w:rsid w:val="00CE4D3D"/>
    <w:rsid w:val="00CE5188"/>
    <w:rsid w:val="00CE5244"/>
    <w:rsid w:val="00CE525D"/>
    <w:rsid w:val="00CE568A"/>
    <w:rsid w:val="00CE56DD"/>
    <w:rsid w:val="00CE56E1"/>
    <w:rsid w:val="00CE5C4D"/>
    <w:rsid w:val="00CE5FCC"/>
    <w:rsid w:val="00CE6113"/>
    <w:rsid w:val="00CE61EE"/>
    <w:rsid w:val="00CE6511"/>
    <w:rsid w:val="00CE65AD"/>
    <w:rsid w:val="00CE680F"/>
    <w:rsid w:val="00CE6976"/>
    <w:rsid w:val="00CE6D4E"/>
    <w:rsid w:val="00CE6E92"/>
    <w:rsid w:val="00CE6E96"/>
    <w:rsid w:val="00CE70E1"/>
    <w:rsid w:val="00CE7192"/>
    <w:rsid w:val="00CE731E"/>
    <w:rsid w:val="00CE738E"/>
    <w:rsid w:val="00CE73B4"/>
    <w:rsid w:val="00CE7593"/>
    <w:rsid w:val="00CE75BB"/>
    <w:rsid w:val="00CE7646"/>
    <w:rsid w:val="00CE7DBC"/>
    <w:rsid w:val="00CE7FFD"/>
    <w:rsid w:val="00CF0151"/>
    <w:rsid w:val="00CF0165"/>
    <w:rsid w:val="00CF03CF"/>
    <w:rsid w:val="00CF04EE"/>
    <w:rsid w:val="00CF051C"/>
    <w:rsid w:val="00CF0B73"/>
    <w:rsid w:val="00CF0EF4"/>
    <w:rsid w:val="00CF0FE1"/>
    <w:rsid w:val="00CF10C3"/>
    <w:rsid w:val="00CF1296"/>
    <w:rsid w:val="00CF146F"/>
    <w:rsid w:val="00CF17A7"/>
    <w:rsid w:val="00CF186F"/>
    <w:rsid w:val="00CF20E0"/>
    <w:rsid w:val="00CF237E"/>
    <w:rsid w:val="00CF23C8"/>
    <w:rsid w:val="00CF28A6"/>
    <w:rsid w:val="00CF2BAE"/>
    <w:rsid w:val="00CF2E40"/>
    <w:rsid w:val="00CF2F60"/>
    <w:rsid w:val="00CF3333"/>
    <w:rsid w:val="00CF3880"/>
    <w:rsid w:val="00CF3D54"/>
    <w:rsid w:val="00CF3DE5"/>
    <w:rsid w:val="00CF41B1"/>
    <w:rsid w:val="00CF468A"/>
    <w:rsid w:val="00CF4790"/>
    <w:rsid w:val="00CF493B"/>
    <w:rsid w:val="00CF4C87"/>
    <w:rsid w:val="00CF500A"/>
    <w:rsid w:val="00CF527B"/>
    <w:rsid w:val="00CF58B2"/>
    <w:rsid w:val="00CF67D6"/>
    <w:rsid w:val="00CF6A3C"/>
    <w:rsid w:val="00CF6A5C"/>
    <w:rsid w:val="00CF6AA1"/>
    <w:rsid w:val="00CF6FF4"/>
    <w:rsid w:val="00CF7377"/>
    <w:rsid w:val="00CF7994"/>
    <w:rsid w:val="00D00248"/>
    <w:rsid w:val="00D0049F"/>
    <w:rsid w:val="00D00561"/>
    <w:rsid w:val="00D00716"/>
    <w:rsid w:val="00D00AD5"/>
    <w:rsid w:val="00D00D95"/>
    <w:rsid w:val="00D01C4E"/>
    <w:rsid w:val="00D02CE3"/>
    <w:rsid w:val="00D02D32"/>
    <w:rsid w:val="00D03B40"/>
    <w:rsid w:val="00D03C0B"/>
    <w:rsid w:val="00D03C49"/>
    <w:rsid w:val="00D04157"/>
    <w:rsid w:val="00D04291"/>
    <w:rsid w:val="00D042E2"/>
    <w:rsid w:val="00D044E5"/>
    <w:rsid w:val="00D04CA1"/>
    <w:rsid w:val="00D05613"/>
    <w:rsid w:val="00D056CD"/>
    <w:rsid w:val="00D05A40"/>
    <w:rsid w:val="00D05BAB"/>
    <w:rsid w:val="00D05D6E"/>
    <w:rsid w:val="00D05E7C"/>
    <w:rsid w:val="00D05EDB"/>
    <w:rsid w:val="00D060E0"/>
    <w:rsid w:val="00D0673F"/>
    <w:rsid w:val="00D068A2"/>
    <w:rsid w:val="00D06A5F"/>
    <w:rsid w:val="00D06E0F"/>
    <w:rsid w:val="00D07295"/>
    <w:rsid w:val="00D0733B"/>
    <w:rsid w:val="00D07552"/>
    <w:rsid w:val="00D07589"/>
    <w:rsid w:val="00D075FE"/>
    <w:rsid w:val="00D07869"/>
    <w:rsid w:val="00D07956"/>
    <w:rsid w:val="00D10036"/>
    <w:rsid w:val="00D100BA"/>
    <w:rsid w:val="00D10220"/>
    <w:rsid w:val="00D1053F"/>
    <w:rsid w:val="00D10A5D"/>
    <w:rsid w:val="00D10CFC"/>
    <w:rsid w:val="00D110EC"/>
    <w:rsid w:val="00D11521"/>
    <w:rsid w:val="00D11A1B"/>
    <w:rsid w:val="00D11C01"/>
    <w:rsid w:val="00D11D14"/>
    <w:rsid w:val="00D11D1A"/>
    <w:rsid w:val="00D11DCD"/>
    <w:rsid w:val="00D11DEE"/>
    <w:rsid w:val="00D11F26"/>
    <w:rsid w:val="00D12155"/>
    <w:rsid w:val="00D121BC"/>
    <w:rsid w:val="00D124B0"/>
    <w:rsid w:val="00D12992"/>
    <w:rsid w:val="00D12A3D"/>
    <w:rsid w:val="00D12B0A"/>
    <w:rsid w:val="00D12BE9"/>
    <w:rsid w:val="00D12D55"/>
    <w:rsid w:val="00D12EDA"/>
    <w:rsid w:val="00D12F3B"/>
    <w:rsid w:val="00D1309E"/>
    <w:rsid w:val="00D13328"/>
    <w:rsid w:val="00D138C2"/>
    <w:rsid w:val="00D13A65"/>
    <w:rsid w:val="00D13B2D"/>
    <w:rsid w:val="00D140C8"/>
    <w:rsid w:val="00D1412E"/>
    <w:rsid w:val="00D143B3"/>
    <w:rsid w:val="00D14586"/>
    <w:rsid w:val="00D149DE"/>
    <w:rsid w:val="00D14BA8"/>
    <w:rsid w:val="00D14C20"/>
    <w:rsid w:val="00D14E0B"/>
    <w:rsid w:val="00D14E5C"/>
    <w:rsid w:val="00D1511F"/>
    <w:rsid w:val="00D156D6"/>
    <w:rsid w:val="00D15B18"/>
    <w:rsid w:val="00D15EB0"/>
    <w:rsid w:val="00D161F2"/>
    <w:rsid w:val="00D165AA"/>
    <w:rsid w:val="00D1661E"/>
    <w:rsid w:val="00D167AA"/>
    <w:rsid w:val="00D16E8E"/>
    <w:rsid w:val="00D16F29"/>
    <w:rsid w:val="00D16FF4"/>
    <w:rsid w:val="00D17161"/>
    <w:rsid w:val="00D17174"/>
    <w:rsid w:val="00D171DF"/>
    <w:rsid w:val="00D17240"/>
    <w:rsid w:val="00D1747C"/>
    <w:rsid w:val="00D178A5"/>
    <w:rsid w:val="00D17C75"/>
    <w:rsid w:val="00D17D8D"/>
    <w:rsid w:val="00D17DC5"/>
    <w:rsid w:val="00D20329"/>
    <w:rsid w:val="00D20CFD"/>
    <w:rsid w:val="00D20D5C"/>
    <w:rsid w:val="00D20E0F"/>
    <w:rsid w:val="00D21917"/>
    <w:rsid w:val="00D219DD"/>
    <w:rsid w:val="00D21C98"/>
    <w:rsid w:val="00D21D28"/>
    <w:rsid w:val="00D21F67"/>
    <w:rsid w:val="00D2202A"/>
    <w:rsid w:val="00D220A1"/>
    <w:rsid w:val="00D22402"/>
    <w:rsid w:val="00D2283D"/>
    <w:rsid w:val="00D22E0C"/>
    <w:rsid w:val="00D23013"/>
    <w:rsid w:val="00D230EF"/>
    <w:rsid w:val="00D232DA"/>
    <w:rsid w:val="00D23BB0"/>
    <w:rsid w:val="00D24318"/>
    <w:rsid w:val="00D243E0"/>
    <w:rsid w:val="00D24A00"/>
    <w:rsid w:val="00D24B98"/>
    <w:rsid w:val="00D24BEB"/>
    <w:rsid w:val="00D2526F"/>
    <w:rsid w:val="00D25C96"/>
    <w:rsid w:val="00D25D43"/>
    <w:rsid w:val="00D25E99"/>
    <w:rsid w:val="00D2639C"/>
    <w:rsid w:val="00D266BB"/>
    <w:rsid w:val="00D26A07"/>
    <w:rsid w:val="00D26A08"/>
    <w:rsid w:val="00D26B12"/>
    <w:rsid w:val="00D26B54"/>
    <w:rsid w:val="00D26D2C"/>
    <w:rsid w:val="00D26DCA"/>
    <w:rsid w:val="00D26ED7"/>
    <w:rsid w:val="00D273C5"/>
    <w:rsid w:val="00D273D6"/>
    <w:rsid w:val="00D27909"/>
    <w:rsid w:val="00D27976"/>
    <w:rsid w:val="00D27DEB"/>
    <w:rsid w:val="00D27E8E"/>
    <w:rsid w:val="00D27F78"/>
    <w:rsid w:val="00D301A1"/>
    <w:rsid w:val="00D30A2F"/>
    <w:rsid w:val="00D316DC"/>
    <w:rsid w:val="00D32215"/>
    <w:rsid w:val="00D32264"/>
    <w:rsid w:val="00D322E9"/>
    <w:rsid w:val="00D32571"/>
    <w:rsid w:val="00D32F4B"/>
    <w:rsid w:val="00D33A3F"/>
    <w:rsid w:val="00D33E15"/>
    <w:rsid w:val="00D34712"/>
    <w:rsid w:val="00D34752"/>
    <w:rsid w:val="00D3486F"/>
    <w:rsid w:val="00D34A42"/>
    <w:rsid w:val="00D3513F"/>
    <w:rsid w:val="00D3557A"/>
    <w:rsid w:val="00D35CB3"/>
    <w:rsid w:val="00D36085"/>
    <w:rsid w:val="00D368A2"/>
    <w:rsid w:val="00D36915"/>
    <w:rsid w:val="00D36AC1"/>
    <w:rsid w:val="00D36D2A"/>
    <w:rsid w:val="00D37806"/>
    <w:rsid w:val="00D37954"/>
    <w:rsid w:val="00D37FA8"/>
    <w:rsid w:val="00D403B8"/>
    <w:rsid w:val="00D40690"/>
    <w:rsid w:val="00D40A69"/>
    <w:rsid w:val="00D41727"/>
    <w:rsid w:val="00D41852"/>
    <w:rsid w:val="00D41C01"/>
    <w:rsid w:val="00D41E34"/>
    <w:rsid w:val="00D4233B"/>
    <w:rsid w:val="00D42801"/>
    <w:rsid w:val="00D42DA0"/>
    <w:rsid w:val="00D432A3"/>
    <w:rsid w:val="00D4344D"/>
    <w:rsid w:val="00D43494"/>
    <w:rsid w:val="00D44206"/>
    <w:rsid w:val="00D4452D"/>
    <w:rsid w:val="00D447CC"/>
    <w:rsid w:val="00D447ED"/>
    <w:rsid w:val="00D4484D"/>
    <w:rsid w:val="00D44A65"/>
    <w:rsid w:val="00D44C07"/>
    <w:rsid w:val="00D44D71"/>
    <w:rsid w:val="00D44FA2"/>
    <w:rsid w:val="00D4591C"/>
    <w:rsid w:val="00D45EC2"/>
    <w:rsid w:val="00D45F29"/>
    <w:rsid w:val="00D463AC"/>
    <w:rsid w:val="00D465E3"/>
    <w:rsid w:val="00D46611"/>
    <w:rsid w:val="00D4664F"/>
    <w:rsid w:val="00D4696C"/>
    <w:rsid w:val="00D469C1"/>
    <w:rsid w:val="00D4748E"/>
    <w:rsid w:val="00D47BEB"/>
    <w:rsid w:val="00D47DBA"/>
    <w:rsid w:val="00D50398"/>
    <w:rsid w:val="00D50433"/>
    <w:rsid w:val="00D50589"/>
    <w:rsid w:val="00D505A5"/>
    <w:rsid w:val="00D50631"/>
    <w:rsid w:val="00D506C7"/>
    <w:rsid w:val="00D5092C"/>
    <w:rsid w:val="00D51051"/>
    <w:rsid w:val="00D51120"/>
    <w:rsid w:val="00D51806"/>
    <w:rsid w:val="00D51AA1"/>
    <w:rsid w:val="00D51F3D"/>
    <w:rsid w:val="00D52007"/>
    <w:rsid w:val="00D520B5"/>
    <w:rsid w:val="00D5212F"/>
    <w:rsid w:val="00D52880"/>
    <w:rsid w:val="00D5344A"/>
    <w:rsid w:val="00D53998"/>
    <w:rsid w:val="00D53CE3"/>
    <w:rsid w:val="00D542AC"/>
    <w:rsid w:val="00D542F1"/>
    <w:rsid w:val="00D54BFF"/>
    <w:rsid w:val="00D54F6C"/>
    <w:rsid w:val="00D55585"/>
    <w:rsid w:val="00D55FB7"/>
    <w:rsid w:val="00D56505"/>
    <w:rsid w:val="00D56600"/>
    <w:rsid w:val="00D5673C"/>
    <w:rsid w:val="00D56862"/>
    <w:rsid w:val="00D5695B"/>
    <w:rsid w:val="00D56D90"/>
    <w:rsid w:val="00D56E33"/>
    <w:rsid w:val="00D56E91"/>
    <w:rsid w:val="00D57375"/>
    <w:rsid w:val="00D57388"/>
    <w:rsid w:val="00D57767"/>
    <w:rsid w:val="00D57FD5"/>
    <w:rsid w:val="00D60C02"/>
    <w:rsid w:val="00D60C5E"/>
    <w:rsid w:val="00D60DDF"/>
    <w:rsid w:val="00D61084"/>
    <w:rsid w:val="00D6138F"/>
    <w:rsid w:val="00D6168F"/>
    <w:rsid w:val="00D61789"/>
    <w:rsid w:val="00D61A2B"/>
    <w:rsid w:val="00D61B34"/>
    <w:rsid w:val="00D6237B"/>
    <w:rsid w:val="00D62434"/>
    <w:rsid w:val="00D6264F"/>
    <w:rsid w:val="00D62A72"/>
    <w:rsid w:val="00D62AEB"/>
    <w:rsid w:val="00D62E19"/>
    <w:rsid w:val="00D62E25"/>
    <w:rsid w:val="00D63243"/>
    <w:rsid w:val="00D6359F"/>
    <w:rsid w:val="00D63C91"/>
    <w:rsid w:val="00D63F44"/>
    <w:rsid w:val="00D642F1"/>
    <w:rsid w:val="00D64564"/>
    <w:rsid w:val="00D645D2"/>
    <w:rsid w:val="00D64765"/>
    <w:rsid w:val="00D64AA5"/>
    <w:rsid w:val="00D64DFA"/>
    <w:rsid w:val="00D64F83"/>
    <w:rsid w:val="00D650AF"/>
    <w:rsid w:val="00D65592"/>
    <w:rsid w:val="00D655C7"/>
    <w:rsid w:val="00D65B36"/>
    <w:rsid w:val="00D65C17"/>
    <w:rsid w:val="00D6629B"/>
    <w:rsid w:val="00D664D9"/>
    <w:rsid w:val="00D66848"/>
    <w:rsid w:val="00D67041"/>
    <w:rsid w:val="00D67082"/>
    <w:rsid w:val="00D67C22"/>
    <w:rsid w:val="00D67C26"/>
    <w:rsid w:val="00D67C3A"/>
    <w:rsid w:val="00D67D81"/>
    <w:rsid w:val="00D70082"/>
    <w:rsid w:val="00D700E7"/>
    <w:rsid w:val="00D702F8"/>
    <w:rsid w:val="00D704FC"/>
    <w:rsid w:val="00D707A8"/>
    <w:rsid w:val="00D70BBF"/>
    <w:rsid w:val="00D70EE8"/>
    <w:rsid w:val="00D71083"/>
    <w:rsid w:val="00D71D64"/>
    <w:rsid w:val="00D71FC6"/>
    <w:rsid w:val="00D721A5"/>
    <w:rsid w:val="00D72437"/>
    <w:rsid w:val="00D7243A"/>
    <w:rsid w:val="00D726D1"/>
    <w:rsid w:val="00D727EE"/>
    <w:rsid w:val="00D72825"/>
    <w:rsid w:val="00D72D0A"/>
    <w:rsid w:val="00D72DB9"/>
    <w:rsid w:val="00D72FBB"/>
    <w:rsid w:val="00D730F5"/>
    <w:rsid w:val="00D73273"/>
    <w:rsid w:val="00D734AC"/>
    <w:rsid w:val="00D7358E"/>
    <w:rsid w:val="00D73658"/>
    <w:rsid w:val="00D73A67"/>
    <w:rsid w:val="00D74034"/>
    <w:rsid w:val="00D7462C"/>
    <w:rsid w:val="00D748A0"/>
    <w:rsid w:val="00D74A77"/>
    <w:rsid w:val="00D74E43"/>
    <w:rsid w:val="00D74EBD"/>
    <w:rsid w:val="00D7520A"/>
    <w:rsid w:val="00D7532B"/>
    <w:rsid w:val="00D75455"/>
    <w:rsid w:val="00D758B4"/>
    <w:rsid w:val="00D7593F"/>
    <w:rsid w:val="00D7598F"/>
    <w:rsid w:val="00D759D3"/>
    <w:rsid w:val="00D764DF"/>
    <w:rsid w:val="00D768EC"/>
    <w:rsid w:val="00D769DD"/>
    <w:rsid w:val="00D76A2D"/>
    <w:rsid w:val="00D7709E"/>
    <w:rsid w:val="00D771F6"/>
    <w:rsid w:val="00D772D7"/>
    <w:rsid w:val="00D773A3"/>
    <w:rsid w:val="00D775C5"/>
    <w:rsid w:val="00D7783E"/>
    <w:rsid w:val="00D77D3C"/>
    <w:rsid w:val="00D77EC8"/>
    <w:rsid w:val="00D80158"/>
    <w:rsid w:val="00D8029B"/>
    <w:rsid w:val="00D81174"/>
    <w:rsid w:val="00D812F8"/>
    <w:rsid w:val="00D8267C"/>
    <w:rsid w:val="00D82728"/>
    <w:rsid w:val="00D8275F"/>
    <w:rsid w:val="00D82A57"/>
    <w:rsid w:val="00D82B6F"/>
    <w:rsid w:val="00D82C3E"/>
    <w:rsid w:val="00D82F50"/>
    <w:rsid w:val="00D82F9C"/>
    <w:rsid w:val="00D8300C"/>
    <w:rsid w:val="00D835F1"/>
    <w:rsid w:val="00D83911"/>
    <w:rsid w:val="00D8391E"/>
    <w:rsid w:val="00D83A9C"/>
    <w:rsid w:val="00D83C7E"/>
    <w:rsid w:val="00D83DEE"/>
    <w:rsid w:val="00D84015"/>
    <w:rsid w:val="00D8402D"/>
    <w:rsid w:val="00D840EA"/>
    <w:rsid w:val="00D841BD"/>
    <w:rsid w:val="00D84340"/>
    <w:rsid w:val="00D8438C"/>
    <w:rsid w:val="00D84569"/>
    <w:rsid w:val="00D84922"/>
    <w:rsid w:val="00D84B77"/>
    <w:rsid w:val="00D84CD8"/>
    <w:rsid w:val="00D84DF5"/>
    <w:rsid w:val="00D8538B"/>
    <w:rsid w:val="00D854B0"/>
    <w:rsid w:val="00D8552C"/>
    <w:rsid w:val="00D8587D"/>
    <w:rsid w:val="00D85A1C"/>
    <w:rsid w:val="00D85A9E"/>
    <w:rsid w:val="00D85FE3"/>
    <w:rsid w:val="00D8642A"/>
    <w:rsid w:val="00D86847"/>
    <w:rsid w:val="00D869A8"/>
    <w:rsid w:val="00D86AEA"/>
    <w:rsid w:val="00D86B00"/>
    <w:rsid w:val="00D86B4A"/>
    <w:rsid w:val="00D86BB3"/>
    <w:rsid w:val="00D86FFC"/>
    <w:rsid w:val="00D87191"/>
    <w:rsid w:val="00D871AF"/>
    <w:rsid w:val="00D876CD"/>
    <w:rsid w:val="00D87700"/>
    <w:rsid w:val="00D87872"/>
    <w:rsid w:val="00D87CB5"/>
    <w:rsid w:val="00D87D3F"/>
    <w:rsid w:val="00D90528"/>
    <w:rsid w:val="00D9099A"/>
    <w:rsid w:val="00D90B73"/>
    <w:rsid w:val="00D90C4E"/>
    <w:rsid w:val="00D90F60"/>
    <w:rsid w:val="00D91524"/>
    <w:rsid w:val="00D91528"/>
    <w:rsid w:val="00D9179D"/>
    <w:rsid w:val="00D91829"/>
    <w:rsid w:val="00D91ABF"/>
    <w:rsid w:val="00D91CAE"/>
    <w:rsid w:val="00D92488"/>
    <w:rsid w:val="00D927F5"/>
    <w:rsid w:val="00D92866"/>
    <w:rsid w:val="00D92CED"/>
    <w:rsid w:val="00D92ED2"/>
    <w:rsid w:val="00D92F3C"/>
    <w:rsid w:val="00D9339F"/>
    <w:rsid w:val="00D9362F"/>
    <w:rsid w:val="00D93BC6"/>
    <w:rsid w:val="00D93BCE"/>
    <w:rsid w:val="00D93BD7"/>
    <w:rsid w:val="00D9417B"/>
    <w:rsid w:val="00D94201"/>
    <w:rsid w:val="00D944B3"/>
    <w:rsid w:val="00D94810"/>
    <w:rsid w:val="00D9482E"/>
    <w:rsid w:val="00D949D7"/>
    <w:rsid w:val="00D94ED0"/>
    <w:rsid w:val="00D9517F"/>
    <w:rsid w:val="00D9576A"/>
    <w:rsid w:val="00D95BC8"/>
    <w:rsid w:val="00D95D82"/>
    <w:rsid w:val="00D96048"/>
    <w:rsid w:val="00D962CA"/>
    <w:rsid w:val="00D96839"/>
    <w:rsid w:val="00D96C61"/>
    <w:rsid w:val="00D96DAC"/>
    <w:rsid w:val="00D96ECA"/>
    <w:rsid w:val="00D971FC"/>
    <w:rsid w:val="00D97391"/>
    <w:rsid w:val="00D97412"/>
    <w:rsid w:val="00D9779C"/>
    <w:rsid w:val="00D97835"/>
    <w:rsid w:val="00D97B77"/>
    <w:rsid w:val="00D97C09"/>
    <w:rsid w:val="00D97C83"/>
    <w:rsid w:val="00D97D8D"/>
    <w:rsid w:val="00D97FCC"/>
    <w:rsid w:val="00DA0311"/>
    <w:rsid w:val="00DA057A"/>
    <w:rsid w:val="00DA0582"/>
    <w:rsid w:val="00DA05A8"/>
    <w:rsid w:val="00DA07D4"/>
    <w:rsid w:val="00DA0BFB"/>
    <w:rsid w:val="00DA0E6A"/>
    <w:rsid w:val="00DA13B2"/>
    <w:rsid w:val="00DA1816"/>
    <w:rsid w:val="00DA18FA"/>
    <w:rsid w:val="00DA1F8F"/>
    <w:rsid w:val="00DA229B"/>
    <w:rsid w:val="00DA256C"/>
    <w:rsid w:val="00DA2768"/>
    <w:rsid w:val="00DA2CF6"/>
    <w:rsid w:val="00DA302D"/>
    <w:rsid w:val="00DA31B4"/>
    <w:rsid w:val="00DA32B0"/>
    <w:rsid w:val="00DA357A"/>
    <w:rsid w:val="00DA3AA4"/>
    <w:rsid w:val="00DA3B01"/>
    <w:rsid w:val="00DA3C6F"/>
    <w:rsid w:val="00DA3D10"/>
    <w:rsid w:val="00DA41B9"/>
    <w:rsid w:val="00DA4364"/>
    <w:rsid w:val="00DA4597"/>
    <w:rsid w:val="00DA46A9"/>
    <w:rsid w:val="00DA477E"/>
    <w:rsid w:val="00DA4837"/>
    <w:rsid w:val="00DA4E15"/>
    <w:rsid w:val="00DA4F00"/>
    <w:rsid w:val="00DA4FB4"/>
    <w:rsid w:val="00DA50DE"/>
    <w:rsid w:val="00DA544C"/>
    <w:rsid w:val="00DA5AA9"/>
    <w:rsid w:val="00DA5D3E"/>
    <w:rsid w:val="00DA5EFF"/>
    <w:rsid w:val="00DA5FB5"/>
    <w:rsid w:val="00DA6216"/>
    <w:rsid w:val="00DA6B2D"/>
    <w:rsid w:val="00DA6F9F"/>
    <w:rsid w:val="00DA73E7"/>
    <w:rsid w:val="00DA7462"/>
    <w:rsid w:val="00DA7521"/>
    <w:rsid w:val="00DA7574"/>
    <w:rsid w:val="00DA7DD9"/>
    <w:rsid w:val="00DB02A9"/>
    <w:rsid w:val="00DB050C"/>
    <w:rsid w:val="00DB059D"/>
    <w:rsid w:val="00DB0669"/>
    <w:rsid w:val="00DB074D"/>
    <w:rsid w:val="00DB07C3"/>
    <w:rsid w:val="00DB0871"/>
    <w:rsid w:val="00DB1325"/>
    <w:rsid w:val="00DB13B9"/>
    <w:rsid w:val="00DB1553"/>
    <w:rsid w:val="00DB19AD"/>
    <w:rsid w:val="00DB1EDC"/>
    <w:rsid w:val="00DB24E4"/>
    <w:rsid w:val="00DB2A8E"/>
    <w:rsid w:val="00DB2C06"/>
    <w:rsid w:val="00DB2C3B"/>
    <w:rsid w:val="00DB2F54"/>
    <w:rsid w:val="00DB2FFF"/>
    <w:rsid w:val="00DB35BC"/>
    <w:rsid w:val="00DB364C"/>
    <w:rsid w:val="00DB36FA"/>
    <w:rsid w:val="00DB3B76"/>
    <w:rsid w:val="00DB3CC6"/>
    <w:rsid w:val="00DB4455"/>
    <w:rsid w:val="00DB4818"/>
    <w:rsid w:val="00DB4879"/>
    <w:rsid w:val="00DB49CC"/>
    <w:rsid w:val="00DB4B49"/>
    <w:rsid w:val="00DB4B86"/>
    <w:rsid w:val="00DB4DD3"/>
    <w:rsid w:val="00DB4EAC"/>
    <w:rsid w:val="00DB4EDA"/>
    <w:rsid w:val="00DB4EEC"/>
    <w:rsid w:val="00DB5119"/>
    <w:rsid w:val="00DB5D35"/>
    <w:rsid w:val="00DB5D98"/>
    <w:rsid w:val="00DB627C"/>
    <w:rsid w:val="00DB65B6"/>
    <w:rsid w:val="00DB6712"/>
    <w:rsid w:val="00DB672B"/>
    <w:rsid w:val="00DB6B18"/>
    <w:rsid w:val="00DB6E51"/>
    <w:rsid w:val="00DB7B9D"/>
    <w:rsid w:val="00DC00B9"/>
    <w:rsid w:val="00DC015A"/>
    <w:rsid w:val="00DC0459"/>
    <w:rsid w:val="00DC08CB"/>
    <w:rsid w:val="00DC0BFC"/>
    <w:rsid w:val="00DC115A"/>
    <w:rsid w:val="00DC1533"/>
    <w:rsid w:val="00DC1C61"/>
    <w:rsid w:val="00DC1D57"/>
    <w:rsid w:val="00DC209E"/>
    <w:rsid w:val="00DC217D"/>
    <w:rsid w:val="00DC24AF"/>
    <w:rsid w:val="00DC260E"/>
    <w:rsid w:val="00DC269A"/>
    <w:rsid w:val="00DC2B0D"/>
    <w:rsid w:val="00DC2C12"/>
    <w:rsid w:val="00DC3185"/>
    <w:rsid w:val="00DC31AE"/>
    <w:rsid w:val="00DC31B6"/>
    <w:rsid w:val="00DC32A3"/>
    <w:rsid w:val="00DC32DC"/>
    <w:rsid w:val="00DC34A9"/>
    <w:rsid w:val="00DC34CB"/>
    <w:rsid w:val="00DC38A1"/>
    <w:rsid w:val="00DC38A5"/>
    <w:rsid w:val="00DC3D3B"/>
    <w:rsid w:val="00DC3EF7"/>
    <w:rsid w:val="00DC3F22"/>
    <w:rsid w:val="00DC46BF"/>
    <w:rsid w:val="00DC4870"/>
    <w:rsid w:val="00DC49DE"/>
    <w:rsid w:val="00DC4D8E"/>
    <w:rsid w:val="00DC4FC3"/>
    <w:rsid w:val="00DC5034"/>
    <w:rsid w:val="00DC5420"/>
    <w:rsid w:val="00DC5752"/>
    <w:rsid w:val="00DC5799"/>
    <w:rsid w:val="00DC5A15"/>
    <w:rsid w:val="00DC5F40"/>
    <w:rsid w:val="00DC611E"/>
    <w:rsid w:val="00DC612C"/>
    <w:rsid w:val="00DC614C"/>
    <w:rsid w:val="00DC6A7A"/>
    <w:rsid w:val="00DC727B"/>
    <w:rsid w:val="00DC7359"/>
    <w:rsid w:val="00DC73D8"/>
    <w:rsid w:val="00DC7672"/>
    <w:rsid w:val="00DC7E8B"/>
    <w:rsid w:val="00DD013E"/>
    <w:rsid w:val="00DD04D7"/>
    <w:rsid w:val="00DD054D"/>
    <w:rsid w:val="00DD105D"/>
    <w:rsid w:val="00DD10A8"/>
    <w:rsid w:val="00DD1DE8"/>
    <w:rsid w:val="00DD1EEE"/>
    <w:rsid w:val="00DD2014"/>
    <w:rsid w:val="00DD23F6"/>
    <w:rsid w:val="00DD2467"/>
    <w:rsid w:val="00DD24B4"/>
    <w:rsid w:val="00DD2700"/>
    <w:rsid w:val="00DD2887"/>
    <w:rsid w:val="00DD2983"/>
    <w:rsid w:val="00DD2C38"/>
    <w:rsid w:val="00DD2CB9"/>
    <w:rsid w:val="00DD2E63"/>
    <w:rsid w:val="00DD30AC"/>
    <w:rsid w:val="00DD3426"/>
    <w:rsid w:val="00DD39DC"/>
    <w:rsid w:val="00DD4037"/>
    <w:rsid w:val="00DD448E"/>
    <w:rsid w:val="00DD4669"/>
    <w:rsid w:val="00DD4874"/>
    <w:rsid w:val="00DD4879"/>
    <w:rsid w:val="00DD49E6"/>
    <w:rsid w:val="00DD4D43"/>
    <w:rsid w:val="00DD538B"/>
    <w:rsid w:val="00DD581D"/>
    <w:rsid w:val="00DD5C15"/>
    <w:rsid w:val="00DD5D71"/>
    <w:rsid w:val="00DD5F83"/>
    <w:rsid w:val="00DD644A"/>
    <w:rsid w:val="00DD66D5"/>
    <w:rsid w:val="00DD6A3C"/>
    <w:rsid w:val="00DD78D7"/>
    <w:rsid w:val="00DD7B89"/>
    <w:rsid w:val="00DE0074"/>
    <w:rsid w:val="00DE0298"/>
    <w:rsid w:val="00DE03ED"/>
    <w:rsid w:val="00DE05E2"/>
    <w:rsid w:val="00DE0621"/>
    <w:rsid w:val="00DE0AC1"/>
    <w:rsid w:val="00DE0D6D"/>
    <w:rsid w:val="00DE0E59"/>
    <w:rsid w:val="00DE0E95"/>
    <w:rsid w:val="00DE145D"/>
    <w:rsid w:val="00DE1489"/>
    <w:rsid w:val="00DE14F3"/>
    <w:rsid w:val="00DE1AFE"/>
    <w:rsid w:val="00DE1BE5"/>
    <w:rsid w:val="00DE1C2F"/>
    <w:rsid w:val="00DE20BA"/>
    <w:rsid w:val="00DE20EE"/>
    <w:rsid w:val="00DE21E0"/>
    <w:rsid w:val="00DE25CB"/>
    <w:rsid w:val="00DE27A3"/>
    <w:rsid w:val="00DE280D"/>
    <w:rsid w:val="00DE2B23"/>
    <w:rsid w:val="00DE2BAA"/>
    <w:rsid w:val="00DE307A"/>
    <w:rsid w:val="00DE317C"/>
    <w:rsid w:val="00DE35DF"/>
    <w:rsid w:val="00DE3C62"/>
    <w:rsid w:val="00DE43D4"/>
    <w:rsid w:val="00DE4422"/>
    <w:rsid w:val="00DE48BB"/>
    <w:rsid w:val="00DE4A19"/>
    <w:rsid w:val="00DE4DD5"/>
    <w:rsid w:val="00DE53B2"/>
    <w:rsid w:val="00DE5A14"/>
    <w:rsid w:val="00DE624D"/>
    <w:rsid w:val="00DE6394"/>
    <w:rsid w:val="00DE6D95"/>
    <w:rsid w:val="00DE70FB"/>
    <w:rsid w:val="00DE7450"/>
    <w:rsid w:val="00DE74D6"/>
    <w:rsid w:val="00DE7525"/>
    <w:rsid w:val="00DE7C21"/>
    <w:rsid w:val="00DF0198"/>
    <w:rsid w:val="00DF0297"/>
    <w:rsid w:val="00DF0702"/>
    <w:rsid w:val="00DF0A9A"/>
    <w:rsid w:val="00DF0EC3"/>
    <w:rsid w:val="00DF112E"/>
    <w:rsid w:val="00DF12D2"/>
    <w:rsid w:val="00DF16A3"/>
    <w:rsid w:val="00DF17E4"/>
    <w:rsid w:val="00DF1914"/>
    <w:rsid w:val="00DF1A84"/>
    <w:rsid w:val="00DF1AF9"/>
    <w:rsid w:val="00DF1B6E"/>
    <w:rsid w:val="00DF1BB8"/>
    <w:rsid w:val="00DF1E0C"/>
    <w:rsid w:val="00DF1F1D"/>
    <w:rsid w:val="00DF2451"/>
    <w:rsid w:val="00DF24E6"/>
    <w:rsid w:val="00DF287B"/>
    <w:rsid w:val="00DF2B8C"/>
    <w:rsid w:val="00DF30D1"/>
    <w:rsid w:val="00DF3508"/>
    <w:rsid w:val="00DF35CA"/>
    <w:rsid w:val="00DF38C9"/>
    <w:rsid w:val="00DF3A60"/>
    <w:rsid w:val="00DF3AF9"/>
    <w:rsid w:val="00DF3D2F"/>
    <w:rsid w:val="00DF3ED3"/>
    <w:rsid w:val="00DF403B"/>
    <w:rsid w:val="00DF44E5"/>
    <w:rsid w:val="00DF46D6"/>
    <w:rsid w:val="00DF4716"/>
    <w:rsid w:val="00DF49E2"/>
    <w:rsid w:val="00DF4A80"/>
    <w:rsid w:val="00DF4ADA"/>
    <w:rsid w:val="00DF4B1E"/>
    <w:rsid w:val="00DF4CB2"/>
    <w:rsid w:val="00DF51FC"/>
    <w:rsid w:val="00DF5D55"/>
    <w:rsid w:val="00DF5E9C"/>
    <w:rsid w:val="00DF5FBC"/>
    <w:rsid w:val="00DF6078"/>
    <w:rsid w:val="00DF610D"/>
    <w:rsid w:val="00DF64B3"/>
    <w:rsid w:val="00DF6608"/>
    <w:rsid w:val="00DF6A6F"/>
    <w:rsid w:val="00DF6C26"/>
    <w:rsid w:val="00DF6E7A"/>
    <w:rsid w:val="00DF7209"/>
    <w:rsid w:val="00DF7572"/>
    <w:rsid w:val="00DF7C27"/>
    <w:rsid w:val="00DF7C33"/>
    <w:rsid w:val="00DF7DAF"/>
    <w:rsid w:val="00E00210"/>
    <w:rsid w:val="00E0096C"/>
    <w:rsid w:val="00E01058"/>
    <w:rsid w:val="00E01139"/>
    <w:rsid w:val="00E01D72"/>
    <w:rsid w:val="00E020A1"/>
    <w:rsid w:val="00E022CD"/>
    <w:rsid w:val="00E02429"/>
    <w:rsid w:val="00E02458"/>
    <w:rsid w:val="00E028D0"/>
    <w:rsid w:val="00E02D03"/>
    <w:rsid w:val="00E02DE3"/>
    <w:rsid w:val="00E02FF0"/>
    <w:rsid w:val="00E03492"/>
    <w:rsid w:val="00E03546"/>
    <w:rsid w:val="00E035F5"/>
    <w:rsid w:val="00E03838"/>
    <w:rsid w:val="00E0424F"/>
    <w:rsid w:val="00E042B8"/>
    <w:rsid w:val="00E04A99"/>
    <w:rsid w:val="00E05434"/>
    <w:rsid w:val="00E055BB"/>
    <w:rsid w:val="00E05727"/>
    <w:rsid w:val="00E057BE"/>
    <w:rsid w:val="00E05B64"/>
    <w:rsid w:val="00E05C7E"/>
    <w:rsid w:val="00E05E76"/>
    <w:rsid w:val="00E05E91"/>
    <w:rsid w:val="00E06156"/>
    <w:rsid w:val="00E0630B"/>
    <w:rsid w:val="00E067D9"/>
    <w:rsid w:val="00E06800"/>
    <w:rsid w:val="00E06C7E"/>
    <w:rsid w:val="00E06DFF"/>
    <w:rsid w:val="00E06FEB"/>
    <w:rsid w:val="00E0712D"/>
    <w:rsid w:val="00E0723A"/>
    <w:rsid w:val="00E0767B"/>
    <w:rsid w:val="00E07A04"/>
    <w:rsid w:val="00E07B77"/>
    <w:rsid w:val="00E1009D"/>
    <w:rsid w:val="00E10231"/>
    <w:rsid w:val="00E10418"/>
    <w:rsid w:val="00E106C1"/>
    <w:rsid w:val="00E10961"/>
    <w:rsid w:val="00E11535"/>
    <w:rsid w:val="00E11B5E"/>
    <w:rsid w:val="00E11BA5"/>
    <w:rsid w:val="00E11C94"/>
    <w:rsid w:val="00E11E5D"/>
    <w:rsid w:val="00E11F96"/>
    <w:rsid w:val="00E12080"/>
    <w:rsid w:val="00E120A8"/>
    <w:rsid w:val="00E1218C"/>
    <w:rsid w:val="00E12F1D"/>
    <w:rsid w:val="00E1338F"/>
    <w:rsid w:val="00E1350A"/>
    <w:rsid w:val="00E13AC2"/>
    <w:rsid w:val="00E13DD5"/>
    <w:rsid w:val="00E14332"/>
    <w:rsid w:val="00E144C3"/>
    <w:rsid w:val="00E14741"/>
    <w:rsid w:val="00E14B75"/>
    <w:rsid w:val="00E14CA3"/>
    <w:rsid w:val="00E150A5"/>
    <w:rsid w:val="00E1564D"/>
    <w:rsid w:val="00E15891"/>
    <w:rsid w:val="00E15D32"/>
    <w:rsid w:val="00E15F41"/>
    <w:rsid w:val="00E1638E"/>
    <w:rsid w:val="00E167FF"/>
    <w:rsid w:val="00E168FA"/>
    <w:rsid w:val="00E16A22"/>
    <w:rsid w:val="00E16C53"/>
    <w:rsid w:val="00E16DE7"/>
    <w:rsid w:val="00E16E47"/>
    <w:rsid w:val="00E16FAB"/>
    <w:rsid w:val="00E17225"/>
    <w:rsid w:val="00E172FA"/>
    <w:rsid w:val="00E1736C"/>
    <w:rsid w:val="00E17507"/>
    <w:rsid w:val="00E1775E"/>
    <w:rsid w:val="00E17B82"/>
    <w:rsid w:val="00E20022"/>
    <w:rsid w:val="00E20201"/>
    <w:rsid w:val="00E203EA"/>
    <w:rsid w:val="00E2077B"/>
    <w:rsid w:val="00E207E3"/>
    <w:rsid w:val="00E209E8"/>
    <w:rsid w:val="00E20D00"/>
    <w:rsid w:val="00E21145"/>
    <w:rsid w:val="00E21894"/>
    <w:rsid w:val="00E22110"/>
    <w:rsid w:val="00E22A12"/>
    <w:rsid w:val="00E22D9F"/>
    <w:rsid w:val="00E22E14"/>
    <w:rsid w:val="00E22E7D"/>
    <w:rsid w:val="00E231EC"/>
    <w:rsid w:val="00E234C8"/>
    <w:rsid w:val="00E236D8"/>
    <w:rsid w:val="00E2372D"/>
    <w:rsid w:val="00E23B81"/>
    <w:rsid w:val="00E24123"/>
    <w:rsid w:val="00E24219"/>
    <w:rsid w:val="00E24684"/>
    <w:rsid w:val="00E24803"/>
    <w:rsid w:val="00E248D0"/>
    <w:rsid w:val="00E249EB"/>
    <w:rsid w:val="00E24D50"/>
    <w:rsid w:val="00E25110"/>
    <w:rsid w:val="00E25152"/>
    <w:rsid w:val="00E2517E"/>
    <w:rsid w:val="00E254AC"/>
    <w:rsid w:val="00E25661"/>
    <w:rsid w:val="00E25710"/>
    <w:rsid w:val="00E25F8C"/>
    <w:rsid w:val="00E26527"/>
    <w:rsid w:val="00E26AAE"/>
    <w:rsid w:val="00E27224"/>
    <w:rsid w:val="00E272F1"/>
    <w:rsid w:val="00E27327"/>
    <w:rsid w:val="00E27FF8"/>
    <w:rsid w:val="00E30572"/>
    <w:rsid w:val="00E306D8"/>
    <w:rsid w:val="00E306F4"/>
    <w:rsid w:val="00E307DE"/>
    <w:rsid w:val="00E30B0A"/>
    <w:rsid w:val="00E313AC"/>
    <w:rsid w:val="00E3145F"/>
    <w:rsid w:val="00E31477"/>
    <w:rsid w:val="00E31669"/>
    <w:rsid w:val="00E3166B"/>
    <w:rsid w:val="00E318BF"/>
    <w:rsid w:val="00E31C4B"/>
    <w:rsid w:val="00E31D09"/>
    <w:rsid w:val="00E32077"/>
    <w:rsid w:val="00E3249A"/>
    <w:rsid w:val="00E325CF"/>
    <w:rsid w:val="00E32B61"/>
    <w:rsid w:val="00E3321D"/>
    <w:rsid w:val="00E33962"/>
    <w:rsid w:val="00E33CD6"/>
    <w:rsid w:val="00E33D58"/>
    <w:rsid w:val="00E34189"/>
    <w:rsid w:val="00E341AD"/>
    <w:rsid w:val="00E34492"/>
    <w:rsid w:val="00E3488E"/>
    <w:rsid w:val="00E34B05"/>
    <w:rsid w:val="00E3512D"/>
    <w:rsid w:val="00E3553A"/>
    <w:rsid w:val="00E3578D"/>
    <w:rsid w:val="00E35C94"/>
    <w:rsid w:val="00E35F75"/>
    <w:rsid w:val="00E35FBE"/>
    <w:rsid w:val="00E36029"/>
    <w:rsid w:val="00E3641D"/>
    <w:rsid w:val="00E3672C"/>
    <w:rsid w:val="00E36837"/>
    <w:rsid w:val="00E3698A"/>
    <w:rsid w:val="00E37172"/>
    <w:rsid w:val="00E37445"/>
    <w:rsid w:val="00E376CF"/>
    <w:rsid w:val="00E37FD9"/>
    <w:rsid w:val="00E40351"/>
    <w:rsid w:val="00E4039E"/>
    <w:rsid w:val="00E40570"/>
    <w:rsid w:val="00E40CE0"/>
    <w:rsid w:val="00E40EC0"/>
    <w:rsid w:val="00E41305"/>
    <w:rsid w:val="00E413A8"/>
    <w:rsid w:val="00E414A3"/>
    <w:rsid w:val="00E4162C"/>
    <w:rsid w:val="00E4163C"/>
    <w:rsid w:val="00E41740"/>
    <w:rsid w:val="00E41DFD"/>
    <w:rsid w:val="00E4208B"/>
    <w:rsid w:val="00E42239"/>
    <w:rsid w:val="00E423DB"/>
    <w:rsid w:val="00E42889"/>
    <w:rsid w:val="00E42B24"/>
    <w:rsid w:val="00E42E50"/>
    <w:rsid w:val="00E42FAD"/>
    <w:rsid w:val="00E432A6"/>
    <w:rsid w:val="00E432FB"/>
    <w:rsid w:val="00E43476"/>
    <w:rsid w:val="00E4367A"/>
    <w:rsid w:val="00E439B7"/>
    <w:rsid w:val="00E43ABC"/>
    <w:rsid w:val="00E43AE6"/>
    <w:rsid w:val="00E43DEE"/>
    <w:rsid w:val="00E43DFE"/>
    <w:rsid w:val="00E43E24"/>
    <w:rsid w:val="00E44991"/>
    <w:rsid w:val="00E44B9E"/>
    <w:rsid w:val="00E44CC6"/>
    <w:rsid w:val="00E44E7E"/>
    <w:rsid w:val="00E45360"/>
    <w:rsid w:val="00E4562B"/>
    <w:rsid w:val="00E456A9"/>
    <w:rsid w:val="00E45827"/>
    <w:rsid w:val="00E45D20"/>
    <w:rsid w:val="00E462A7"/>
    <w:rsid w:val="00E46477"/>
    <w:rsid w:val="00E46545"/>
    <w:rsid w:val="00E4665E"/>
    <w:rsid w:val="00E46C3E"/>
    <w:rsid w:val="00E46EF4"/>
    <w:rsid w:val="00E47151"/>
    <w:rsid w:val="00E47515"/>
    <w:rsid w:val="00E47727"/>
    <w:rsid w:val="00E478CA"/>
    <w:rsid w:val="00E478FA"/>
    <w:rsid w:val="00E47D30"/>
    <w:rsid w:val="00E47D6D"/>
    <w:rsid w:val="00E47D7C"/>
    <w:rsid w:val="00E50079"/>
    <w:rsid w:val="00E503E1"/>
    <w:rsid w:val="00E505D9"/>
    <w:rsid w:val="00E507FA"/>
    <w:rsid w:val="00E50B83"/>
    <w:rsid w:val="00E51686"/>
    <w:rsid w:val="00E517FB"/>
    <w:rsid w:val="00E51875"/>
    <w:rsid w:val="00E519D1"/>
    <w:rsid w:val="00E52266"/>
    <w:rsid w:val="00E52501"/>
    <w:rsid w:val="00E5250A"/>
    <w:rsid w:val="00E5281C"/>
    <w:rsid w:val="00E528FB"/>
    <w:rsid w:val="00E530AB"/>
    <w:rsid w:val="00E538D4"/>
    <w:rsid w:val="00E5411B"/>
    <w:rsid w:val="00E5421A"/>
    <w:rsid w:val="00E54628"/>
    <w:rsid w:val="00E546AF"/>
    <w:rsid w:val="00E5477B"/>
    <w:rsid w:val="00E54940"/>
    <w:rsid w:val="00E54AD6"/>
    <w:rsid w:val="00E54F81"/>
    <w:rsid w:val="00E55035"/>
    <w:rsid w:val="00E550EE"/>
    <w:rsid w:val="00E556EB"/>
    <w:rsid w:val="00E5590E"/>
    <w:rsid w:val="00E5595A"/>
    <w:rsid w:val="00E55F0F"/>
    <w:rsid w:val="00E55FAC"/>
    <w:rsid w:val="00E5621E"/>
    <w:rsid w:val="00E56305"/>
    <w:rsid w:val="00E569EA"/>
    <w:rsid w:val="00E56A35"/>
    <w:rsid w:val="00E57167"/>
    <w:rsid w:val="00E5720E"/>
    <w:rsid w:val="00E57251"/>
    <w:rsid w:val="00E572C4"/>
    <w:rsid w:val="00E57A3D"/>
    <w:rsid w:val="00E57D92"/>
    <w:rsid w:val="00E60244"/>
    <w:rsid w:val="00E604DB"/>
    <w:rsid w:val="00E6056E"/>
    <w:rsid w:val="00E6068A"/>
    <w:rsid w:val="00E606F6"/>
    <w:rsid w:val="00E60C74"/>
    <w:rsid w:val="00E60CA4"/>
    <w:rsid w:val="00E60EBD"/>
    <w:rsid w:val="00E610C4"/>
    <w:rsid w:val="00E615F3"/>
    <w:rsid w:val="00E616FF"/>
    <w:rsid w:val="00E61B2D"/>
    <w:rsid w:val="00E61D10"/>
    <w:rsid w:val="00E61D6E"/>
    <w:rsid w:val="00E62050"/>
    <w:rsid w:val="00E62100"/>
    <w:rsid w:val="00E6215B"/>
    <w:rsid w:val="00E6278A"/>
    <w:rsid w:val="00E63535"/>
    <w:rsid w:val="00E63553"/>
    <w:rsid w:val="00E63591"/>
    <w:rsid w:val="00E63DCF"/>
    <w:rsid w:val="00E63F52"/>
    <w:rsid w:val="00E644CD"/>
    <w:rsid w:val="00E646CC"/>
    <w:rsid w:val="00E646F9"/>
    <w:rsid w:val="00E64734"/>
    <w:rsid w:val="00E64A65"/>
    <w:rsid w:val="00E64C42"/>
    <w:rsid w:val="00E64DFB"/>
    <w:rsid w:val="00E6515F"/>
    <w:rsid w:val="00E651E8"/>
    <w:rsid w:val="00E656F6"/>
    <w:rsid w:val="00E65B8F"/>
    <w:rsid w:val="00E65EFB"/>
    <w:rsid w:val="00E66056"/>
    <w:rsid w:val="00E660BE"/>
    <w:rsid w:val="00E665D8"/>
    <w:rsid w:val="00E66E68"/>
    <w:rsid w:val="00E66E81"/>
    <w:rsid w:val="00E67BE2"/>
    <w:rsid w:val="00E67CCC"/>
    <w:rsid w:val="00E67CE7"/>
    <w:rsid w:val="00E67D69"/>
    <w:rsid w:val="00E70128"/>
    <w:rsid w:val="00E70593"/>
    <w:rsid w:val="00E706DE"/>
    <w:rsid w:val="00E70763"/>
    <w:rsid w:val="00E708D1"/>
    <w:rsid w:val="00E70AA6"/>
    <w:rsid w:val="00E714C4"/>
    <w:rsid w:val="00E7157E"/>
    <w:rsid w:val="00E71661"/>
    <w:rsid w:val="00E71EA5"/>
    <w:rsid w:val="00E721AB"/>
    <w:rsid w:val="00E722CC"/>
    <w:rsid w:val="00E728FD"/>
    <w:rsid w:val="00E72B4F"/>
    <w:rsid w:val="00E72B85"/>
    <w:rsid w:val="00E72BB2"/>
    <w:rsid w:val="00E72BE1"/>
    <w:rsid w:val="00E72F0B"/>
    <w:rsid w:val="00E734F5"/>
    <w:rsid w:val="00E73743"/>
    <w:rsid w:val="00E73BBF"/>
    <w:rsid w:val="00E73C7F"/>
    <w:rsid w:val="00E73EFF"/>
    <w:rsid w:val="00E74342"/>
    <w:rsid w:val="00E7445D"/>
    <w:rsid w:val="00E74570"/>
    <w:rsid w:val="00E74633"/>
    <w:rsid w:val="00E74954"/>
    <w:rsid w:val="00E74957"/>
    <w:rsid w:val="00E74F92"/>
    <w:rsid w:val="00E75033"/>
    <w:rsid w:val="00E7517E"/>
    <w:rsid w:val="00E755C3"/>
    <w:rsid w:val="00E75B98"/>
    <w:rsid w:val="00E76726"/>
    <w:rsid w:val="00E767B0"/>
    <w:rsid w:val="00E76D31"/>
    <w:rsid w:val="00E773D0"/>
    <w:rsid w:val="00E7741A"/>
    <w:rsid w:val="00E7749F"/>
    <w:rsid w:val="00E7757F"/>
    <w:rsid w:val="00E777E8"/>
    <w:rsid w:val="00E77EF6"/>
    <w:rsid w:val="00E8008E"/>
    <w:rsid w:val="00E8029F"/>
    <w:rsid w:val="00E809AA"/>
    <w:rsid w:val="00E80A0F"/>
    <w:rsid w:val="00E80E57"/>
    <w:rsid w:val="00E80F8A"/>
    <w:rsid w:val="00E80FCD"/>
    <w:rsid w:val="00E81237"/>
    <w:rsid w:val="00E814E9"/>
    <w:rsid w:val="00E81570"/>
    <w:rsid w:val="00E815A4"/>
    <w:rsid w:val="00E82447"/>
    <w:rsid w:val="00E828C2"/>
    <w:rsid w:val="00E82AB3"/>
    <w:rsid w:val="00E82C6F"/>
    <w:rsid w:val="00E83757"/>
    <w:rsid w:val="00E839B2"/>
    <w:rsid w:val="00E839D4"/>
    <w:rsid w:val="00E83B52"/>
    <w:rsid w:val="00E83DFC"/>
    <w:rsid w:val="00E84064"/>
    <w:rsid w:val="00E840E7"/>
    <w:rsid w:val="00E842D0"/>
    <w:rsid w:val="00E846CD"/>
    <w:rsid w:val="00E848DD"/>
    <w:rsid w:val="00E84A33"/>
    <w:rsid w:val="00E84BFA"/>
    <w:rsid w:val="00E84CE4"/>
    <w:rsid w:val="00E850B5"/>
    <w:rsid w:val="00E853F7"/>
    <w:rsid w:val="00E854F3"/>
    <w:rsid w:val="00E8563D"/>
    <w:rsid w:val="00E85BA4"/>
    <w:rsid w:val="00E85D14"/>
    <w:rsid w:val="00E86255"/>
    <w:rsid w:val="00E867AE"/>
    <w:rsid w:val="00E86B05"/>
    <w:rsid w:val="00E86C98"/>
    <w:rsid w:val="00E86DB3"/>
    <w:rsid w:val="00E86EB5"/>
    <w:rsid w:val="00E872DC"/>
    <w:rsid w:val="00E8736D"/>
    <w:rsid w:val="00E8760F"/>
    <w:rsid w:val="00E878C2"/>
    <w:rsid w:val="00E87BDE"/>
    <w:rsid w:val="00E87FB0"/>
    <w:rsid w:val="00E90672"/>
    <w:rsid w:val="00E90AC5"/>
    <w:rsid w:val="00E90D06"/>
    <w:rsid w:val="00E90E72"/>
    <w:rsid w:val="00E90F3C"/>
    <w:rsid w:val="00E912C7"/>
    <w:rsid w:val="00E9135D"/>
    <w:rsid w:val="00E91AD6"/>
    <w:rsid w:val="00E91F84"/>
    <w:rsid w:val="00E921AB"/>
    <w:rsid w:val="00E92678"/>
    <w:rsid w:val="00E92797"/>
    <w:rsid w:val="00E9319E"/>
    <w:rsid w:val="00E933F6"/>
    <w:rsid w:val="00E93B15"/>
    <w:rsid w:val="00E940B3"/>
    <w:rsid w:val="00E9456A"/>
    <w:rsid w:val="00E94683"/>
    <w:rsid w:val="00E94C8F"/>
    <w:rsid w:val="00E9523B"/>
    <w:rsid w:val="00E954FA"/>
    <w:rsid w:val="00E95535"/>
    <w:rsid w:val="00E958CF"/>
    <w:rsid w:val="00E95922"/>
    <w:rsid w:val="00E95971"/>
    <w:rsid w:val="00E963C6"/>
    <w:rsid w:val="00E96A3A"/>
    <w:rsid w:val="00E96F9D"/>
    <w:rsid w:val="00E97971"/>
    <w:rsid w:val="00EA0290"/>
    <w:rsid w:val="00EA02E9"/>
    <w:rsid w:val="00EA05D6"/>
    <w:rsid w:val="00EA06A1"/>
    <w:rsid w:val="00EA088C"/>
    <w:rsid w:val="00EA0897"/>
    <w:rsid w:val="00EA0A02"/>
    <w:rsid w:val="00EA0B71"/>
    <w:rsid w:val="00EA0E78"/>
    <w:rsid w:val="00EA15C9"/>
    <w:rsid w:val="00EA1767"/>
    <w:rsid w:val="00EA18B1"/>
    <w:rsid w:val="00EA1AF4"/>
    <w:rsid w:val="00EA1F61"/>
    <w:rsid w:val="00EA203D"/>
    <w:rsid w:val="00EA2586"/>
    <w:rsid w:val="00EA2946"/>
    <w:rsid w:val="00EA2A1C"/>
    <w:rsid w:val="00EA2CAB"/>
    <w:rsid w:val="00EA2D4E"/>
    <w:rsid w:val="00EA3247"/>
    <w:rsid w:val="00EA33E8"/>
    <w:rsid w:val="00EA3788"/>
    <w:rsid w:val="00EA3A24"/>
    <w:rsid w:val="00EA3A33"/>
    <w:rsid w:val="00EA3A3F"/>
    <w:rsid w:val="00EA3C15"/>
    <w:rsid w:val="00EA40AD"/>
    <w:rsid w:val="00EA4669"/>
    <w:rsid w:val="00EA4D13"/>
    <w:rsid w:val="00EA4DD9"/>
    <w:rsid w:val="00EA4E32"/>
    <w:rsid w:val="00EA523E"/>
    <w:rsid w:val="00EA557A"/>
    <w:rsid w:val="00EA56FC"/>
    <w:rsid w:val="00EA585A"/>
    <w:rsid w:val="00EA59E0"/>
    <w:rsid w:val="00EA59F4"/>
    <w:rsid w:val="00EA60D4"/>
    <w:rsid w:val="00EA678F"/>
    <w:rsid w:val="00EA6CB9"/>
    <w:rsid w:val="00EA73F0"/>
    <w:rsid w:val="00EA773B"/>
    <w:rsid w:val="00EA7C0C"/>
    <w:rsid w:val="00EB0445"/>
    <w:rsid w:val="00EB0F3A"/>
    <w:rsid w:val="00EB1007"/>
    <w:rsid w:val="00EB145F"/>
    <w:rsid w:val="00EB190D"/>
    <w:rsid w:val="00EB1A2F"/>
    <w:rsid w:val="00EB26D2"/>
    <w:rsid w:val="00EB272C"/>
    <w:rsid w:val="00EB28F0"/>
    <w:rsid w:val="00EB2D05"/>
    <w:rsid w:val="00EB32F2"/>
    <w:rsid w:val="00EB3977"/>
    <w:rsid w:val="00EB3AB0"/>
    <w:rsid w:val="00EB3ECC"/>
    <w:rsid w:val="00EB45B6"/>
    <w:rsid w:val="00EB45D5"/>
    <w:rsid w:val="00EB4700"/>
    <w:rsid w:val="00EB4827"/>
    <w:rsid w:val="00EB4D9E"/>
    <w:rsid w:val="00EB4E44"/>
    <w:rsid w:val="00EB4F2E"/>
    <w:rsid w:val="00EB4FD1"/>
    <w:rsid w:val="00EB50E7"/>
    <w:rsid w:val="00EB52AF"/>
    <w:rsid w:val="00EB53A2"/>
    <w:rsid w:val="00EB55EB"/>
    <w:rsid w:val="00EB581F"/>
    <w:rsid w:val="00EB65E7"/>
    <w:rsid w:val="00EB6976"/>
    <w:rsid w:val="00EB69D4"/>
    <w:rsid w:val="00EB6C62"/>
    <w:rsid w:val="00EB6C63"/>
    <w:rsid w:val="00EB6C9A"/>
    <w:rsid w:val="00EB6D5E"/>
    <w:rsid w:val="00EB70FB"/>
    <w:rsid w:val="00EB72AA"/>
    <w:rsid w:val="00EB744D"/>
    <w:rsid w:val="00EB7542"/>
    <w:rsid w:val="00EB787C"/>
    <w:rsid w:val="00EB7939"/>
    <w:rsid w:val="00EB7B3A"/>
    <w:rsid w:val="00EB7DA8"/>
    <w:rsid w:val="00EC0309"/>
    <w:rsid w:val="00EC0442"/>
    <w:rsid w:val="00EC08D9"/>
    <w:rsid w:val="00EC0A1B"/>
    <w:rsid w:val="00EC0C4B"/>
    <w:rsid w:val="00EC0D99"/>
    <w:rsid w:val="00EC0FF7"/>
    <w:rsid w:val="00EC111D"/>
    <w:rsid w:val="00EC156B"/>
    <w:rsid w:val="00EC1665"/>
    <w:rsid w:val="00EC1686"/>
    <w:rsid w:val="00EC172D"/>
    <w:rsid w:val="00EC1836"/>
    <w:rsid w:val="00EC1C8F"/>
    <w:rsid w:val="00EC1F13"/>
    <w:rsid w:val="00EC21FF"/>
    <w:rsid w:val="00EC22FE"/>
    <w:rsid w:val="00EC23A7"/>
    <w:rsid w:val="00EC2422"/>
    <w:rsid w:val="00EC2496"/>
    <w:rsid w:val="00EC251F"/>
    <w:rsid w:val="00EC2822"/>
    <w:rsid w:val="00EC2D67"/>
    <w:rsid w:val="00EC3284"/>
    <w:rsid w:val="00EC3632"/>
    <w:rsid w:val="00EC3B51"/>
    <w:rsid w:val="00EC3BA5"/>
    <w:rsid w:val="00EC3C23"/>
    <w:rsid w:val="00EC3FE4"/>
    <w:rsid w:val="00EC4044"/>
    <w:rsid w:val="00EC4062"/>
    <w:rsid w:val="00EC4663"/>
    <w:rsid w:val="00EC46CD"/>
    <w:rsid w:val="00EC49EA"/>
    <w:rsid w:val="00EC4FDE"/>
    <w:rsid w:val="00EC5014"/>
    <w:rsid w:val="00EC50E1"/>
    <w:rsid w:val="00EC5163"/>
    <w:rsid w:val="00EC545E"/>
    <w:rsid w:val="00EC5517"/>
    <w:rsid w:val="00EC594A"/>
    <w:rsid w:val="00EC5E6C"/>
    <w:rsid w:val="00EC5F2E"/>
    <w:rsid w:val="00EC6769"/>
    <w:rsid w:val="00EC6782"/>
    <w:rsid w:val="00EC67AE"/>
    <w:rsid w:val="00EC6869"/>
    <w:rsid w:val="00EC6925"/>
    <w:rsid w:val="00EC6C70"/>
    <w:rsid w:val="00EC6F92"/>
    <w:rsid w:val="00EC7106"/>
    <w:rsid w:val="00EC71B9"/>
    <w:rsid w:val="00EC7368"/>
    <w:rsid w:val="00EC74C4"/>
    <w:rsid w:val="00EC74E5"/>
    <w:rsid w:val="00EC76E0"/>
    <w:rsid w:val="00EC77B6"/>
    <w:rsid w:val="00EC7B01"/>
    <w:rsid w:val="00EC7B0C"/>
    <w:rsid w:val="00EC7CC5"/>
    <w:rsid w:val="00EC7F04"/>
    <w:rsid w:val="00ED00FE"/>
    <w:rsid w:val="00ED0362"/>
    <w:rsid w:val="00ED0934"/>
    <w:rsid w:val="00ED0A67"/>
    <w:rsid w:val="00ED0AB8"/>
    <w:rsid w:val="00ED0D6B"/>
    <w:rsid w:val="00ED13E8"/>
    <w:rsid w:val="00ED17C3"/>
    <w:rsid w:val="00ED1D8A"/>
    <w:rsid w:val="00ED1DF7"/>
    <w:rsid w:val="00ED2147"/>
    <w:rsid w:val="00ED2158"/>
    <w:rsid w:val="00ED217B"/>
    <w:rsid w:val="00ED2206"/>
    <w:rsid w:val="00ED235A"/>
    <w:rsid w:val="00ED27EB"/>
    <w:rsid w:val="00ED291D"/>
    <w:rsid w:val="00ED29D0"/>
    <w:rsid w:val="00ED2C99"/>
    <w:rsid w:val="00ED2FA2"/>
    <w:rsid w:val="00ED32A0"/>
    <w:rsid w:val="00ED3354"/>
    <w:rsid w:val="00ED387C"/>
    <w:rsid w:val="00ED3980"/>
    <w:rsid w:val="00ED3AFA"/>
    <w:rsid w:val="00ED3CBD"/>
    <w:rsid w:val="00ED3E42"/>
    <w:rsid w:val="00ED3EE9"/>
    <w:rsid w:val="00ED3F29"/>
    <w:rsid w:val="00ED4230"/>
    <w:rsid w:val="00ED423B"/>
    <w:rsid w:val="00ED4400"/>
    <w:rsid w:val="00ED4A22"/>
    <w:rsid w:val="00ED5197"/>
    <w:rsid w:val="00ED5528"/>
    <w:rsid w:val="00ED5EA1"/>
    <w:rsid w:val="00ED65C7"/>
    <w:rsid w:val="00ED6832"/>
    <w:rsid w:val="00ED6923"/>
    <w:rsid w:val="00ED6961"/>
    <w:rsid w:val="00ED69EC"/>
    <w:rsid w:val="00ED6AD6"/>
    <w:rsid w:val="00ED713D"/>
    <w:rsid w:val="00ED718A"/>
    <w:rsid w:val="00ED7217"/>
    <w:rsid w:val="00ED755E"/>
    <w:rsid w:val="00ED76AF"/>
    <w:rsid w:val="00ED7D2A"/>
    <w:rsid w:val="00EE0B53"/>
    <w:rsid w:val="00EE14E3"/>
    <w:rsid w:val="00EE1502"/>
    <w:rsid w:val="00EE16AB"/>
    <w:rsid w:val="00EE16E1"/>
    <w:rsid w:val="00EE1A68"/>
    <w:rsid w:val="00EE1AD4"/>
    <w:rsid w:val="00EE1DB3"/>
    <w:rsid w:val="00EE1E10"/>
    <w:rsid w:val="00EE23F0"/>
    <w:rsid w:val="00EE259B"/>
    <w:rsid w:val="00EE26B7"/>
    <w:rsid w:val="00EE272A"/>
    <w:rsid w:val="00EE2BE8"/>
    <w:rsid w:val="00EE2DD8"/>
    <w:rsid w:val="00EE2DDD"/>
    <w:rsid w:val="00EE2FC4"/>
    <w:rsid w:val="00EE31C2"/>
    <w:rsid w:val="00EE3291"/>
    <w:rsid w:val="00EE3341"/>
    <w:rsid w:val="00EE3496"/>
    <w:rsid w:val="00EE35E2"/>
    <w:rsid w:val="00EE378B"/>
    <w:rsid w:val="00EE37AD"/>
    <w:rsid w:val="00EE3BD5"/>
    <w:rsid w:val="00EE3C37"/>
    <w:rsid w:val="00EE3EDC"/>
    <w:rsid w:val="00EE43B8"/>
    <w:rsid w:val="00EE4455"/>
    <w:rsid w:val="00EE44B4"/>
    <w:rsid w:val="00EE491B"/>
    <w:rsid w:val="00EE4BDE"/>
    <w:rsid w:val="00EE4C79"/>
    <w:rsid w:val="00EE4D69"/>
    <w:rsid w:val="00EE4EB9"/>
    <w:rsid w:val="00EE4F2C"/>
    <w:rsid w:val="00EE4F41"/>
    <w:rsid w:val="00EE5062"/>
    <w:rsid w:val="00EE518B"/>
    <w:rsid w:val="00EE576A"/>
    <w:rsid w:val="00EE5F8A"/>
    <w:rsid w:val="00EE5F8F"/>
    <w:rsid w:val="00EE6099"/>
    <w:rsid w:val="00EE6435"/>
    <w:rsid w:val="00EE6534"/>
    <w:rsid w:val="00EE6A17"/>
    <w:rsid w:val="00EE6B65"/>
    <w:rsid w:val="00EE6DE1"/>
    <w:rsid w:val="00EE746E"/>
    <w:rsid w:val="00EE75DC"/>
    <w:rsid w:val="00EE7613"/>
    <w:rsid w:val="00EE7ABD"/>
    <w:rsid w:val="00EE7B7D"/>
    <w:rsid w:val="00EF0175"/>
    <w:rsid w:val="00EF01B4"/>
    <w:rsid w:val="00EF023E"/>
    <w:rsid w:val="00EF0248"/>
    <w:rsid w:val="00EF042A"/>
    <w:rsid w:val="00EF0C93"/>
    <w:rsid w:val="00EF0D58"/>
    <w:rsid w:val="00EF1090"/>
    <w:rsid w:val="00EF117B"/>
    <w:rsid w:val="00EF1314"/>
    <w:rsid w:val="00EF154C"/>
    <w:rsid w:val="00EF16C8"/>
    <w:rsid w:val="00EF1A14"/>
    <w:rsid w:val="00EF218D"/>
    <w:rsid w:val="00EF22CE"/>
    <w:rsid w:val="00EF2406"/>
    <w:rsid w:val="00EF24AC"/>
    <w:rsid w:val="00EF2564"/>
    <w:rsid w:val="00EF257B"/>
    <w:rsid w:val="00EF2781"/>
    <w:rsid w:val="00EF2A8C"/>
    <w:rsid w:val="00EF2C0E"/>
    <w:rsid w:val="00EF33DC"/>
    <w:rsid w:val="00EF3842"/>
    <w:rsid w:val="00EF3AD1"/>
    <w:rsid w:val="00EF3CBB"/>
    <w:rsid w:val="00EF3E63"/>
    <w:rsid w:val="00EF48D7"/>
    <w:rsid w:val="00EF4969"/>
    <w:rsid w:val="00EF55DD"/>
    <w:rsid w:val="00EF57F9"/>
    <w:rsid w:val="00EF5820"/>
    <w:rsid w:val="00EF5C51"/>
    <w:rsid w:val="00EF5CEF"/>
    <w:rsid w:val="00EF5D3C"/>
    <w:rsid w:val="00EF5F0D"/>
    <w:rsid w:val="00EF67FA"/>
    <w:rsid w:val="00EF6BD5"/>
    <w:rsid w:val="00EF7394"/>
    <w:rsid w:val="00EF7582"/>
    <w:rsid w:val="00EF7B0F"/>
    <w:rsid w:val="00EF7B29"/>
    <w:rsid w:val="00EF7F50"/>
    <w:rsid w:val="00F0006F"/>
    <w:rsid w:val="00F0058B"/>
    <w:rsid w:val="00F00879"/>
    <w:rsid w:val="00F00F66"/>
    <w:rsid w:val="00F0106E"/>
    <w:rsid w:val="00F01272"/>
    <w:rsid w:val="00F013C8"/>
    <w:rsid w:val="00F01437"/>
    <w:rsid w:val="00F014B8"/>
    <w:rsid w:val="00F018C5"/>
    <w:rsid w:val="00F019F1"/>
    <w:rsid w:val="00F01A89"/>
    <w:rsid w:val="00F01F8F"/>
    <w:rsid w:val="00F01FCE"/>
    <w:rsid w:val="00F02183"/>
    <w:rsid w:val="00F02694"/>
    <w:rsid w:val="00F02720"/>
    <w:rsid w:val="00F033E7"/>
    <w:rsid w:val="00F03610"/>
    <w:rsid w:val="00F037D3"/>
    <w:rsid w:val="00F03CBE"/>
    <w:rsid w:val="00F04397"/>
    <w:rsid w:val="00F048AD"/>
    <w:rsid w:val="00F049E3"/>
    <w:rsid w:val="00F05092"/>
    <w:rsid w:val="00F05150"/>
    <w:rsid w:val="00F0521F"/>
    <w:rsid w:val="00F05264"/>
    <w:rsid w:val="00F05369"/>
    <w:rsid w:val="00F054A0"/>
    <w:rsid w:val="00F0586F"/>
    <w:rsid w:val="00F060A3"/>
    <w:rsid w:val="00F062DD"/>
    <w:rsid w:val="00F0633B"/>
    <w:rsid w:val="00F06761"/>
    <w:rsid w:val="00F06AB7"/>
    <w:rsid w:val="00F06C48"/>
    <w:rsid w:val="00F06CC2"/>
    <w:rsid w:val="00F071A8"/>
    <w:rsid w:val="00F07309"/>
    <w:rsid w:val="00F075B1"/>
    <w:rsid w:val="00F0787B"/>
    <w:rsid w:val="00F07A69"/>
    <w:rsid w:val="00F07FB5"/>
    <w:rsid w:val="00F101A6"/>
    <w:rsid w:val="00F102AE"/>
    <w:rsid w:val="00F104AE"/>
    <w:rsid w:val="00F1061E"/>
    <w:rsid w:val="00F10A79"/>
    <w:rsid w:val="00F10B8C"/>
    <w:rsid w:val="00F10CD9"/>
    <w:rsid w:val="00F10DC7"/>
    <w:rsid w:val="00F111DA"/>
    <w:rsid w:val="00F1165A"/>
    <w:rsid w:val="00F11A63"/>
    <w:rsid w:val="00F11DC7"/>
    <w:rsid w:val="00F11F57"/>
    <w:rsid w:val="00F120F6"/>
    <w:rsid w:val="00F12111"/>
    <w:rsid w:val="00F128D2"/>
    <w:rsid w:val="00F129E0"/>
    <w:rsid w:val="00F12BE0"/>
    <w:rsid w:val="00F12DCF"/>
    <w:rsid w:val="00F13373"/>
    <w:rsid w:val="00F13387"/>
    <w:rsid w:val="00F13AE0"/>
    <w:rsid w:val="00F13C33"/>
    <w:rsid w:val="00F13E6B"/>
    <w:rsid w:val="00F14469"/>
    <w:rsid w:val="00F146D7"/>
    <w:rsid w:val="00F1474E"/>
    <w:rsid w:val="00F14D59"/>
    <w:rsid w:val="00F152A0"/>
    <w:rsid w:val="00F1550A"/>
    <w:rsid w:val="00F1590E"/>
    <w:rsid w:val="00F15B07"/>
    <w:rsid w:val="00F15BF2"/>
    <w:rsid w:val="00F1613A"/>
    <w:rsid w:val="00F16A07"/>
    <w:rsid w:val="00F16BAF"/>
    <w:rsid w:val="00F16D41"/>
    <w:rsid w:val="00F174F2"/>
    <w:rsid w:val="00F17A96"/>
    <w:rsid w:val="00F17C3A"/>
    <w:rsid w:val="00F17F42"/>
    <w:rsid w:val="00F20C06"/>
    <w:rsid w:val="00F20C9E"/>
    <w:rsid w:val="00F20CCD"/>
    <w:rsid w:val="00F21063"/>
    <w:rsid w:val="00F2121F"/>
    <w:rsid w:val="00F2162E"/>
    <w:rsid w:val="00F2176B"/>
    <w:rsid w:val="00F21BCF"/>
    <w:rsid w:val="00F222AE"/>
    <w:rsid w:val="00F223BA"/>
    <w:rsid w:val="00F227AC"/>
    <w:rsid w:val="00F22BEE"/>
    <w:rsid w:val="00F22F6E"/>
    <w:rsid w:val="00F239DA"/>
    <w:rsid w:val="00F23B9C"/>
    <w:rsid w:val="00F24061"/>
    <w:rsid w:val="00F241B6"/>
    <w:rsid w:val="00F244B8"/>
    <w:rsid w:val="00F24805"/>
    <w:rsid w:val="00F24F64"/>
    <w:rsid w:val="00F25064"/>
    <w:rsid w:val="00F2521D"/>
    <w:rsid w:val="00F252C3"/>
    <w:rsid w:val="00F255B3"/>
    <w:rsid w:val="00F255C8"/>
    <w:rsid w:val="00F25601"/>
    <w:rsid w:val="00F2598C"/>
    <w:rsid w:val="00F25DA5"/>
    <w:rsid w:val="00F25DD7"/>
    <w:rsid w:val="00F25F43"/>
    <w:rsid w:val="00F2620D"/>
    <w:rsid w:val="00F262BE"/>
    <w:rsid w:val="00F26388"/>
    <w:rsid w:val="00F26448"/>
    <w:rsid w:val="00F266E2"/>
    <w:rsid w:val="00F267D5"/>
    <w:rsid w:val="00F26809"/>
    <w:rsid w:val="00F269A2"/>
    <w:rsid w:val="00F26D10"/>
    <w:rsid w:val="00F26F9F"/>
    <w:rsid w:val="00F27054"/>
    <w:rsid w:val="00F272F6"/>
    <w:rsid w:val="00F27334"/>
    <w:rsid w:val="00F274C4"/>
    <w:rsid w:val="00F27650"/>
    <w:rsid w:val="00F27A5E"/>
    <w:rsid w:val="00F27F56"/>
    <w:rsid w:val="00F30107"/>
    <w:rsid w:val="00F301C8"/>
    <w:rsid w:val="00F3021F"/>
    <w:rsid w:val="00F30386"/>
    <w:rsid w:val="00F30596"/>
    <w:rsid w:val="00F30730"/>
    <w:rsid w:val="00F308B6"/>
    <w:rsid w:val="00F30C1E"/>
    <w:rsid w:val="00F30DEE"/>
    <w:rsid w:val="00F31518"/>
    <w:rsid w:val="00F31B4F"/>
    <w:rsid w:val="00F31C5C"/>
    <w:rsid w:val="00F3202A"/>
    <w:rsid w:val="00F3267D"/>
    <w:rsid w:val="00F32A70"/>
    <w:rsid w:val="00F330E0"/>
    <w:rsid w:val="00F33223"/>
    <w:rsid w:val="00F332F7"/>
    <w:rsid w:val="00F3339E"/>
    <w:rsid w:val="00F33477"/>
    <w:rsid w:val="00F33590"/>
    <w:rsid w:val="00F339B6"/>
    <w:rsid w:val="00F33DFF"/>
    <w:rsid w:val="00F33ED9"/>
    <w:rsid w:val="00F340AD"/>
    <w:rsid w:val="00F342A9"/>
    <w:rsid w:val="00F345D6"/>
    <w:rsid w:val="00F346C2"/>
    <w:rsid w:val="00F34748"/>
    <w:rsid w:val="00F34B34"/>
    <w:rsid w:val="00F34C8A"/>
    <w:rsid w:val="00F3514E"/>
    <w:rsid w:val="00F35420"/>
    <w:rsid w:val="00F3575F"/>
    <w:rsid w:val="00F35771"/>
    <w:rsid w:val="00F35BFA"/>
    <w:rsid w:val="00F35DF6"/>
    <w:rsid w:val="00F35EAD"/>
    <w:rsid w:val="00F36137"/>
    <w:rsid w:val="00F361DE"/>
    <w:rsid w:val="00F3620A"/>
    <w:rsid w:val="00F363CA"/>
    <w:rsid w:val="00F36568"/>
    <w:rsid w:val="00F36AAF"/>
    <w:rsid w:val="00F37369"/>
    <w:rsid w:val="00F376B7"/>
    <w:rsid w:val="00F3771C"/>
    <w:rsid w:val="00F37806"/>
    <w:rsid w:val="00F402F4"/>
    <w:rsid w:val="00F4065A"/>
    <w:rsid w:val="00F406FE"/>
    <w:rsid w:val="00F408B6"/>
    <w:rsid w:val="00F408FD"/>
    <w:rsid w:val="00F40F51"/>
    <w:rsid w:val="00F40FEA"/>
    <w:rsid w:val="00F411D4"/>
    <w:rsid w:val="00F4167D"/>
    <w:rsid w:val="00F417AD"/>
    <w:rsid w:val="00F41E93"/>
    <w:rsid w:val="00F41EDD"/>
    <w:rsid w:val="00F41F0A"/>
    <w:rsid w:val="00F42585"/>
    <w:rsid w:val="00F4282B"/>
    <w:rsid w:val="00F43322"/>
    <w:rsid w:val="00F43456"/>
    <w:rsid w:val="00F43494"/>
    <w:rsid w:val="00F436B8"/>
    <w:rsid w:val="00F44007"/>
    <w:rsid w:val="00F440A0"/>
    <w:rsid w:val="00F44104"/>
    <w:rsid w:val="00F44256"/>
    <w:rsid w:val="00F442C7"/>
    <w:rsid w:val="00F4456D"/>
    <w:rsid w:val="00F447EA"/>
    <w:rsid w:val="00F4484F"/>
    <w:rsid w:val="00F44B74"/>
    <w:rsid w:val="00F455BC"/>
    <w:rsid w:val="00F45775"/>
    <w:rsid w:val="00F459AF"/>
    <w:rsid w:val="00F45BD1"/>
    <w:rsid w:val="00F461C5"/>
    <w:rsid w:val="00F46641"/>
    <w:rsid w:val="00F46E94"/>
    <w:rsid w:val="00F4714F"/>
    <w:rsid w:val="00F47429"/>
    <w:rsid w:val="00F4747F"/>
    <w:rsid w:val="00F475E6"/>
    <w:rsid w:val="00F47C0C"/>
    <w:rsid w:val="00F47F2C"/>
    <w:rsid w:val="00F5028C"/>
    <w:rsid w:val="00F50597"/>
    <w:rsid w:val="00F50BC2"/>
    <w:rsid w:val="00F50CF2"/>
    <w:rsid w:val="00F51210"/>
    <w:rsid w:val="00F5122D"/>
    <w:rsid w:val="00F512D5"/>
    <w:rsid w:val="00F513B5"/>
    <w:rsid w:val="00F517E2"/>
    <w:rsid w:val="00F51A5B"/>
    <w:rsid w:val="00F523FA"/>
    <w:rsid w:val="00F52467"/>
    <w:rsid w:val="00F52549"/>
    <w:rsid w:val="00F52A9C"/>
    <w:rsid w:val="00F52DCD"/>
    <w:rsid w:val="00F52E4D"/>
    <w:rsid w:val="00F52F10"/>
    <w:rsid w:val="00F531DE"/>
    <w:rsid w:val="00F53279"/>
    <w:rsid w:val="00F53B4B"/>
    <w:rsid w:val="00F53EEC"/>
    <w:rsid w:val="00F53F87"/>
    <w:rsid w:val="00F54062"/>
    <w:rsid w:val="00F5408A"/>
    <w:rsid w:val="00F5425A"/>
    <w:rsid w:val="00F54862"/>
    <w:rsid w:val="00F5497F"/>
    <w:rsid w:val="00F54C86"/>
    <w:rsid w:val="00F54F57"/>
    <w:rsid w:val="00F55179"/>
    <w:rsid w:val="00F55215"/>
    <w:rsid w:val="00F552AD"/>
    <w:rsid w:val="00F557AD"/>
    <w:rsid w:val="00F55EBF"/>
    <w:rsid w:val="00F55FF5"/>
    <w:rsid w:val="00F56147"/>
    <w:rsid w:val="00F562E5"/>
    <w:rsid w:val="00F564D4"/>
    <w:rsid w:val="00F56BB8"/>
    <w:rsid w:val="00F56CC9"/>
    <w:rsid w:val="00F56FC5"/>
    <w:rsid w:val="00F572D5"/>
    <w:rsid w:val="00F573BE"/>
    <w:rsid w:val="00F573DA"/>
    <w:rsid w:val="00F577B3"/>
    <w:rsid w:val="00F57A2B"/>
    <w:rsid w:val="00F57B46"/>
    <w:rsid w:val="00F603AA"/>
    <w:rsid w:val="00F603E3"/>
    <w:rsid w:val="00F605D5"/>
    <w:rsid w:val="00F60755"/>
    <w:rsid w:val="00F607EF"/>
    <w:rsid w:val="00F60996"/>
    <w:rsid w:val="00F60CC4"/>
    <w:rsid w:val="00F61108"/>
    <w:rsid w:val="00F615B0"/>
    <w:rsid w:val="00F61607"/>
    <w:rsid w:val="00F61BC8"/>
    <w:rsid w:val="00F61CB9"/>
    <w:rsid w:val="00F62331"/>
    <w:rsid w:val="00F625C1"/>
    <w:rsid w:val="00F62877"/>
    <w:rsid w:val="00F62987"/>
    <w:rsid w:val="00F634AF"/>
    <w:rsid w:val="00F63570"/>
    <w:rsid w:val="00F639E5"/>
    <w:rsid w:val="00F63B8C"/>
    <w:rsid w:val="00F63EDC"/>
    <w:rsid w:val="00F64035"/>
    <w:rsid w:val="00F6446A"/>
    <w:rsid w:val="00F6451F"/>
    <w:rsid w:val="00F64B4F"/>
    <w:rsid w:val="00F650F1"/>
    <w:rsid w:val="00F65B5C"/>
    <w:rsid w:val="00F65F9B"/>
    <w:rsid w:val="00F6631B"/>
    <w:rsid w:val="00F666B6"/>
    <w:rsid w:val="00F6672D"/>
    <w:rsid w:val="00F66B42"/>
    <w:rsid w:val="00F66D07"/>
    <w:rsid w:val="00F66F3F"/>
    <w:rsid w:val="00F67341"/>
    <w:rsid w:val="00F6734F"/>
    <w:rsid w:val="00F67905"/>
    <w:rsid w:val="00F702BA"/>
    <w:rsid w:val="00F7055C"/>
    <w:rsid w:val="00F7078F"/>
    <w:rsid w:val="00F70796"/>
    <w:rsid w:val="00F708D3"/>
    <w:rsid w:val="00F70B24"/>
    <w:rsid w:val="00F70CF1"/>
    <w:rsid w:val="00F70F9B"/>
    <w:rsid w:val="00F70FE0"/>
    <w:rsid w:val="00F7118D"/>
    <w:rsid w:val="00F71392"/>
    <w:rsid w:val="00F717E8"/>
    <w:rsid w:val="00F71A5F"/>
    <w:rsid w:val="00F71D1D"/>
    <w:rsid w:val="00F71DB0"/>
    <w:rsid w:val="00F71E10"/>
    <w:rsid w:val="00F7268E"/>
    <w:rsid w:val="00F7271A"/>
    <w:rsid w:val="00F72839"/>
    <w:rsid w:val="00F728C2"/>
    <w:rsid w:val="00F729A8"/>
    <w:rsid w:val="00F729ED"/>
    <w:rsid w:val="00F73703"/>
    <w:rsid w:val="00F7397D"/>
    <w:rsid w:val="00F73D04"/>
    <w:rsid w:val="00F7428C"/>
    <w:rsid w:val="00F74405"/>
    <w:rsid w:val="00F747D3"/>
    <w:rsid w:val="00F74AE9"/>
    <w:rsid w:val="00F74D1A"/>
    <w:rsid w:val="00F74D57"/>
    <w:rsid w:val="00F74E70"/>
    <w:rsid w:val="00F74FB6"/>
    <w:rsid w:val="00F750C6"/>
    <w:rsid w:val="00F75280"/>
    <w:rsid w:val="00F75561"/>
    <w:rsid w:val="00F7567C"/>
    <w:rsid w:val="00F757FE"/>
    <w:rsid w:val="00F75876"/>
    <w:rsid w:val="00F75CDA"/>
    <w:rsid w:val="00F75EA3"/>
    <w:rsid w:val="00F7615F"/>
    <w:rsid w:val="00F763F3"/>
    <w:rsid w:val="00F76623"/>
    <w:rsid w:val="00F76793"/>
    <w:rsid w:val="00F76E72"/>
    <w:rsid w:val="00F77755"/>
    <w:rsid w:val="00F77C0A"/>
    <w:rsid w:val="00F77DF9"/>
    <w:rsid w:val="00F77F62"/>
    <w:rsid w:val="00F80026"/>
    <w:rsid w:val="00F8021F"/>
    <w:rsid w:val="00F806BD"/>
    <w:rsid w:val="00F80B5F"/>
    <w:rsid w:val="00F80EDF"/>
    <w:rsid w:val="00F80FBD"/>
    <w:rsid w:val="00F8113C"/>
    <w:rsid w:val="00F81226"/>
    <w:rsid w:val="00F814EC"/>
    <w:rsid w:val="00F81537"/>
    <w:rsid w:val="00F81603"/>
    <w:rsid w:val="00F82041"/>
    <w:rsid w:val="00F8205C"/>
    <w:rsid w:val="00F82282"/>
    <w:rsid w:val="00F823B4"/>
    <w:rsid w:val="00F82833"/>
    <w:rsid w:val="00F828BB"/>
    <w:rsid w:val="00F82CE0"/>
    <w:rsid w:val="00F82FDB"/>
    <w:rsid w:val="00F8312F"/>
    <w:rsid w:val="00F8318B"/>
    <w:rsid w:val="00F83213"/>
    <w:rsid w:val="00F83467"/>
    <w:rsid w:val="00F8347C"/>
    <w:rsid w:val="00F83D6B"/>
    <w:rsid w:val="00F83DC9"/>
    <w:rsid w:val="00F83E68"/>
    <w:rsid w:val="00F844EF"/>
    <w:rsid w:val="00F848A5"/>
    <w:rsid w:val="00F84BC8"/>
    <w:rsid w:val="00F84DF2"/>
    <w:rsid w:val="00F850B9"/>
    <w:rsid w:val="00F854AC"/>
    <w:rsid w:val="00F8578E"/>
    <w:rsid w:val="00F857B7"/>
    <w:rsid w:val="00F85803"/>
    <w:rsid w:val="00F85B4A"/>
    <w:rsid w:val="00F85B7C"/>
    <w:rsid w:val="00F85DCA"/>
    <w:rsid w:val="00F86387"/>
    <w:rsid w:val="00F8664D"/>
    <w:rsid w:val="00F872AF"/>
    <w:rsid w:val="00F8785F"/>
    <w:rsid w:val="00F87A60"/>
    <w:rsid w:val="00F87A6E"/>
    <w:rsid w:val="00F87BDC"/>
    <w:rsid w:val="00F87CF1"/>
    <w:rsid w:val="00F87D80"/>
    <w:rsid w:val="00F87F82"/>
    <w:rsid w:val="00F87F8B"/>
    <w:rsid w:val="00F90231"/>
    <w:rsid w:val="00F908E4"/>
    <w:rsid w:val="00F90A62"/>
    <w:rsid w:val="00F90DB7"/>
    <w:rsid w:val="00F91833"/>
    <w:rsid w:val="00F918AE"/>
    <w:rsid w:val="00F91C82"/>
    <w:rsid w:val="00F91D70"/>
    <w:rsid w:val="00F920DC"/>
    <w:rsid w:val="00F9259E"/>
    <w:rsid w:val="00F925ED"/>
    <w:rsid w:val="00F92D55"/>
    <w:rsid w:val="00F92D72"/>
    <w:rsid w:val="00F92F63"/>
    <w:rsid w:val="00F932F9"/>
    <w:rsid w:val="00F933E4"/>
    <w:rsid w:val="00F93D07"/>
    <w:rsid w:val="00F93EB3"/>
    <w:rsid w:val="00F9466B"/>
    <w:rsid w:val="00F9469E"/>
    <w:rsid w:val="00F94C87"/>
    <w:rsid w:val="00F94D35"/>
    <w:rsid w:val="00F9566C"/>
    <w:rsid w:val="00F957E1"/>
    <w:rsid w:val="00F9585A"/>
    <w:rsid w:val="00F95AEF"/>
    <w:rsid w:val="00F964D5"/>
    <w:rsid w:val="00F9696E"/>
    <w:rsid w:val="00F969A9"/>
    <w:rsid w:val="00F96FC8"/>
    <w:rsid w:val="00F97CA7"/>
    <w:rsid w:val="00F97DF1"/>
    <w:rsid w:val="00FA00B5"/>
    <w:rsid w:val="00FA0116"/>
    <w:rsid w:val="00FA1447"/>
    <w:rsid w:val="00FA1803"/>
    <w:rsid w:val="00FA1840"/>
    <w:rsid w:val="00FA1D55"/>
    <w:rsid w:val="00FA21FD"/>
    <w:rsid w:val="00FA2345"/>
    <w:rsid w:val="00FA26AF"/>
    <w:rsid w:val="00FA297E"/>
    <w:rsid w:val="00FA2D14"/>
    <w:rsid w:val="00FA2D3A"/>
    <w:rsid w:val="00FA345C"/>
    <w:rsid w:val="00FA36BF"/>
    <w:rsid w:val="00FA3888"/>
    <w:rsid w:val="00FA3A85"/>
    <w:rsid w:val="00FA3CB8"/>
    <w:rsid w:val="00FA3D8C"/>
    <w:rsid w:val="00FA4169"/>
    <w:rsid w:val="00FA4292"/>
    <w:rsid w:val="00FA467A"/>
    <w:rsid w:val="00FA4CED"/>
    <w:rsid w:val="00FA4D35"/>
    <w:rsid w:val="00FA4EAB"/>
    <w:rsid w:val="00FA52F8"/>
    <w:rsid w:val="00FA5E79"/>
    <w:rsid w:val="00FA62B5"/>
    <w:rsid w:val="00FA657D"/>
    <w:rsid w:val="00FA6914"/>
    <w:rsid w:val="00FA69A8"/>
    <w:rsid w:val="00FA6B88"/>
    <w:rsid w:val="00FA71EF"/>
    <w:rsid w:val="00FA733B"/>
    <w:rsid w:val="00FA7661"/>
    <w:rsid w:val="00FA7ECD"/>
    <w:rsid w:val="00FB010F"/>
    <w:rsid w:val="00FB0C61"/>
    <w:rsid w:val="00FB0F03"/>
    <w:rsid w:val="00FB1030"/>
    <w:rsid w:val="00FB104A"/>
    <w:rsid w:val="00FB11F6"/>
    <w:rsid w:val="00FB12DD"/>
    <w:rsid w:val="00FB164A"/>
    <w:rsid w:val="00FB169C"/>
    <w:rsid w:val="00FB1747"/>
    <w:rsid w:val="00FB1B63"/>
    <w:rsid w:val="00FB1D3F"/>
    <w:rsid w:val="00FB2682"/>
    <w:rsid w:val="00FB26D6"/>
    <w:rsid w:val="00FB29B4"/>
    <w:rsid w:val="00FB2CAA"/>
    <w:rsid w:val="00FB2DE4"/>
    <w:rsid w:val="00FB3BA2"/>
    <w:rsid w:val="00FB3C94"/>
    <w:rsid w:val="00FB4416"/>
    <w:rsid w:val="00FB47DE"/>
    <w:rsid w:val="00FB4A25"/>
    <w:rsid w:val="00FB5419"/>
    <w:rsid w:val="00FB54D7"/>
    <w:rsid w:val="00FB5A64"/>
    <w:rsid w:val="00FB5F72"/>
    <w:rsid w:val="00FB6000"/>
    <w:rsid w:val="00FB6364"/>
    <w:rsid w:val="00FB6A3F"/>
    <w:rsid w:val="00FB6A84"/>
    <w:rsid w:val="00FB6AD1"/>
    <w:rsid w:val="00FB6F1D"/>
    <w:rsid w:val="00FB72C0"/>
    <w:rsid w:val="00FB741E"/>
    <w:rsid w:val="00FB7602"/>
    <w:rsid w:val="00FB7652"/>
    <w:rsid w:val="00FB77AE"/>
    <w:rsid w:val="00FB77E7"/>
    <w:rsid w:val="00FB7AFD"/>
    <w:rsid w:val="00FB7C2C"/>
    <w:rsid w:val="00FB7E18"/>
    <w:rsid w:val="00FC0278"/>
    <w:rsid w:val="00FC040E"/>
    <w:rsid w:val="00FC0868"/>
    <w:rsid w:val="00FC0890"/>
    <w:rsid w:val="00FC1174"/>
    <w:rsid w:val="00FC19F7"/>
    <w:rsid w:val="00FC1BF5"/>
    <w:rsid w:val="00FC1FA5"/>
    <w:rsid w:val="00FC25A8"/>
    <w:rsid w:val="00FC28C2"/>
    <w:rsid w:val="00FC295D"/>
    <w:rsid w:val="00FC2DC1"/>
    <w:rsid w:val="00FC3064"/>
    <w:rsid w:val="00FC3165"/>
    <w:rsid w:val="00FC3397"/>
    <w:rsid w:val="00FC36B5"/>
    <w:rsid w:val="00FC374F"/>
    <w:rsid w:val="00FC390E"/>
    <w:rsid w:val="00FC39B5"/>
    <w:rsid w:val="00FC3A7B"/>
    <w:rsid w:val="00FC3B8E"/>
    <w:rsid w:val="00FC3CDD"/>
    <w:rsid w:val="00FC4029"/>
    <w:rsid w:val="00FC4053"/>
    <w:rsid w:val="00FC437B"/>
    <w:rsid w:val="00FC4C18"/>
    <w:rsid w:val="00FC4CFC"/>
    <w:rsid w:val="00FC4F5D"/>
    <w:rsid w:val="00FC515D"/>
    <w:rsid w:val="00FC5388"/>
    <w:rsid w:val="00FC58AB"/>
    <w:rsid w:val="00FC5A29"/>
    <w:rsid w:val="00FC694C"/>
    <w:rsid w:val="00FC6A01"/>
    <w:rsid w:val="00FC6A4E"/>
    <w:rsid w:val="00FC7046"/>
    <w:rsid w:val="00FC7194"/>
    <w:rsid w:val="00FC7477"/>
    <w:rsid w:val="00FC76BF"/>
    <w:rsid w:val="00FC777C"/>
    <w:rsid w:val="00FC7FCF"/>
    <w:rsid w:val="00FD0155"/>
    <w:rsid w:val="00FD0223"/>
    <w:rsid w:val="00FD0254"/>
    <w:rsid w:val="00FD035F"/>
    <w:rsid w:val="00FD038C"/>
    <w:rsid w:val="00FD0535"/>
    <w:rsid w:val="00FD0662"/>
    <w:rsid w:val="00FD0893"/>
    <w:rsid w:val="00FD13FD"/>
    <w:rsid w:val="00FD1D39"/>
    <w:rsid w:val="00FD1D89"/>
    <w:rsid w:val="00FD1F6F"/>
    <w:rsid w:val="00FD2034"/>
    <w:rsid w:val="00FD20B1"/>
    <w:rsid w:val="00FD2118"/>
    <w:rsid w:val="00FD243E"/>
    <w:rsid w:val="00FD2588"/>
    <w:rsid w:val="00FD279F"/>
    <w:rsid w:val="00FD2A1A"/>
    <w:rsid w:val="00FD2BAA"/>
    <w:rsid w:val="00FD3296"/>
    <w:rsid w:val="00FD3316"/>
    <w:rsid w:val="00FD38CB"/>
    <w:rsid w:val="00FD39CE"/>
    <w:rsid w:val="00FD3CC6"/>
    <w:rsid w:val="00FD40CB"/>
    <w:rsid w:val="00FD4189"/>
    <w:rsid w:val="00FD4304"/>
    <w:rsid w:val="00FD47B0"/>
    <w:rsid w:val="00FD48D0"/>
    <w:rsid w:val="00FD4CAF"/>
    <w:rsid w:val="00FD505A"/>
    <w:rsid w:val="00FD5341"/>
    <w:rsid w:val="00FD53CD"/>
    <w:rsid w:val="00FD558C"/>
    <w:rsid w:val="00FD5D6C"/>
    <w:rsid w:val="00FD607F"/>
    <w:rsid w:val="00FD6DBE"/>
    <w:rsid w:val="00FD6DFF"/>
    <w:rsid w:val="00FD7550"/>
    <w:rsid w:val="00FD785E"/>
    <w:rsid w:val="00FD78ED"/>
    <w:rsid w:val="00FD79CD"/>
    <w:rsid w:val="00FD79F6"/>
    <w:rsid w:val="00FD7D4E"/>
    <w:rsid w:val="00FE00D0"/>
    <w:rsid w:val="00FE0411"/>
    <w:rsid w:val="00FE0419"/>
    <w:rsid w:val="00FE04A8"/>
    <w:rsid w:val="00FE0940"/>
    <w:rsid w:val="00FE102E"/>
    <w:rsid w:val="00FE1039"/>
    <w:rsid w:val="00FE1642"/>
    <w:rsid w:val="00FE177E"/>
    <w:rsid w:val="00FE1BE1"/>
    <w:rsid w:val="00FE1FC2"/>
    <w:rsid w:val="00FE21DF"/>
    <w:rsid w:val="00FE2826"/>
    <w:rsid w:val="00FE299B"/>
    <w:rsid w:val="00FE2AA6"/>
    <w:rsid w:val="00FE2BF7"/>
    <w:rsid w:val="00FE2C10"/>
    <w:rsid w:val="00FE2E44"/>
    <w:rsid w:val="00FE33D5"/>
    <w:rsid w:val="00FE3680"/>
    <w:rsid w:val="00FE38D4"/>
    <w:rsid w:val="00FE3B31"/>
    <w:rsid w:val="00FE3F85"/>
    <w:rsid w:val="00FE43BD"/>
    <w:rsid w:val="00FE43F1"/>
    <w:rsid w:val="00FE44B9"/>
    <w:rsid w:val="00FE46BC"/>
    <w:rsid w:val="00FE490C"/>
    <w:rsid w:val="00FE4AD1"/>
    <w:rsid w:val="00FE507C"/>
    <w:rsid w:val="00FE60AF"/>
    <w:rsid w:val="00FE6439"/>
    <w:rsid w:val="00FE6447"/>
    <w:rsid w:val="00FE649F"/>
    <w:rsid w:val="00FE64EE"/>
    <w:rsid w:val="00FE6945"/>
    <w:rsid w:val="00FE6C10"/>
    <w:rsid w:val="00FE71B2"/>
    <w:rsid w:val="00FE741D"/>
    <w:rsid w:val="00FE7A13"/>
    <w:rsid w:val="00FE7BCA"/>
    <w:rsid w:val="00FE7CE4"/>
    <w:rsid w:val="00FE7ED9"/>
    <w:rsid w:val="00FE7F2D"/>
    <w:rsid w:val="00FF03BB"/>
    <w:rsid w:val="00FF0A3E"/>
    <w:rsid w:val="00FF10D8"/>
    <w:rsid w:val="00FF1583"/>
    <w:rsid w:val="00FF15D4"/>
    <w:rsid w:val="00FF17BC"/>
    <w:rsid w:val="00FF1C2B"/>
    <w:rsid w:val="00FF1CE6"/>
    <w:rsid w:val="00FF1E0C"/>
    <w:rsid w:val="00FF2130"/>
    <w:rsid w:val="00FF2861"/>
    <w:rsid w:val="00FF2962"/>
    <w:rsid w:val="00FF2B07"/>
    <w:rsid w:val="00FF2D10"/>
    <w:rsid w:val="00FF2DB5"/>
    <w:rsid w:val="00FF2E3F"/>
    <w:rsid w:val="00FF35D4"/>
    <w:rsid w:val="00FF3A19"/>
    <w:rsid w:val="00FF3C90"/>
    <w:rsid w:val="00FF41EF"/>
    <w:rsid w:val="00FF495D"/>
    <w:rsid w:val="00FF49EE"/>
    <w:rsid w:val="00FF49F1"/>
    <w:rsid w:val="00FF52B2"/>
    <w:rsid w:val="00FF5314"/>
    <w:rsid w:val="00FF5653"/>
    <w:rsid w:val="00FF57A7"/>
    <w:rsid w:val="00FF5EBD"/>
    <w:rsid w:val="00FF6350"/>
    <w:rsid w:val="00FF6453"/>
    <w:rsid w:val="00FF66DB"/>
    <w:rsid w:val="00FF682D"/>
    <w:rsid w:val="00FF68B7"/>
    <w:rsid w:val="00FF6A62"/>
    <w:rsid w:val="00FF6ABE"/>
    <w:rsid w:val="00FF6BC5"/>
    <w:rsid w:val="00FF6C0C"/>
    <w:rsid w:val="00FF6C68"/>
    <w:rsid w:val="00FF7049"/>
    <w:rsid w:val="00FF76C1"/>
    <w:rsid w:val="00FF7823"/>
    <w:rsid w:val="00FF7B36"/>
    <w:rsid w:val="00FF7B90"/>
    <w:rsid w:val="01015490"/>
    <w:rsid w:val="015772A4"/>
    <w:rsid w:val="01C947B4"/>
    <w:rsid w:val="01F23F0C"/>
    <w:rsid w:val="01F61BBE"/>
    <w:rsid w:val="0238217A"/>
    <w:rsid w:val="023E4968"/>
    <w:rsid w:val="03376BCE"/>
    <w:rsid w:val="03555A65"/>
    <w:rsid w:val="037318A4"/>
    <w:rsid w:val="038977E1"/>
    <w:rsid w:val="038F7A8B"/>
    <w:rsid w:val="03FB6E15"/>
    <w:rsid w:val="03FD61A7"/>
    <w:rsid w:val="04366243"/>
    <w:rsid w:val="04613A2D"/>
    <w:rsid w:val="04877EA4"/>
    <w:rsid w:val="04B41E63"/>
    <w:rsid w:val="04C54199"/>
    <w:rsid w:val="04C75028"/>
    <w:rsid w:val="052F7785"/>
    <w:rsid w:val="054B6399"/>
    <w:rsid w:val="05740424"/>
    <w:rsid w:val="05760243"/>
    <w:rsid w:val="0577782A"/>
    <w:rsid w:val="059B6FB1"/>
    <w:rsid w:val="05C0235D"/>
    <w:rsid w:val="05C4290D"/>
    <w:rsid w:val="06020126"/>
    <w:rsid w:val="067E7D8A"/>
    <w:rsid w:val="06C6614A"/>
    <w:rsid w:val="06DC1638"/>
    <w:rsid w:val="06DD6009"/>
    <w:rsid w:val="070336B1"/>
    <w:rsid w:val="07585EEB"/>
    <w:rsid w:val="075F2DD4"/>
    <w:rsid w:val="07CE693F"/>
    <w:rsid w:val="08030E2F"/>
    <w:rsid w:val="08067460"/>
    <w:rsid w:val="080B007E"/>
    <w:rsid w:val="08237101"/>
    <w:rsid w:val="082C7AE5"/>
    <w:rsid w:val="086C4E15"/>
    <w:rsid w:val="08774B77"/>
    <w:rsid w:val="08B70C0A"/>
    <w:rsid w:val="08FD2AAE"/>
    <w:rsid w:val="091B6B2C"/>
    <w:rsid w:val="09695671"/>
    <w:rsid w:val="09BF2418"/>
    <w:rsid w:val="09C45CB0"/>
    <w:rsid w:val="09CD0C44"/>
    <w:rsid w:val="09FA12A2"/>
    <w:rsid w:val="0A344B09"/>
    <w:rsid w:val="0A6300CB"/>
    <w:rsid w:val="0A6C0373"/>
    <w:rsid w:val="0A826B6A"/>
    <w:rsid w:val="0AAC5159"/>
    <w:rsid w:val="0ADF4592"/>
    <w:rsid w:val="0B077589"/>
    <w:rsid w:val="0B0C7351"/>
    <w:rsid w:val="0B2E7418"/>
    <w:rsid w:val="0B766AA4"/>
    <w:rsid w:val="0BA01EAC"/>
    <w:rsid w:val="0C2F32F7"/>
    <w:rsid w:val="0C397C05"/>
    <w:rsid w:val="0C535144"/>
    <w:rsid w:val="0C6C5FEF"/>
    <w:rsid w:val="0C701E48"/>
    <w:rsid w:val="0CB8153E"/>
    <w:rsid w:val="0CDC3C27"/>
    <w:rsid w:val="0CF9552A"/>
    <w:rsid w:val="0D103128"/>
    <w:rsid w:val="0D8337EA"/>
    <w:rsid w:val="0DA01E9E"/>
    <w:rsid w:val="0DA77A95"/>
    <w:rsid w:val="0DD43BEE"/>
    <w:rsid w:val="0E060289"/>
    <w:rsid w:val="0E2D0335"/>
    <w:rsid w:val="0E8E59D4"/>
    <w:rsid w:val="0EB35542"/>
    <w:rsid w:val="0ECE6C4B"/>
    <w:rsid w:val="0EDE5077"/>
    <w:rsid w:val="0F024CF3"/>
    <w:rsid w:val="0F1D0EE1"/>
    <w:rsid w:val="0F6077AD"/>
    <w:rsid w:val="0F781459"/>
    <w:rsid w:val="0F996659"/>
    <w:rsid w:val="0FBD49F4"/>
    <w:rsid w:val="101A2F20"/>
    <w:rsid w:val="103D365B"/>
    <w:rsid w:val="10482619"/>
    <w:rsid w:val="11132B3A"/>
    <w:rsid w:val="11AD5922"/>
    <w:rsid w:val="12763073"/>
    <w:rsid w:val="135F69A0"/>
    <w:rsid w:val="13685DA3"/>
    <w:rsid w:val="13804FD4"/>
    <w:rsid w:val="13A5104C"/>
    <w:rsid w:val="13DF0121"/>
    <w:rsid w:val="13F7199B"/>
    <w:rsid w:val="140B2E59"/>
    <w:rsid w:val="140F4BDF"/>
    <w:rsid w:val="144B63F9"/>
    <w:rsid w:val="14646629"/>
    <w:rsid w:val="14D10439"/>
    <w:rsid w:val="154C472F"/>
    <w:rsid w:val="1599247D"/>
    <w:rsid w:val="15B41FA8"/>
    <w:rsid w:val="15D275D8"/>
    <w:rsid w:val="16057023"/>
    <w:rsid w:val="162C6AF9"/>
    <w:rsid w:val="1656348F"/>
    <w:rsid w:val="165A7945"/>
    <w:rsid w:val="1689689E"/>
    <w:rsid w:val="169E3FD5"/>
    <w:rsid w:val="16BD53C2"/>
    <w:rsid w:val="172B11C3"/>
    <w:rsid w:val="17563E2E"/>
    <w:rsid w:val="17A7636F"/>
    <w:rsid w:val="17CE2BB2"/>
    <w:rsid w:val="183A15F4"/>
    <w:rsid w:val="18536AE5"/>
    <w:rsid w:val="1880122F"/>
    <w:rsid w:val="188E75F7"/>
    <w:rsid w:val="18D25736"/>
    <w:rsid w:val="18DA5DE2"/>
    <w:rsid w:val="190873AA"/>
    <w:rsid w:val="19561746"/>
    <w:rsid w:val="1960195F"/>
    <w:rsid w:val="199051DC"/>
    <w:rsid w:val="19FE27E8"/>
    <w:rsid w:val="1A0E5C9A"/>
    <w:rsid w:val="1A440C44"/>
    <w:rsid w:val="1A787482"/>
    <w:rsid w:val="1AC24F49"/>
    <w:rsid w:val="1B7D7EFD"/>
    <w:rsid w:val="1BBD3FE9"/>
    <w:rsid w:val="1C540BB7"/>
    <w:rsid w:val="1CA2789A"/>
    <w:rsid w:val="1CBC2447"/>
    <w:rsid w:val="1CBC5128"/>
    <w:rsid w:val="1CFA1888"/>
    <w:rsid w:val="1D464537"/>
    <w:rsid w:val="1D6D1ED1"/>
    <w:rsid w:val="1D7806C5"/>
    <w:rsid w:val="1D91416C"/>
    <w:rsid w:val="1DB064A6"/>
    <w:rsid w:val="1DE96873"/>
    <w:rsid w:val="1E09386E"/>
    <w:rsid w:val="1E1B2814"/>
    <w:rsid w:val="1E273CF7"/>
    <w:rsid w:val="1E776E55"/>
    <w:rsid w:val="1E873612"/>
    <w:rsid w:val="1E9364F3"/>
    <w:rsid w:val="1EF84B7F"/>
    <w:rsid w:val="1F1D1DE6"/>
    <w:rsid w:val="1F3E038F"/>
    <w:rsid w:val="1F866D4D"/>
    <w:rsid w:val="1FD91AA0"/>
    <w:rsid w:val="1FDA7AA4"/>
    <w:rsid w:val="20262141"/>
    <w:rsid w:val="203D31BB"/>
    <w:rsid w:val="205B439C"/>
    <w:rsid w:val="20817219"/>
    <w:rsid w:val="209B5E79"/>
    <w:rsid w:val="20A06380"/>
    <w:rsid w:val="20AE5923"/>
    <w:rsid w:val="20C53DD2"/>
    <w:rsid w:val="20D56580"/>
    <w:rsid w:val="20EE0CEF"/>
    <w:rsid w:val="21274A8D"/>
    <w:rsid w:val="21AD7B01"/>
    <w:rsid w:val="21E939F3"/>
    <w:rsid w:val="21F3164A"/>
    <w:rsid w:val="21F75572"/>
    <w:rsid w:val="220F79FB"/>
    <w:rsid w:val="229638EE"/>
    <w:rsid w:val="22BB2B8D"/>
    <w:rsid w:val="22CB2A91"/>
    <w:rsid w:val="233A4A2E"/>
    <w:rsid w:val="235155EF"/>
    <w:rsid w:val="237F3F59"/>
    <w:rsid w:val="23927BFF"/>
    <w:rsid w:val="23955DCF"/>
    <w:rsid w:val="23A72D71"/>
    <w:rsid w:val="23B55584"/>
    <w:rsid w:val="23B77D9C"/>
    <w:rsid w:val="240C7BB7"/>
    <w:rsid w:val="24390D5F"/>
    <w:rsid w:val="24526181"/>
    <w:rsid w:val="245E3A2E"/>
    <w:rsid w:val="24657EAD"/>
    <w:rsid w:val="249F09FB"/>
    <w:rsid w:val="24CF78F6"/>
    <w:rsid w:val="24DF0F92"/>
    <w:rsid w:val="2586504E"/>
    <w:rsid w:val="258E50DA"/>
    <w:rsid w:val="26543915"/>
    <w:rsid w:val="266748DA"/>
    <w:rsid w:val="270166AF"/>
    <w:rsid w:val="270A63BB"/>
    <w:rsid w:val="272E2862"/>
    <w:rsid w:val="276779FB"/>
    <w:rsid w:val="277A14C9"/>
    <w:rsid w:val="277C6B0A"/>
    <w:rsid w:val="27AF0763"/>
    <w:rsid w:val="27D308F8"/>
    <w:rsid w:val="281B41ED"/>
    <w:rsid w:val="28212236"/>
    <w:rsid w:val="28442B5C"/>
    <w:rsid w:val="2865032C"/>
    <w:rsid w:val="28B66563"/>
    <w:rsid w:val="28BA4402"/>
    <w:rsid w:val="28D93C54"/>
    <w:rsid w:val="28E01933"/>
    <w:rsid w:val="28E46405"/>
    <w:rsid w:val="28FA291B"/>
    <w:rsid w:val="296B5038"/>
    <w:rsid w:val="2A0C0223"/>
    <w:rsid w:val="2A8F3345"/>
    <w:rsid w:val="2AC36D67"/>
    <w:rsid w:val="2B372869"/>
    <w:rsid w:val="2B83792D"/>
    <w:rsid w:val="2BA72A52"/>
    <w:rsid w:val="2BEF2732"/>
    <w:rsid w:val="2C04339B"/>
    <w:rsid w:val="2C22445F"/>
    <w:rsid w:val="2C2577B2"/>
    <w:rsid w:val="2C942CF3"/>
    <w:rsid w:val="2C954333"/>
    <w:rsid w:val="2CEA3CCC"/>
    <w:rsid w:val="2CEA58D1"/>
    <w:rsid w:val="2CFC5020"/>
    <w:rsid w:val="2D197980"/>
    <w:rsid w:val="2D5D0BD5"/>
    <w:rsid w:val="2D9742E5"/>
    <w:rsid w:val="2DCA0C7A"/>
    <w:rsid w:val="2DDD525E"/>
    <w:rsid w:val="2DE74F2A"/>
    <w:rsid w:val="2DED529B"/>
    <w:rsid w:val="2E4233D2"/>
    <w:rsid w:val="2EA17C2D"/>
    <w:rsid w:val="2EA904EE"/>
    <w:rsid w:val="2EB15996"/>
    <w:rsid w:val="2EEF53EF"/>
    <w:rsid w:val="2F400E27"/>
    <w:rsid w:val="2F476391"/>
    <w:rsid w:val="2F62179C"/>
    <w:rsid w:val="2F6C023B"/>
    <w:rsid w:val="2FC829D8"/>
    <w:rsid w:val="3002294D"/>
    <w:rsid w:val="3006093D"/>
    <w:rsid w:val="300F0BC6"/>
    <w:rsid w:val="305A73EF"/>
    <w:rsid w:val="30814DD0"/>
    <w:rsid w:val="3088176B"/>
    <w:rsid w:val="309576BD"/>
    <w:rsid w:val="310210F3"/>
    <w:rsid w:val="312760CA"/>
    <w:rsid w:val="312F1E90"/>
    <w:rsid w:val="3183533D"/>
    <w:rsid w:val="319816DC"/>
    <w:rsid w:val="31E63BB0"/>
    <w:rsid w:val="31FE5309"/>
    <w:rsid w:val="32780350"/>
    <w:rsid w:val="32872A85"/>
    <w:rsid w:val="328C4FCE"/>
    <w:rsid w:val="32A73338"/>
    <w:rsid w:val="33100803"/>
    <w:rsid w:val="33155499"/>
    <w:rsid w:val="331B4737"/>
    <w:rsid w:val="333908EC"/>
    <w:rsid w:val="33394BA3"/>
    <w:rsid w:val="33581392"/>
    <w:rsid w:val="33955033"/>
    <w:rsid w:val="33D22ED3"/>
    <w:rsid w:val="340234C8"/>
    <w:rsid w:val="3447607D"/>
    <w:rsid w:val="34531457"/>
    <w:rsid w:val="34A710C2"/>
    <w:rsid w:val="34B5189B"/>
    <w:rsid w:val="34C456A4"/>
    <w:rsid w:val="350B5077"/>
    <w:rsid w:val="353A3AF5"/>
    <w:rsid w:val="35BB0EEE"/>
    <w:rsid w:val="35D703D8"/>
    <w:rsid w:val="35DE52C2"/>
    <w:rsid w:val="368D4CD9"/>
    <w:rsid w:val="36F11025"/>
    <w:rsid w:val="37354718"/>
    <w:rsid w:val="37BF1123"/>
    <w:rsid w:val="37F1200C"/>
    <w:rsid w:val="380868AD"/>
    <w:rsid w:val="382F2DA8"/>
    <w:rsid w:val="38A336AA"/>
    <w:rsid w:val="38B4365F"/>
    <w:rsid w:val="38DF4C98"/>
    <w:rsid w:val="38FE40DE"/>
    <w:rsid w:val="392076E7"/>
    <w:rsid w:val="392F1621"/>
    <w:rsid w:val="393B75EB"/>
    <w:rsid w:val="394601A9"/>
    <w:rsid w:val="39622001"/>
    <w:rsid w:val="39D05E4A"/>
    <w:rsid w:val="3A003EA5"/>
    <w:rsid w:val="3A3347D8"/>
    <w:rsid w:val="3A8723CC"/>
    <w:rsid w:val="3A8D7822"/>
    <w:rsid w:val="3A975943"/>
    <w:rsid w:val="3AC31E92"/>
    <w:rsid w:val="3B151F6A"/>
    <w:rsid w:val="3B1C5906"/>
    <w:rsid w:val="3B2319C9"/>
    <w:rsid w:val="3B2863B4"/>
    <w:rsid w:val="3B2A71FC"/>
    <w:rsid w:val="3B3C6555"/>
    <w:rsid w:val="3B4C0232"/>
    <w:rsid w:val="3B51125D"/>
    <w:rsid w:val="3B7D37CF"/>
    <w:rsid w:val="3BA174BE"/>
    <w:rsid w:val="3BEB492B"/>
    <w:rsid w:val="3BEF756B"/>
    <w:rsid w:val="3BF2677C"/>
    <w:rsid w:val="3C0F2A48"/>
    <w:rsid w:val="3C436713"/>
    <w:rsid w:val="3C571964"/>
    <w:rsid w:val="3C7D054C"/>
    <w:rsid w:val="3CF655E7"/>
    <w:rsid w:val="3D125E84"/>
    <w:rsid w:val="3D1D2612"/>
    <w:rsid w:val="3D405813"/>
    <w:rsid w:val="3D854156"/>
    <w:rsid w:val="3E295FF2"/>
    <w:rsid w:val="3E52695A"/>
    <w:rsid w:val="3E5901E3"/>
    <w:rsid w:val="3E5A6DD2"/>
    <w:rsid w:val="3E734A16"/>
    <w:rsid w:val="3ED7703E"/>
    <w:rsid w:val="3F0375F1"/>
    <w:rsid w:val="3F0A5FAB"/>
    <w:rsid w:val="3F1B0FAB"/>
    <w:rsid w:val="3F262FD3"/>
    <w:rsid w:val="3F3854F8"/>
    <w:rsid w:val="3F3C2410"/>
    <w:rsid w:val="3F6F15D0"/>
    <w:rsid w:val="3F7B248F"/>
    <w:rsid w:val="3F9238CB"/>
    <w:rsid w:val="3F966C0E"/>
    <w:rsid w:val="3FC32D8C"/>
    <w:rsid w:val="3FCD7432"/>
    <w:rsid w:val="3FDC1A38"/>
    <w:rsid w:val="401C7C66"/>
    <w:rsid w:val="402150A0"/>
    <w:rsid w:val="403D4A77"/>
    <w:rsid w:val="403F2EA1"/>
    <w:rsid w:val="40523F3A"/>
    <w:rsid w:val="40BF2194"/>
    <w:rsid w:val="40D75869"/>
    <w:rsid w:val="40DE5866"/>
    <w:rsid w:val="410470ED"/>
    <w:rsid w:val="413D471A"/>
    <w:rsid w:val="415B3F41"/>
    <w:rsid w:val="41624724"/>
    <w:rsid w:val="41656898"/>
    <w:rsid w:val="417E5BAB"/>
    <w:rsid w:val="41FA24EC"/>
    <w:rsid w:val="420163FE"/>
    <w:rsid w:val="420771F9"/>
    <w:rsid w:val="42364E3C"/>
    <w:rsid w:val="423B0B3A"/>
    <w:rsid w:val="42812669"/>
    <w:rsid w:val="4283630E"/>
    <w:rsid w:val="42863A1E"/>
    <w:rsid w:val="42B10FA4"/>
    <w:rsid w:val="42B74D5E"/>
    <w:rsid w:val="42DF08CC"/>
    <w:rsid w:val="43627768"/>
    <w:rsid w:val="43AF515B"/>
    <w:rsid w:val="43B646B8"/>
    <w:rsid w:val="43C62655"/>
    <w:rsid w:val="44136A7F"/>
    <w:rsid w:val="446150FE"/>
    <w:rsid w:val="44C43B32"/>
    <w:rsid w:val="44C85ABB"/>
    <w:rsid w:val="44D53F72"/>
    <w:rsid w:val="450148D5"/>
    <w:rsid w:val="45C06FF5"/>
    <w:rsid w:val="45C845A4"/>
    <w:rsid w:val="460B1212"/>
    <w:rsid w:val="463158E2"/>
    <w:rsid w:val="463F7FFF"/>
    <w:rsid w:val="466F73B2"/>
    <w:rsid w:val="469B0DE8"/>
    <w:rsid w:val="46A35B63"/>
    <w:rsid w:val="46E47FFF"/>
    <w:rsid w:val="46FA2634"/>
    <w:rsid w:val="4717739E"/>
    <w:rsid w:val="471F15EA"/>
    <w:rsid w:val="47C57307"/>
    <w:rsid w:val="48F8263B"/>
    <w:rsid w:val="49022255"/>
    <w:rsid w:val="490B7A98"/>
    <w:rsid w:val="491A0525"/>
    <w:rsid w:val="49245C32"/>
    <w:rsid w:val="492E74AC"/>
    <w:rsid w:val="49745C15"/>
    <w:rsid w:val="4A070D49"/>
    <w:rsid w:val="4A186FB0"/>
    <w:rsid w:val="4A231EF4"/>
    <w:rsid w:val="4A816D63"/>
    <w:rsid w:val="4A975248"/>
    <w:rsid w:val="4AD4712C"/>
    <w:rsid w:val="4B1B1A3F"/>
    <w:rsid w:val="4B9A6518"/>
    <w:rsid w:val="4C3608A2"/>
    <w:rsid w:val="4C3A6B73"/>
    <w:rsid w:val="4C8945CD"/>
    <w:rsid w:val="4CB13512"/>
    <w:rsid w:val="4CB84C34"/>
    <w:rsid w:val="4CC377A2"/>
    <w:rsid w:val="4D0F792A"/>
    <w:rsid w:val="4D136F2F"/>
    <w:rsid w:val="4DEA4C57"/>
    <w:rsid w:val="4E1256BE"/>
    <w:rsid w:val="4E3609F6"/>
    <w:rsid w:val="4E5263F6"/>
    <w:rsid w:val="4E7236F4"/>
    <w:rsid w:val="4EB1330E"/>
    <w:rsid w:val="4ED341A2"/>
    <w:rsid w:val="4F2541B5"/>
    <w:rsid w:val="4F875DFD"/>
    <w:rsid w:val="4F98252E"/>
    <w:rsid w:val="4FAE383A"/>
    <w:rsid w:val="503F2E4C"/>
    <w:rsid w:val="50AD5C80"/>
    <w:rsid w:val="51465F6A"/>
    <w:rsid w:val="51BC7657"/>
    <w:rsid w:val="51D75C3A"/>
    <w:rsid w:val="51E25CE3"/>
    <w:rsid w:val="51E474E5"/>
    <w:rsid w:val="52365308"/>
    <w:rsid w:val="523D3BA6"/>
    <w:rsid w:val="524244DF"/>
    <w:rsid w:val="52693149"/>
    <w:rsid w:val="52887D9B"/>
    <w:rsid w:val="52B22B8B"/>
    <w:rsid w:val="52B4142D"/>
    <w:rsid w:val="52DB4907"/>
    <w:rsid w:val="52F77900"/>
    <w:rsid w:val="52FE1556"/>
    <w:rsid w:val="53BF27D4"/>
    <w:rsid w:val="53C43328"/>
    <w:rsid w:val="53C849E7"/>
    <w:rsid w:val="54136E23"/>
    <w:rsid w:val="54862B7E"/>
    <w:rsid w:val="551677FB"/>
    <w:rsid w:val="5587108D"/>
    <w:rsid w:val="559D43CF"/>
    <w:rsid w:val="55A559A5"/>
    <w:rsid w:val="55C76097"/>
    <w:rsid w:val="55CC1687"/>
    <w:rsid w:val="55F777C0"/>
    <w:rsid w:val="568F7E04"/>
    <w:rsid w:val="56990F41"/>
    <w:rsid w:val="56B56E0D"/>
    <w:rsid w:val="56B82A8D"/>
    <w:rsid w:val="56F52014"/>
    <w:rsid w:val="56FD7D72"/>
    <w:rsid w:val="57184F65"/>
    <w:rsid w:val="571E156B"/>
    <w:rsid w:val="573C6B3A"/>
    <w:rsid w:val="578B4C7B"/>
    <w:rsid w:val="57EC4F9D"/>
    <w:rsid w:val="57F06D07"/>
    <w:rsid w:val="582A49EC"/>
    <w:rsid w:val="582B685E"/>
    <w:rsid w:val="586E3FA7"/>
    <w:rsid w:val="589E73C5"/>
    <w:rsid w:val="58A75F47"/>
    <w:rsid w:val="590D6EA1"/>
    <w:rsid w:val="59215342"/>
    <w:rsid w:val="59357D6E"/>
    <w:rsid w:val="593908DE"/>
    <w:rsid w:val="5994495D"/>
    <w:rsid w:val="59E30FBC"/>
    <w:rsid w:val="5A3018F1"/>
    <w:rsid w:val="5A530CA9"/>
    <w:rsid w:val="5A5534F6"/>
    <w:rsid w:val="5A83155C"/>
    <w:rsid w:val="5A91632C"/>
    <w:rsid w:val="5A91789C"/>
    <w:rsid w:val="5AA1498D"/>
    <w:rsid w:val="5ABC4237"/>
    <w:rsid w:val="5ADD173D"/>
    <w:rsid w:val="5AE62CB9"/>
    <w:rsid w:val="5B0867BA"/>
    <w:rsid w:val="5B0D10F8"/>
    <w:rsid w:val="5B5E541E"/>
    <w:rsid w:val="5B7E2738"/>
    <w:rsid w:val="5BA414A4"/>
    <w:rsid w:val="5BE9449A"/>
    <w:rsid w:val="5C0829BC"/>
    <w:rsid w:val="5C8F0D24"/>
    <w:rsid w:val="5CB63F02"/>
    <w:rsid w:val="5CC0462F"/>
    <w:rsid w:val="5CC9022C"/>
    <w:rsid w:val="5CD2032A"/>
    <w:rsid w:val="5CE41B5C"/>
    <w:rsid w:val="5DAA019B"/>
    <w:rsid w:val="5E45699F"/>
    <w:rsid w:val="5E5335C7"/>
    <w:rsid w:val="5E6737F7"/>
    <w:rsid w:val="5E785A05"/>
    <w:rsid w:val="5E895B54"/>
    <w:rsid w:val="5E9071F2"/>
    <w:rsid w:val="5E966321"/>
    <w:rsid w:val="5E9B18E2"/>
    <w:rsid w:val="5EC12281"/>
    <w:rsid w:val="5ECA7B3C"/>
    <w:rsid w:val="5EEA636E"/>
    <w:rsid w:val="5EED112F"/>
    <w:rsid w:val="5F044AF7"/>
    <w:rsid w:val="5F3C74F0"/>
    <w:rsid w:val="5F4C1931"/>
    <w:rsid w:val="5F5F572C"/>
    <w:rsid w:val="5F9D35C4"/>
    <w:rsid w:val="5FB53D08"/>
    <w:rsid w:val="6048777B"/>
    <w:rsid w:val="605061EC"/>
    <w:rsid w:val="607466A0"/>
    <w:rsid w:val="60B5734C"/>
    <w:rsid w:val="60EA0735"/>
    <w:rsid w:val="60FD1022"/>
    <w:rsid w:val="612C1761"/>
    <w:rsid w:val="61650869"/>
    <w:rsid w:val="61863D3C"/>
    <w:rsid w:val="6199362A"/>
    <w:rsid w:val="61A92379"/>
    <w:rsid w:val="61CF1B12"/>
    <w:rsid w:val="61F35739"/>
    <w:rsid w:val="61FD5AA6"/>
    <w:rsid w:val="62165C60"/>
    <w:rsid w:val="623C31ED"/>
    <w:rsid w:val="628F10F4"/>
    <w:rsid w:val="636D7F68"/>
    <w:rsid w:val="637A2771"/>
    <w:rsid w:val="6463774F"/>
    <w:rsid w:val="646F380D"/>
    <w:rsid w:val="648F7854"/>
    <w:rsid w:val="654E313E"/>
    <w:rsid w:val="65555B5F"/>
    <w:rsid w:val="65C17020"/>
    <w:rsid w:val="65E14423"/>
    <w:rsid w:val="65E33286"/>
    <w:rsid w:val="66626BA1"/>
    <w:rsid w:val="66B54F9A"/>
    <w:rsid w:val="66D24120"/>
    <w:rsid w:val="66F7057D"/>
    <w:rsid w:val="67012D18"/>
    <w:rsid w:val="671D5A94"/>
    <w:rsid w:val="679A4C3E"/>
    <w:rsid w:val="67A8120C"/>
    <w:rsid w:val="681A23BB"/>
    <w:rsid w:val="68354966"/>
    <w:rsid w:val="68715D2F"/>
    <w:rsid w:val="689520A9"/>
    <w:rsid w:val="689B627B"/>
    <w:rsid w:val="689E69AF"/>
    <w:rsid w:val="68E93F2F"/>
    <w:rsid w:val="68E9761A"/>
    <w:rsid w:val="692D5192"/>
    <w:rsid w:val="69504C12"/>
    <w:rsid w:val="698D1A5C"/>
    <w:rsid w:val="69A40090"/>
    <w:rsid w:val="69B92EB4"/>
    <w:rsid w:val="69F366B8"/>
    <w:rsid w:val="69F54EF2"/>
    <w:rsid w:val="6A441FA1"/>
    <w:rsid w:val="6A554E29"/>
    <w:rsid w:val="6A853CB9"/>
    <w:rsid w:val="6A9511DC"/>
    <w:rsid w:val="6AAD6CBF"/>
    <w:rsid w:val="6AF47634"/>
    <w:rsid w:val="6AF73356"/>
    <w:rsid w:val="6AFF4F37"/>
    <w:rsid w:val="6B800CC7"/>
    <w:rsid w:val="6BCD13C5"/>
    <w:rsid w:val="6C0B1F37"/>
    <w:rsid w:val="6C2A7BB2"/>
    <w:rsid w:val="6C2E0E4E"/>
    <w:rsid w:val="6C6475E9"/>
    <w:rsid w:val="6C703BC6"/>
    <w:rsid w:val="6CA544AD"/>
    <w:rsid w:val="6CD31CF9"/>
    <w:rsid w:val="6D081BCB"/>
    <w:rsid w:val="6D0A6B56"/>
    <w:rsid w:val="6D57319D"/>
    <w:rsid w:val="6D60554D"/>
    <w:rsid w:val="6D640C04"/>
    <w:rsid w:val="6D6F4477"/>
    <w:rsid w:val="6D8F6AA8"/>
    <w:rsid w:val="6DBD1512"/>
    <w:rsid w:val="6DCC5B7B"/>
    <w:rsid w:val="6DE312E1"/>
    <w:rsid w:val="6E20743A"/>
    <w:rsid w:val="6E387561"/>
    <w:rsid w:val="6F2648A0"/>
    <w:rsid w:val="6F391988"/>
    <w:rsid w:val="6F401996"/>
    <w:rsid w:val="6F4B6FD6"/>
    <w:rsid w:val="6FA16E50"/>
    <w:rsid w:val="6FA3276C"/>
    <w:rsid w:val="6FB518EF"/>
    <w:rsid w:val="6FC2182A"/>
    <w:rsid w:val="6FCD2EB7"/>
    <w:rsid w:val="70055C31"/>
    <w:rsid w:val="702D2CEC"/>
    <w:rsid w:val="704030B4"/>
    <w:rsid w:val="704962F0"/>
    <w:rsid w:val="71447650"/>
    <w:rsid w:val="717E56D7"/>
    <w:rsid w:val="71970321"/>
    <w:rsid w:val="71AD4B92"/>
    <w:rsid w:val="71E969F4"/>
    <w:rsid w:val="725D554F"/>
    <w:rsid w:val="729A78D0"/>
    <w:rsid w:val="72D56CD5"/>
    <w:rsid w:val="733438C9"/>
    <w:rsid w:val="734E59AA"/>
    <w:rsid w:val="73AD3F4B"/>
    <w:rsid w:val="73B32736"/>
    <w:rsid w:val="74030E66"/>
    <w:rsid w:val="74381A66"/>
    <w:rsid w:val="74AE4798"/>
    <w:rsid w:val="74DD5737"/>
    <w:rsid w:val="74F74D9F"/>
    <w:rsid w:val="754931BF"/>
    <w:rsid w:val="75D53134"/>
    <w:rsid w:val="75DE5D76"/>
    <w:rsid w:val="75FF27D9"/>
    <w:rsid w:val="76123A64"/>
    <w:rsid w:val="76503FC2"/>
    <w:rsid w:val="767825EE"/>
    <w:rsid w:val="76AF7FDA"/>
    <w:rsid w:val="76D678E9"/>
    <w:rsid w:val="774854D7"/>
    <w:rsid w:val="7763329E"/>
    <w:rsid w:val="7769462C"/>
    <w:rsid w:val="77A00F3D"/>
    <w:rsid w:val="77AC424F"/>
    <w:rsid w:val="77E04951"/>
    <w:rsid w:val="7847551F"/>
    <w:rsid w:val="78482494"/>
    <w:rsid w:val="785458A0"/>
    <w:rsid w:val="7855217F"/>
    <w:rsid w:val="788575B8"/>
    <w:rsid w:val="788B4C49"/>
    <w:rsid w:val="78A91DD7"/>
    <w:rsid w:val="78BF1638"/>
    <w:rsid w:val="795B0696"/>
    <w:rsid w:val="79634A1C"/>
    <w:rsid w:val="79AD7234"/>
    <w:rsid w:val="79C93EE5"/>
    <w:rsid w:val="7A7E3D19"/>
    <w:rsid w:val="7A955377"/>
    <w:rsid w:val="7AF52EF6"/>
    <w:rsid w:val="7AFD7566"/>
    <w:rsid w:val="7B010446"/>
    <w:rsid w:val="7B577DB4"/>
    <w:rsid w:val="7BBF47BC"/>
    <w:rsid w:val="7BF5023D"/>
    <w:rsid w:val="7C446BCC"/>
    <w:rsid w:val="7C8141C6"/>
    <w:rsid w:val="7CCE2EF1"/>
    <w:rsid w:val="7D3B6123"/>
    <w:rsid w:val="7D986D63"/>
    <w:rsid w:val="7D9D5E5B"/>
    <w:rsid w:val="7DA8232F"/>
    <w:rsid w:val="7DC8198A"/>
    <w:rsid w:val="7DE14095"/>
    <w:rsid w:val="7E8F5E7D"/>
    <w:rsid w:val="7EBE21BB"/>
    <w:rsid w:val="7EDE145C"/>
    <w:rsid w:val="7F3E3D39"/>
    <w:rsid w:val="7F4B43E9"/>
    <w:rsid w:val="7FE4382C"/>
    <w:rsid w:val="7FEE0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iPriority="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iPriority="99" w:name="endnote reference"/>
    <w:lsdException w:uiPriority="99" w:name="endnote text"/>
    <w:lsdException w:qFormat="1" w:unhideWhenUsed="0" w:uiPriority="0" w:name="table of authorities"/>
    <w:lsdException w:uiPriority="99"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name="List Number"/>
    <w:lsdException w:qFormat="1" w:unhideWhenUsed="0" w:uiPriority="0" w:semiHidden="0" w:name="List 2"/>
    <w:lsdException w:qFormat="1" w:unhideWhenUsed="0" w:uiPriority="0" w:semiHidden="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semiHidden="0" w:name="List Number 2"/>
    <w:lsdException w:qFormat="1" w:unhideWhenUsed="0" w:uiPriority="0" w:name="List Number 3"/>
    <w:lsdException w:qFormat="1" w:unhideWhenUsed="0" w:uiPriority="0" w:name="List Number 4"/>
    <w:lsdException w:qFormat="1" w:unhideWhenUsed="0" w:uiPriority="0" w:name="List Number 5"/>
    <w:lsdException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name="List Continue"/>
    <w:lsdException w:qFormat="1" w:unhideWhenUsed="0" w:uiPriority="0" w:semiHidden="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11" w:semiHidden="0" w:name="Subtitle"/>
    <w:lsdException w:qFormat="1" w:unhideWhenUsed="0"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0" w:name="Balloon Text"/>
    <w:lsdException w:qFormat="1" w:unhideWhenUsed="0" w:uiPriority="0"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link w:val="24"/>
    <w:qFormat/>
    <w:uiPriority w:val="0"/>
    <w:pPr>
      <w:numPr>
        <w:ilvl w:val="0"/>
        <w:numId w:val="1"/>
      </w:numPr>
      <w:spacing w:before="50" w:beforeLines="50" w:after="50" w:afterLines="50" w:line="360" w:lineRule="auto"/>
      <w:ind w:left="0" w:firstLine="0"/>
      <w:outlineLvl w:val="0"/>
    </w:pPr>
    <w:rPr>
      <w:rFonts w:ascii="Times New Roman" w:hAnsi="Times New Roman" w:eastAsia="楷体_GB2312"/>
      <w:b/>
      <w:kern w:val="44"/>
      <w:sz w:val="44"/>
    </w:rPr>
  </w:style>
  <w:style w:type="paragraph" w:styleId="4">
    <w:name w:val="heading 2"/>
    <w:basedOn w:val="1"/>
    <w:next w:val="1"/>
    <w:link w:val="25"/>
    <w:qFormat/>
    <w:uiPriority w:val="0"/>
    <w:pPr>
      <w:numPr>
        <w:ilvl w:val="1"/>
        <w:numId w:val="1"/>
      </w:numPr>
      <w:spacing w:before="50" w:beforeLines="50" w:after="50" w:afterLines="50" w:line="360" w:lineRule="auto"/>
      <w:ind w:left="0" w:firstLine="0"/>
      <w:jc w:val="left"/>
      <w:outlineLvl w:val="1"/>
    </w:pPr>
    <w:rPr>
      <w:rFonts w:ascii="Times New Roman" w:hAnsi="Times New Roman" w:eastAsia="楷体_GB2312"/>
      <w:b/>
      <w:bCs/>
      <w:smallCaps/>
      <w:sz w:val="36"/>
      <w:szCs w:val="28"/>
    </w:rPr>
  </w:style>
  <w:style w:type="paragraph" w:styleId="5">
    <w:name w:val="heading 3"/>
    <w:basedOn w:val="6"/>
    <w:next w:val="7"/>
    <w:link w:val="26"/>
    <w:qFormat/>
    <w:uiPriority w:val="0"/>
    <w:pPr>
      <w:numPr>
        <w:ilvl w:val="2"/>
      </w:numPr>
      <w:tabs>
        <w:tab w:val="left" w:pos="567"/>
        <w:tab w:val="left" w:pos="864"/>
      </w:tabs>
      <w:outlineLvl w:val="2"/>
    </w:pPr>
    <w:rPr>
      <w:rFonts w:cs="宋体"/>
      <w:sz w:val="32"/>
    </w:rPr>
  </w:style>
  <w:style w:type="paragraph" w:styleId="6">
    <w:name w:val="heading 4"/>
    <w:basedOn w:val="1"/>
    <w:next w:val="1"/>
    <w:link w:val="27"/>
    <w:qFormat/>
    <w:uiPriority w:val="0"/>
    <w:pPr>
      <w:numPr>
        <w:ilvl w:val="3"/>
        <w:numId w:val="1"/>
      </w:numPr>
      <w:tabs>
        <w:tab w:val="left" w:pos="864"/>
      </w:tabs>
      <w:adjustRightInd w:val="0"/>
      <w:snapToGrid w:val="0"/>
      <w:spacing w:before="156" w:beforeLines="50" w:after="156" w:afterLines="50" w:line="360" w:lineRule="auto"/>
      <w:jc w:val="left"/>
      <w:textAlignment w:val="baseline"/>
      <w:outlineLvl w:val="3"/>
    </w:pPr>
    <w:rPr>
      <w:rFonts w:ascii="Times New Roman" w:hAnsi="Times New Roman"/>
      <w:b/>
      <w:bCs/>
      <w:smallCaps/>
      <w:sz w:val="28"/>
      <w:szCs w:val="24"/>
      <w:lang w:val="zh-CN"/>
    </w:rPr>
  </w:style>
  <w:style w:type="paragraph" w:styleId="8">
    <w:name w:val="heading 5"/>
    <w:basedOn w:val="1"/>
    <w:next w:val="1"/>
    <w:link w:val="28"/>
    <w:qFormat/>
    <w:uiPriority w:val="0"/>
    <w:pPr>
      <w:keepNext/>
      <w:keepLines/>
      <w:spacing w:before="120" w:after="120" w:line="372" w:lineRule="auto"/>
      <w:outlineLvl w:val="4"/>
    </w:pPr>
    <w:rPr>
      <w:rFonts w:ascii="Times New Roman" w:hAnsi="Times New Roman"/>
      <w:b/>
      <w:kern w:val="0"/>
      <w:sz w:val="28"/>
      <w:szCs w:val="20"/>
      <w:lang w:val="zh-CN"/>
    </w:rPr>
  </w:style>
  <w:style w:type="paragraph" w:styleId="9">
    <w:name w:val="heading 6"/>
    <w:basedOn w:val="1"/>
    <w:next w:val="1"/>
    <w:link w:val="29"/>
    <w:qFormat/>
    <w:uiPriority w:val="0"/>
    <w:pPr>
      <w:keepNext/>
      <w:keepLines/>
      <w:spacing w:before="240" w:after="64" w:line="320" w:lineRule="auto"/>
      <w:outlineLvl w:val="5"/>
    </w:pPr>
    <w:rPr>
      <w:rFonts w:ascii="Calibri Light" w:hAnsi="Calibri Light"/>
      <w:b/>
      <w:bCs/>
      <w:kern w:val="0"/>
      <w:sz w:val="24"/>
      <w:szCs w:val="24"/>
      <w:lang w:val="zh-CN"/>
    </w:rPr>
  </w:style>
  <w:style w:type="paragraph" w:styleId="10">
    <w:name w:val="heading 7"/>
    <w:basedOn w:val="1"/>
    <w:next w:val="1"/>
    <w:link w:val="30"/>
    <w:qFormat/>
    <w:uiPriority w:val="0"/>
    <w:pPr>
      <w:keepNext/>
      <w:keepLines/>
      <w:tabs>
        <w:tab w:val="left" w:pos="1296"/>
      </w:tabs>
      <w:spacing w:before="240" w:after="64" w:line="320" w:lineRule="atLeast"/>
      <w:ind w:left="1296" w:hanging="1296"/>
      <w:outlineLvl w:val="6"/>
    </w:pPr>
    <w:rPr>
      <w:rFonts w:ascii="Times New Roman" w:hAnsi="Times New Roman"/>
      <w:b/>
      <w:bCs/>
      <w:sz w:val="24"/>
      <w:szCs w:val="24"/>
    </w:rPr>
  </w:style>
  <w:style w:type="paragraph" w:styleId="11">
    <w:name w:val="heading 8"/>
    <w:basedOn w:val="1"/>
    <w:next w:val="1"/>
    <w:link w:val="31"/>
    <w:qFormat/>
    <w:uiPriority w:val="0"/>
    <w:pPr>
      <w:keepNext/>
      <w:keepLines/>
      <w:tabs>
        <w:tab w:val="left" w:pos="1440"/>
      </w:tabs>
      <w:spacing w:before="240" w:after="64" w:line="320" w:lineRule="atLeast"/>
      <w:ind w:left="1440" w:hanging="1440"/>
      <w:outlineLvl w:val="7"/>
    </w:pPr>
    <w:rPr>
      <w:rFonts w:ascii="Arial" w:hAnsi="Arial" w:eastAsia="黑体"/>
      <w:sz w:val="24"/>
      <w:szCs w:val="24"/>
    </w:rPr>
  </w:style>
  <w:style w:type="paragraph" w:styleId="12">
    <w:name w:val="heading 9"/>
    <w:basedOn w:val="1"/>
    <w:next w:val="1"/>
    <w:link w:val="32"/>
    <w:qFormat/>
    <w:uiPriority w:val="0"/>
    <w:pPr>
      <w:keepNext/>
      <w:keepLines/>
      <w:tabs>
        <w:tab w:val="left" w:pos="1584"/>
      </w:tabs>
      <w:spacing w:before="240" w:after="64" w:line="320" w:lineRule="atLeast"/>
      <w:ind w:left="1584" w:hanging="1584"/>
      <w:outlineLvl w:val="8"/>
    </w:pPr>
    <w:rPr>
      <w:rFonts w:ascii="Arial" w:hAnsi="Arial" w:eastAsia="黑体"/>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表格内"/>
    <w:basedOn w:val="1"/>
    <w:qFormat/>
    <w:uiPriority w:val="0"/>
    <w:pPr>
      <w:adjustRightInd w:val="0"/>
      <w:spacing w:line="240" w:lineRule="atLeast"/>
      <w:jc w:val="center"/>
      <w:textAlignment w:val="baseline"/>
    </w:pPr>
    <w:rPr>
      <w:rFonts w:ascii="宋体" w:hAnsi="Times New Roman"/>
      <w:kern w:val="0"/>
      <w:sz w:val="28"/>
      <w:szCs w:val="20"/>
    </w:rPr>
  </w:style>
  <w:style w:type="paragraph" w:customStyle="1" w:styleId="7">
    <w:name w:val="A-z正文"/>
    <w:basedOn w:val="1"/>
    <w:link w:val="33"/>
    <w:qFormat/>
    <w:uiPriority w:val="0"/>
    <w:pPr>
      <w:spacing w:line="360" w:lineRule="auto"/>
      <w:ind w:firstLine="200" w:firstLineChars="200"/>
    </w:pPr>
    <w:rPr>
      <w:rFonts w:ascii="Times New Roman" w:hAnsi="Times New Roman" w:cs="宋体"/>
      <w:sz w:val="24"/>
      <w:szCs w:val="20"/>
    </w:rPr>
  </w:style>
  <w:style w:type="paragraph" w:styleId="13">
    <w:name w:val="caption"/>
    <w:basedOn w:val="1"/>
    <w:next w:val="1"/>
    <w:qFormat/>
    <w:uiPriority w:val="0"/>
    <w:pPr>
      <w:jc w:val="right"/>
    </w:pPr>
    <w:rPr>
      <w:rFonts w:ascii="Times New Roman" w:hAnsi="Times New Roman" w:eastAsia="黑体"/>
      <w:sz w:val="20"/>
      <w:szCs w:val="24"/>
    </w:rPr>
  </w:style>
  <w:style w:type="paragraph" w:styleId="14">
    <w:name w:val="annotation text"/>
    <w:basedOn w:val="1"/>
    <w:link w:val="47"/>
    <w:qFormat/>
    <w:uiPriority w:val="0"/>
    <w:pPr>
      <w:jc w:val="left"/>
    </w:pPr>
  </w:style>
  <w:style w:type="paragraph" w:styleId="15">
    <w:name w:val="Balloon Text"/>
    <w:basedOn w:val="1"/>
    <w:link w:val="50"/>
    <w:semiHidden/>
    <w:qFormat/>
    <w:uiPriority w:val="0"/>
    <w:rPr>
      <w:sz w:val="18"/>
      <w:szCs w:val="18"/>
    </w:rPr>
  </w:style>
  <w:style w:type="paragraph" w:styleId="16">
    <w:name w:val="footer"/>
    <w:basedOn w:val="1"/>
    <w:link w:val="49"/>
    <w:unhideWhenUsed/>
    <w:qFormat/>
    <w:uiPriority w:val="99"/>
    <w:pPr>
      <w:tabs>
        <w:tab w:val="center" w:pos="4153"/>
        <w:tab w:val="right" w:pos="8306"/>
      </w:tabs>
      <w:snapToGrid w:val="0"/>
      <w:jc w:val="left"/>
    </w:pPr>
    <w:rPr>
      <w:sz w:val="18"/>
      <w:szCs w:val="18"/>
    </w:rPr>
  </w:style>
  <w:style w:type="paragraph" w:styleId="17">
    <w:name w:val="header"/>
    <w:basedOn w:val="1"/>
    <w:link w:val="48"/>
    <w:unhideWhenUsed/>
    <w:qFormat/>
    <w:uiPriority w:val="99"/>
    <w:pP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2"/>
    <w:basedOn w:val="1"/>
    <w:next w:val="1"/>
    <w:qFormat/>
    <w:uiPriority w:val="39"/>
    <w:pPr>
      <w:ind w:left="420" w:leftChars="200"/>
    </w:pPr>
  </w:style>
  <w:style w:type="paragraph" w:styleId="20">
    <w:name w:val="annotation subject"/>
    <w:basedOn w:val="14"/>
    <w:next w:val="14"/>
    <w:link w:val="51"/>
    <w:unhideWhenUsed/>
    <w:qFormat/>
    <w:uiPriority w:val="0"/>
    <w:rPr>
      <w:b/>
      <w:bCs/>
    </w:rPr>
  </w:style>
  <w:style w:type="character" w:styleId="23">
    <w:name w:val="annotation reference"/>
    <w:basedOn w:val="22"/>
    <w:qFormat/>
    <w:uiPriority w:val="0"/>
    <w:rPr>
      <w:sz w:val="21"/>
      <w:szCs w:val="21"/>
    </w:rPr>
  </w:style>
  <w:style w:type="character" w:customStyle="1" w:styleId="24">
    <w:name w:val="标题 1 字符"/>
    <w:link w:val="3"/>
    <w:qFormat/>
    <w:uiPriority w:val="0"/>
    <w:rPr>
      <w:rFonts w:eastAsia="楷体_GB2312"/>
      <w:b/>
      <w:kern w:val="44"/>
      <w:sz w:val="44"/>
      <w:szCs w:val="21"/>
    </w:rPr>
  </w:style>
  <w:style w:type="character" w:customStyle="1" w:styleId="25">
    <w:name w:val="标题 2 字符"/>
    <w:link w:val="4"/>
    <w:qFormat/>
    <w:uiPriority w:val="9"/>
    <w:rPr>
      <w:rFonts w:eastAsia="楷体_GB2312"/>
      <w:b/>
      <w:bCs/>
      <w:smallCaps/>
      <w:kern w:val="2"/>
      <w:sz w:val="36"/>
      <w:szCs w:val="28"/>
    </w:rPr>
  </w:style>
  <w:style w:type="character" w:customStyle="1" w:styleId="26">
    <w:name w:val="标题 3 字符"/>
    <w:link w:val="5"/>
    <w:qFormat/>
    <w:uiPriority w:val="0"/>
    <w:rPr>
      <w:rFonts w:ascii="Times New Roman" w:hAnsi="Times New Roman" w:eastAsia="楷体" w:cs="宋体"/>
      <w:b/>
      <w:bCs/>
      <w:smallCaps/>
      <w:kern w:val="2"/>
      <w:sz w:val="32"/>
      <w:szCs w:val="24"/>
      <w:lang w:val="zh-CN"/>
    </w:rPr>
  </w:style>
  <w:style w:type="character" w:customStyle="1" w:styleId="27">
    <w:name w:val="标题 4 字符"/>
    <w:link w:val="6"/>
    <w:qFormat/>
    <w:uiPriority w:val="0"/>
    <w:rPr>
      <w:b/>
      <w:bCs/>
      <w:smallCaps/>
      <w:kern w:val="2"/>
      <w:sz w:val="28"/>
      <w:szCs w:val="24"/>
      <w:lang w:val="zh-CN"/>
    </w:rPr>
  </w:style>
  <w:style w:type="character" w:customStyle="1" w:styleId="28">
    <w:name w:val="标题 5 字符"/>
    <w:link w:val="8"/>
    <w:qFormat/>
    <w:uiPriority w:val="0"/>
    <w:rPr>
      <w:b/>
      <w:sz w:val="28"/>
      <w:lang w:val="zh-CN"/>
    </w:rPr>
  </w:style>
  <w:style w:type="character" w:customStyle="1" w:styleId="29">
    <w:name w:val="标题 6 字符"/>
    <w:link w:val="9"/>
    <w:qFormat/>
    <w:uiPriority w:val="0"/>
    <w:rPr>
      <w:rFonts w:ascii="Calibri Light" w:hAnsi="Calibri Light"/>
      <w:b/>
      <w:bCs/>
      <w:sz w:val="24"/>
      <w:szCs w:val="24"/>
      <w:lang w:val="zh-CN"/>
    </w:rPr>
  </w:style>
  <w:style w:type="character" w:customStyle="1" w:styleId="30">
    <w:name w:val="标题 7 字符"/>
    <w:link w:val="10"/>
    <w:qFormat/>
    <w:uiPriority w:val="0"/>
    <w:rPr>
      <w:b/>
      <w:bCs/>
      <w:kern w:val="2"/>
      <w:sz w:val="24"/>
      <w:szCs w:val="24"/>
    </w:rPr>
  </w:style>
  <w:style w:type="character" w:customStyle="1" w:styleId="31">
    <w:name w:val="标题 8 字符"/>
    <w:link w:val="11"/>
    <w:qFormat/>
    <w:uiPriority w:val="0"/>
    <w:rPr>
      <w:rFonts w:ascii="Arial" w:hAnsi="Arial" w:eastAsia="黑体"/>
      <w:kern w:val="2"/>
      <w:sz w:val="24"/>
      <w:szCs w:val="24"/>
    </w:rPr>
  </w:style>
  <w:style w:type="character" w:customStyle="1" w:styleId="32">
    <w:name w:val="标题 9 字符"/>
    <w:link w:val="12"/>
    <w:qFormat/>
    <w:uiPriority w:val="0"/>
    <w:rPr>
      <w:rFonts w:ascii="Arial" w:hAnsi="Arial" w:eastAsia="黑体"/>
      <w:kern w:val="2"/>
      <w:sz w:val="21"/>
      <w:szCs w:val="21"/>
    </w:rPr>
  </w:style>
  <w:style w:type="character" w:customStyle="1" w:styleId="33">
    <w:name w:val="A-z正文 Char"/>
    <w:link w:val="7"/>
    <w:qFormat/>
    <w:uiPriority w:val="0"/>
    <w:rPr>
      <w:rFonts w:cs="宋体"/>
      <w:kern w:val="2"/>
      <w:sz w:val="24"/>
    </w:rPr>
  </w:style>
  <w:style w:type="paragraph" w:customStyle="1" w:styleId="34">
    <w:name w:val="A-表格文字"/>
    <w:basedOn w:val="1"/>
    <w:link w:val="35"/>
    <w:qFormat/>
    <w:uiPriority w:val="0"/>
    <w:pPr>
      <w:autoSpaceDE w:val="0"/>
      <w:autoSpaceDN w:val="0"/>
      <w:adjustRightInd w:val="0"/>
      <w:snapToGrid w:val="0"/>
      <w:jc w:val="center"/>
      <w:textAlignment w:val="center"/>
    </w:pPr>
    <w:rPr>
      <w:rFonts w:ascii="Times New Roman" w:hAnsi="Times New Roman"/>
      <w:kern w:val="0"/>
    </w:rPr>
  </w:style>
  <w:style w:type="character" w:customStyle="1" w:styleId="35">
    <w:name w:val="A-表格文字 Char"/>
    <w:link w:val="34"/>
    <w:qFormat/>
    <w:uiPriority w:val="0"/>
    <w:rPr>
      <w:sz w:val="21"/>
      <w:szCs w:val="21"/>
    </w:rPr>
  </w:style>
  <w:style w:type="paragraph" w:customStyle="1" w:styleId="36">
    <w:name w:val="A-表格名"/>
    <w:basedOn w:val="1"/>
    <w:link w:val="37"/>
    <w:qFormat/>
    <w:uiPriority w:val="0"/>
    <w:pPr>
      <w:spacing w:before="50" w:beforeLines="50"/>
      <w:jc w:val="center"/>
    </w:pPr>
    <w:rPr>
      <w:rFonts w:ascii="Times New Roman" w:hAnsi="Times New Roman" w:eastAsia="黑体" w:cs="Arial"/>
      <w:b/>
      <w:szCs w:val="20"/>
    </w:rPr>
  </w:style>
  <w:style w:type="character" w:customStyle="1" w:styleId="37">
    <w:name w:val="A-表格名 Char"/>
    <w:link w:val="36"/>
    <w:qFormat/>
    <w:uiPriority w:val="0"/>
    <w:rPr>
      <w:rFonts w:eastAsia="黑体" w:cs="Arial"/>
      <w:b/>
      <w:kern w:val="2"/>
      <w:sz w:val="21"/>
    </w:rPr>
  </w:style>
  <w:style w:type="paragraph" w:customStyle="1" w:styleId="38">
    <w:name w:val="A-题注-图"/>
    <w:basedOn w:val="36"/>
    <w:link w:val="39"/>
    <w:qFormat/>
    <w:uiPriority w:val="0"/>
    <w:pPr>
      <w:spacing w:after="50" w:afterLines="50"/>
    </w:pPr>
  </w:style>
  <w:style w:type="character" w:customStyle="1" w:styleId="39">
    <w:name w:val="A-题注-图 Char"/>
    <w:link w:val="38"/>
    <w:qFormat/>
    <w:uiPriority w:val="0"/>
    <w:rPr>
      <w:rFonts w:eastAsia="黑体" w:cs="Arial"/>
      <w:kern w:val="2"/>
      <w:sz w:val="21"/>
    </w:rPr>
  </w:style>
  <w:style w:type="paragraph" w:customStyle="1" w:styleId="40">
    <w:name w:val="A-尾注"/>
    <w:basedOn w:val="7"/>
    <w:link w:val="41"/>
    <w:qFormat/>
    <w:uiPriority w:val="0"/>
    <w:pPr>
      <w:spacing w:line="240" w:lineRule="auto"/>
      <w:ind w:firstLine="0" w:firstLineChars="0"/>
      <w:jc w:val="left"/>
    </w:pPr>
    <w:rPr>
      <w:sz w:val="18"/>
    </w:rPr>
  </w:style>
  <w:style w:type="character" w:customStyle="1" w:styleId="41">
    <w:name w:val="A-尾注 Char"/>
    <w:link w:val="40"/>
    <w:qFormat/>
    <w:uiPriority w:val="0"/>
    <w:rPr>
      <w:rFonts w:cs="宋体"/>
      <w:kern w:val="2"/>
      <w:sz w:val="18"/>
    </w:rPr>
  </w:style>
  <w:style w:type="paragraph" w:customStyle="1" w:styleId="42">
    <w:name w:val="A-页脚"/>
    <w:basedOn w:val="1"/>
    <w:link w:val="43"/>
    <w:qFormat/>
    <w:uiPriority w:val="0"/>
    <w:pPr>
      <w:pBdr>
        <w:top w:val="single" w:color="auto" w:sz="4" w:space="1"/>
      </w:pBdr>
      <w:tabs>
        <w:tab w:val="center" w:pos="4153"/>
        <w:tab w:val="right" w:pos="8306"/>
      </w:tabs>
      <w:snapToGrid w:val="0"/>
      <w:jc w:val="left"/>
    </w:pPr>
    <w:rPr>
      <w:rFonts w:ascii="Times New Roman" w:hAnsi="Times New Roman"/>
      <w:sz w:val="18"/>
      <w:szCs w:val="18"/>
    </w:rPr>
  </w:style>
  <w:style w:type="character" w:customStyle="1" w:styleId="43">
    <w:name w:val="A-页脚 Char"/>
    <w:link w:val="42"/>
    <w:qFormat/>
    <w:uiPriority w:val="0"/>
    <w:rPr>
      <w:kern w:val="2"/>
      <w:sz w:val="18"/>
      <w:szCs w:val="18"/>
    </w:rPr>
  </w:style>
  <w:style w:type="paragraph" w:customStyle="1" w:styleId="44">
    <w:name w:val="A-页眉"/>
    <w:basedOn w:val="1"/>
    <w:link w:val="45"/>
    <w:qFormat/>
    <w:uiPriority w:val="0"/>
    <w:pPr>
      <w:pBdr>
        <w:bottom w:val="single" w:color="auto" w:sz="6" w:space="1"/>
      </w:pBdr>
      <w:tabs>
        <w:tab w:val="center" w:pos="4153"/>
        <w:tab w:val="right" w:pos="8306"/>
      </w:tabs>
      <w:snapToGrid w:val="0"/>
      <w:jc w:val="center"/>
    </w:pPr>
    <w:rPr>
      <w:rFonts w:ascii="Times New Roman" w:hAnsi="Times New Roman"/>
      <w:sz w:val="18"/>
      <w:szCs w:val="18"/>
      <w:lang w:val="zh-CN"/>
    </w:rPr>
  </w:style>
  <w:style w:type="character" w:customStyle="1" w:styleId="45">
    <w:name w:val="A-页眉 Char"/>
    <w:link w:val="44"/>
    <w:qFormat/>
    <w:uiPriority w:val="0"/>
    <w:rPr>
      <w:kern w:val="2"/>
      <w:sz w:val="18"/>
      <w:szCs w:val="18"/>
      <w:lang w:val="zh-CN"/>
    </w:rPr>
  </w:style>
  <w:style w:type="paragraph" w:customStyle="1" w:styleId="46">
    <w:name w:val="Revision"/>
    <w:hidden/>
    <w:semiHidden/>
    <w:qFormat/>
    <w:uiPriority w:val="99"/>
    <w:rPr>
      <w:rFonts w:ascii="Calibri" w:hAnsi="Calibri" w:eastAsia="宋体" w:cs="Times New Roman"/>
      <w:kern w:val="2"/>
      <w:sz w:val="21"/>
      <w:szCs w:val="21"/>
      <w:lang w:val="en-US" w:eastAsia="zh-CN" w:bidi="ar-SA"/>
    </w:rPr>
  </w:style>
  <w:style w:type="character" w:customStyle="1" w:styleId="47">
    <w:name w:val="批注文字 字符"/>
    <w:basedOn w:val="22"/>
    <w:link w:val="14"/>
    <w:qFormat/>
    <w:uiPriority w:val="0"/>
    <w:rPr>
      <w:rFonts w:ascii="Calibri" w:hAnsi="Calibri"/>
      <w:kern w:val="2"/>
      <w:sz w:val="21"/>
      <w:szCs w:val="21"/>
    </w:rPr>
  </w:style>
  <w:style w:type="character" w:customStyle="1" w:styleId="48">
    <w:name w:val="页眉 字符"/>
    <w:basedOn w:val="22"/>
    <w:link w:val="17"/>
    <w:qFormat/>
    <w:uiPriority w:val="99"/>
    <w:rPr>
      <w:rFonts w:ascii="Calibri" w:hAnsi="Calibri"/>
      <w:kern w:val="2"/>
      <w:sz w:val="18"/>
      <w:szCs w:val="18"/>
    </w:rPr>
  </w:style>
  <w:style w:type="character" w:customStyle="1" w:styleId="49">
    <w:name w:val="页脚 字符"/>
    <w:basedOn w:val="22"/>
    <w:link w:val="16"/>
    <w:qFormat/>
    <w:uiPriority w:val="99"/>
    <w:rPr>
      <w:rFonts w:ascii="Calibri" w:hAnsi="Calibri"/>
      <w:kern w:val="2"/>
      <w:sz w:val="18"/>
      <w:szCs w:val="18"/>
    </w:rPr>
  </w:style>
  <w:style w:type="character" w:customStyle="1" w:styleId="50">
    <w:name w:val="批注框文本 字符"/>
    <w:basedOn w:val="22"/>
    <w:link w:val="15"/>
    <w:semiHidden/>
    <w:qFormat/>
    <w:uiPriority w:val="0"/>
    <w:rPr>
      <w:rFonts w:ascii="Calibri" w:hAnsi="Calibri"/>
      <w:kern w:val="2"/>
      <w:sz w:val="18"/>
      <w:szCs w:val="18"/>
    </w:rPr>
  </w:style>
  <w:style w:type="character" w:customStyle="1" w:styleId="51">
    <w:name w:val="批注主题 字符"/>
    <w:basedOn w:val="47"/>
    <w:link w:val="20"/>
    <w:qFormat/>
    <w:uiPriority w:val="0"/>
    <w:rPr>
      <w:rFonts w:ascii="Calibri" w:hAnsi="Calibri"/>
      <w:b/>
      <w:bCs/>
      <w:kern w:val="2"/>
      <w:sz w:val="21"/>
      <w:szCs w:val="21"/>
    </w:rPr>
  </w:style>
  <w:style w:type="paragraph" w:customStyle="1" w:styleId="52">
    <w:name w:val="正文11"/>
    <w:basedOn w:val="1"/>
    <w:qFormat/>
    <w:uiPriority w:val="0"/>
    <w:pPr>
      <w:spacing w:line="480" w:lineRule="exact"/>
      <w:ind w:firstLine="200" w:firstLineChars="200"/>
    </w:pPr>
    <w:rPr>
      <w:rFonts w:ascii="宋体" w:hAnsi="宋体"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oleObject" Target="embeddings/oleObject7.bin"/><Relationship Id="rId17" Type="http://schemas.openxmlformats.org/officeDocument/2006/relationships/image" Target="media/image5.wmf"/><Relationship Id="rId16" Type="http://schemas.openxmlformats.org/officeDocument/2006/relationships/oleObject" Target="embeddings/oleObject6.bin"/><Relationship Id="rId15" Type="http://schemas.openxmlformats.org/officeDocument/2006/relationships/oleObject" Target="embeddings/oleObject5.bin"/><Relationship Id="rId14" Type="http://schemas.openxmlformats.org/officeDocument/2006/relationships/image" Target="media/image4.wmf"/><Relationship Id="rId13" Type="http://schemas.openxmlformats.org/officeDocument/2006/relationships/oleObject" Target="embeddings/oleObject4.bin"/><Relationship Id="rId12" Type="http://schemas.openxmlformats.org/officeDocument/2006/relationships/image" Target="media/image3.wmf"/><Relationship Id="rId11" Type="http://schemas.openxmlformats.org/officeDocument/2006/relationships/oleObject" Target="embeddings/oleObject3.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F6508-3501-4565-8ED8-20AE148430B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3310</Words>
  <Characters>3516</Characters>
  <Lines>833</Lines>
  <Paragraphs>234</Paragraphs>
  <TotalTime>0</TotalTime>
  <ScaleCrop>false</ScaleCrop>
  <LinksUpToDate>false</LinksUpToDate>
  <CharactersWithSpaces>3740</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2025-01-09T10:43:00Z</dcterms:created>
  <dc:creator>PC</dc:creator>
  <cp:lastModifiedBy>Administrator</cp:lastModifiedBy>
  <cp:lastPrinted>2024-12-06T04:56:00Z</cp:lastPrinted>
  <dcterms:modified xsi:type="dcterms:W3CDTF">2025-03-05T10:51:36Z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70268AD1EAC04A638515E3667D5E430B_13</vt:lpwstr>
  </property>
  <property fmtid="{D5CDD505-2E9C-101B-9397-08002B2CF9AE}" pid="4" name="KSOTemplateDocerSaveRecord">
    <vt:lpwstr>eyJoZGlkIjoiNWFkMjJlNDM4MmU3NWY1ZGNiMTYzMjVjMzhjODZiMzgifQ==</vt:lpwstr>
  </property>
</Properties>
</file>